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4" w:space="1" w:color="000000"/>
        </w:rPr>
      </w:pPr>
      <w:bookmarkStart w:id="0" w:name="d44449ddefa14a.htm"/>
      <w:bookmarkStart w:id="1" w:name="ksd44449ddefa14a"/>
      <w:bookmarkEnd w:id="0"/>
      <w:bookmarkEnd w:id="1"/>
      <w:r>
        <w:rPr>
          <w:bdr w:val="single" w:sz="24"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2"/>
        </w:rPr>
      </w:pPr>
      <w:r>
        <w:rPr>
          <w:rFonts w:ascii="ARIAL" w:hAnsi="ARIAL"/>
          <w:b/>
          <w:sz w:val="32"/>
        </w:rPr>
        <w:t xml:space="preserve">UNITED STATES </w:t>
      </w:r>
    </w:p>
    <w:p>
      <w:pPr>
        <w:pStyle w:val="TextBody"/>
        <w:bidi w:val="0"/>
        <w:spacing w:before="0" w:after="0"/>
        <w:jc w:val="center"/>
        <w:rPr>
          <w:rFonts w:ascii="ARIAL" w:hAnsi="ARIAL"/>
          <w:b/>
          <w:sz w:val="32"/>
        </w:rPr>
      </w:pPr>
      <w:r>
        <w:rPr>
          <w:rFonts w:ascii="ARIAL" w:hAnsi="ARIAL"/>
          <w:b/>
          <w:sz w:val="32"/>
        </w:rPr>
        <w:t xml:space="preserve">SECURITIES AND EXCHANGE COMMISSION </w:t>
      </w:r>
    </w:p>
    <w:p>
      <w:pPr>
        <w:pStyle w:val="TextBody"/>
        <w:bidi w:val="0"/>
        <w:spacing w:before="0" w:after="0"/>
        <w:jc w:val="center"/>
        <w:rPr>
          <w:rFonts w:ascii="ARIAL" w:hAnsi="ARIAL"/>
          <w:b/>
          <w:sz w:val="22"/>
        </w:rPr>
      </w:pPr>
      <w:r>
        <w:rPr>
          <w:rFonts w:ascii="ARIAL" w:hAnsi="ARIAL"/>
          <w:b/>
          <w:sz w:val="22"/>
        </w:rPr>
        <w:t xml:space="preserve">Washington, D.C. 20549 </w:t>
      </w:r>
    </w:p>
    <w:p>
      <w:pPr>
        <w:pStyle w:val="TextBody"/>
        <w:bidi w:val="0"/>
        <w:spacing w:before="240" w:after="0"/>
        <w:jc w:val="center"/>
        <w:rPr>
          <w:rFonts w:ascii="ARIAL" w:hAnsi="ARIAL"/>
          <w:b/>
          <w:sz w:val="32"/>
        </w:rPr>
      </w:pPr>
      <w:r>
        <w:rPr>
          <w:rFonts w:ascii="ARIAL" w:hAnsi="ARIAL"/>
          <w:b/>
          <w:sz w:val="32"/>
        </w:rPr>
        <w:t xml:space="preserve">SCHEDULE 14A </w:t>
      </w:r>
    </w:p>
    <w:p>
      <w:pPr>
        <w:pStyle w:val="TextBody"/>
        <w:bidi w:val="0"/>
        <w:spacing w:before="240" w:after="0"/>
        <w:jc w:val="center"/>
        <w:rPr>
          <w:rFonts w:ascii="ARIAL" w:hAnsi="ARIAL"/>
          <w:b/>
          <w:sz w:val="28"/>
        </w:rPr>
      </w:pPr>
      <w:r>
        <w:rPr>
          <w:rFonts w:ascii="ARIAL" w:hAnsi="ARIAL"/>
          <w:b/>
          <w:sz w:val="28"/>
        </w:rPr>
        <w:t xml:space="preserve">Proxy Statement Pursuant to Section 14(a) of the </w:t>
      </w:r>
    </w:p>
    <w:p>
      <w:pPr>
        <w:pStyle w:val="TextBody"/>
        <w:bidi w:val="0"/>
        <w:spacing w:before="0" w:after="0"/>
        <w:jc w:val="center"/>
        <w:rPr>
          <w:rFonts w:ascii="ARIAL" w:hAnsi="ARIAL"/>
          <w:b/>
          <w:sz w:val="28"/>
        </w:rPr>
      </w:pPr>
      <w:r>
        <w:rPr>
          <w:rFonts w:ascii="ARIAL" w:hAnsi="ARIAL"/>
          <w:b/>
          <w:sz w:val="28"/>
        </w:rPr>
        <w:t xml:space="preserve">Securities Exchange Act of 1934 </w:t>
      </w:r>
    </w:p>
    <w:p>
      <w:pPr>
        <w:pStyle w:val="TextBody"/>
        <w:bidi w:val="0"/>
        <w:spacing w:before="0" w:after="0"/>
        <w:jc w:val="center"/>
        <w:rPr>
          <w:rFonts w:ascii="ARIAL" w:hAnsi="ARIAL"/>
          <w:b/>
          <w:sz w:val="28"/>
        </w:rPr>
      </w:pPr>
      <w:r>
        <w:rPr>
          <w:rFonts w:ascii="ARIAL" w:hAnsi="ARIAL"/>
          <w:b/>
          <w:sz w:val="28"/>
        </w:rPr>
        <w:t xml:space="preserve">(Amendment No. ) </w:t>
      </w:r>
    </w:p>
    <w:p>
      <w:pPr>
        <w:pStyle w:val="TextBody"/>
        <w:bidi w:val="0"/>
        <w:spacing w:before="360" w:after="0"/>
        <w:jc w:val="left"/>
        <w:rPr>
          <w:rFonts w:ascii="ARIAL" w:hAnsi="ARIAL"/>
          <w:sz w:val="20"/>
        </w:rPr>
      </w:pPr>
      <w:r>
        <w:rPr>
          <w:rFonts w:ascii="ARIAL" w:hAnsi="ARIAL"/>
          <w:sz w:val="20"/>
        </w:rPr>
        <w:t xml:space="preserve">Filed by the Registrant ☒ </w:t>
      </w:r>
    </w:p>
    <w:p>
      <w:pPr>
        <w:pStyle w:val="TextBody"/>
        <w:bidi w:val="0"/>
        <w:spacing w:before="240" w:after="0"/>
        <w:jc w:val="left"/>
        <w:rPr>
          <w:rFonts w:ascii="ARIAL" w:hAnsi="ARIAL"/>
          <w:sz w:val="20"/>
        </w:rPr>
      </w:pPr>
      <w:r>
        <w:rPr>
          <w:rFonts w:ascii="ARIAL" w:hAnsi="ARIAL"/>
          <w:sz w:val="20"/>
        </w:rPr>
        <w:t xml:space="preserve">Filed by a Party other than the Registrant ☐ </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pPr>
            <w:r>
              <w:rPr/>
              <w:t>☐</w:t>
            </w:r>
          </w:p>
        </w:tc>
        <w:tc>
          <w:tcPr>
            <w:tcW w:w="9390" w:type="dxa"/>
            <w:tcBorders/>
          </w:tcPr>
          <w:p>
            <w:pPr>
              <w:pStyle w:val="TableContents"/>
              <w:bidi w:val="0"/>
              <w:spacing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pPr>
            <w:r>
              <w:rPr/>
              <w:t>☐</w:t>
            </w:r>
          </w:p>
        </w:tc>
        <w:tc>
          <w:tcPr>
            <w:tcW w:w="9390" w:type="dxa"/>
            <w:tcBorders/>
          </w:tcPr>
          <w:p>
            <w:pPr>
              <w:pStyle w:val="TableContents"/>
              <w:bidi w:val="0"/>
              <w:spacing w:before="0" w:after="0"/>
              <w:jc w:val="left"/>
              <w:rPr>
                <w:rFonts w:ascii="ARIAL" w:hAnsi="ARIAL"/>
                <w:sz w:val="20"/>
              </w:rPr>
            </w:pPr>
            <w:r>
              <w:rPr>
                <w:rFonts w:ascii="ARIAL" w:hAnsi="ARIAL"/>
                <w:b/>
                <w:sz w:val="20"/>
              </w:rPr>
              <w:t>Confidential, for Use of the Commission Only as permitted by Rule 14a-6(e)(2))</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pPr>
            <w:r>
              <w:rPr/>
              <w:t>☐</w:t>
            </w:r>
          </w:p>
        </w:tc>
        <w:tc>
          <w:tcPr>
            <w:tcW w:w="9389" w:type="dxa"/>
            <w:tcBorders/>
          </w:tcPr>
          <w:p>
            <w:pPr>
              <w:pStyle w:val="TableContents"/>
              <w:bidi w:val="0"/>
              <w:spacing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before="0" w:after="283"/>
              <w:jc w:val="left"/>
              <w:rPr/>
            </w:pPr>
            <w:r>
              <w:rPr/>
              <w:t>☒</w:t>
            </w:r>
          </w:p>
        </w:tc>
        <w:tc>
          <w:tcPr>
            <w:tcW w:w="9391" w:type="dxa"/>
            <w:tcBorders/>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pPr>
            <w:r>
              <w:rPr/>
              <w:t>☐</w:t>
            </w:r>
          </w:p>
        </w:tc>
        <w:tc>
          <w:tcPr>
            <w:tcW w:w="9389" w:type="dxa"/>
            <w:tcBorders/>
          </w:tcPr>
          <w:p>
            <w:pPr>
              <w:pStyle w:val="TableContents"/>
              <w:bidi w:val="0"/>
              <w:spacing w:before="0" w:after="0"/>
              <w:jc w:val="left"/>
              <w:rPr>
                <w:rFonts w:ascii="ARIAL" w:hAnsi="ARIAL"/>
                <w:sz w:val="20"/>
              </w:rPr>
            </w:pPr>
            <w:r>
              <w:rPr>
                <w:rFonts w:ascii="ARIAL" w:hAnsi="ARIAL"/>
                <w:sz w:val="20"/>
              </w:rPr>
              <w:t xml:space="preserve">Soliciting Material Pursuant to § 240.14a-12 </w:t>
            </w:r>
          </w:p>
        </w:tc>
      </w:tr>
    </w:tbl>
    <w:p>
      <w:pPr>
        <w:pStyle w:val="TextBody"/>
        <w:bidi w:val="0"/>
        <w:spacing w:before="240" w:after="0"/>
        <w:jc w:val="center"/>
        <w:rPr>
          <w:rFonts w:ascii="ARIAL" w:hAnsi="ARIAL"/>
          <w:b/>
          <w:sz w:val="32"/>
        </w:rPr>
      </w:pPr>
      <w:r>
        <w:rPr>
          <w:rFonts w:ascii="ARIAL" w:hAnsi="ARIAL"/>
          <w:b/>
          <w:sz w:val="32"/>
        </w:rPr>
        <w:t xml:space="preserve">STERIS plc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pPr>
            <w:r>
              <w:rPr/>
              <w:t>☒</w:t>
            </w:r>
          </w:p>
        </w:tc>
        <w:tc>
          <w:tcPr>
            <w:tcW w:w="9390" w:type="dxa"/>
            <w:tcBorders/>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pPr>
            <w:r>
              <w:rPr/>
              <w:t>☐</w:t>
            </w:r>
          </w:p>
        </w:tc>
        <w:tc>
          <w:tcPr>
            <w:tcW w:w="9390" w:type="dxa"/>
            <w:tcBorders/>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tcPr>
          <w:p>
            <w:pPr>
              <w:pStyle w:val="TableContents"/>
              <w:bidi w:val="0"/>
              <w:spacing w:before="0" w:after="283"/>
              <w:jc w:val="left"/>
              <w:rPr/>
            </w:pPr>
            <w:r>
              <w:rPr/>
              <w:t>☐</w:t>
            </w:r>
          </w:p>
        </w:tc>
        <w:tc>
          <w:tcPr>
            <w:tcW w:w="9392" w:type="dxa"/>
            <w:tcBorders/>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14a-6(i)(l)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4" w:space="1" w:color="000000"/>
        </w:rPr>
      </w:pPr>
      <w:r>
        <w:rPr>
          <w:bdr w:val="single" w:sz="24"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11"/>
        <w:gridCol w:w="415"/>
        <w:gridCol w:w="1349"/>
        <w:gridCol w:w="85"/>
        <w:gridCol w:w="4742"/>
        <w:gridCol w:w="85"/>
        <w:gridCol w:w="825"/>
        <w:gridCol w:w="85"/>
        <w:gridCol w:w="60"/>
        <w:gridCol w:w="85"/>
        <w:gridCol w:w="363"/>
      </w:tblGrid>
      <w:tr>
        <w:trPr/>
        <w:tc>
          <w:tcPr>
            <w:tcW w:w="2111"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4742"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742" w:type="dxa"/>
            <w:tcBorders/>
          </w:tcPr>
          <w:p>
            <w:pPr>
              <w:pStyle w:val="TableContents"/>
              <w:bidi w:val="0"/>
              <w:spacing w:before="0" w:after="283"/>
              <w:jc w:val="left"/>
              <w:rPr>
                <w:sz w:val="4"/>
                <w:szCs w:val="4"/>
              </w:rPr>
            </w:pPr>
            <w:r>
              <w:rPr>
                <w:sz w:val="4"/>
                <w:szCs w:val="4"/>
              </w:rPr>
            </w:r>
          </w:p>
        </w:tc>
        <w:tc>
          <w:tcPr>
            <w:tcW w:w="85" w:type="dxa"/>
            <w:tcBorders/>
            <w:shd w:fill="007BB6" w:val="clear"/>
            <w:vAlign w:val="bottom"/>
          </w:tcPr>
          <w:p>
            <w:pPr>
              <w:pStyle w:val="TableContents"/>
              <w:bidi w:val="0"/>
              <w:spacing w:before="0" w:after="283"/>
              <w:jc w:val="left"/>
              <w:rPr/>
            </w:pPr>
            <w:r>
              <w:rPr/>
              <w:t> </w:t>
            </w:r>
          </w:p>
        </w:tc>
        <w:tc>
          <w:tcPr>
            <w:tcW w:w="825" w:type="dxa"/>
            <w:tcBorders/>
            <w:shd w:fill="007BB6" w:val="clear"/>
          </w:tcPr>
          <w:p>
            <w:pPr>
              <w:pStyle w:val="TableContents"/>
              <w:bidi w:val="0"/>
              <w:spacing w:before="0" w:after="283"/>
              <w:jc w:val="left"/>
              <w:rPr>
                <w:color w:val="004878"/>
              </w:rPr>
            </w:pPr>
            <w:r>
              <w:rPr>
                <w:color w:val="004878"/>
              </w:rPr>
              <w:t>      </w:t>
            </w:r>
          </w:p>
        </w:tc>
        <w:tc>
          <w:tcPr>
            <w:tcW w:w="85" w:type="dxa"/>
            <w:tcBorders/>
            <w:shd w:fill="007BB6" w:val="clear"/>
            <w:vAlign w:val="bottom"/>
          </w:tcPr>
          <w:p>
            <w:pPr>
              <w:pStyle w:val="TableContents"/>
              <w:bidi w:val="0"/>
              <w:spacing w:before="0" w:after="283"/>
              <w:jc w:val="left"/>
              <w:rPr/>
            </w:pPr>
            <w:r>
              <w:rPr/>
              <w:t> </w:t>
            </w:r>
          </w:p>
        </w:tc>
        <w:tc>
          <w:tcPr>
            <w:tcW w:w="60" w:type="dxa"/>
            <w:tcBorders/>
            <w:shd w:fill="007BB6" w:val="clear"/>
          </w:tcPr>
          <w:p>
            <w:pPr>
              <w:pStyle w:val="TableContents"/>
              <w:bidi w:val="0"/>
              <w:spacing w:before="0" w:after="283"/>
              <w:jc w:val="left"/>
              <w:rPr>
                <w:sz w:val="4"/>
                <w:szCs w:val="4"/>
              </w:rPr>
            </w:pPr>
            <w:r>
              <w:rPr>
                <w:sz w:val="4"/>
                <w:szCs w:val="4"/>
              </w:rPr>
            </w:r>
          </w:p>
        </w:tc>
        <w:tc>
          <w:tcPr>
            <w:tcW w:w="85" w:type="dxa"/>
            <w:tcBorders/>
            <w:shd w:fill="007BB6" w:val="clear"/>
            <w:vAlign w:val="bottom"/>
          </w:tcPr>
          <w:p>
            <w:pPr>
              <w:pStyle w:val="TableContents"/>
              <w:bidi w:val="0"/>
              <w:spacing w:before="0" w:after="283"/>
              <w:jc w:val="left"/>
              <w:rPr/>
            </w:pPr>
            <w:r>
              <w:rPr/>
              <w:t> </w:t>
            </w:r>
          </w:p>
        </w:tc>
        <w:tc>
          <w:tcPr>
            <w:tcW w:w="363" w:type="dxa"/>
            <w:tcBorders/>
            <w:shd w:fill="007BB6" w:val="clear"/>
          </w:tcPr>
          <w:p>
            <w:pPr>
              <w:pStyle w:val="TableContents"/>
              <w:bidi w:val="0"/>
              <w:spacing w:before="0" w:after="283"/>
              <w:jc w:val="left"/>
              <w:rPr>
                <w:sz w:val="4"/>
                <w:szCs w:val="4"/>
              </w:rPr>
            </w:pPr>
            <w:r>
              <w:rPr>
                <w:sz w:val="4"/>
                <w:szCs w:val="4"/>
              </w:rPr>
            </w:r>
          </w:p>
        </w:tc>
      </w:tr>
      <w:tr>
        <w:trPr/>
        <w:tc>
          <w:tcPr>
            <w:tcW w:w="2111"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4742" w:type="dxa"/>
            <w:tcBorders/>
            <w:vAlign w:val="bottom"/>
          </w:tcPr>
          <w:p>
            <w:pPr>
              <w:pStyle w:val="TableContents"/>
              <w:bidi w:val="0"/>
              <w:spacing w:before="0" w:after="283"/>
              <w:jc w:val="left"/>
              <w:rPr/>
            </w:pPr>
            <w:r>
              <w:rPr/>
              <w:t> </w:t>
            </w:r>
          </w:p>
        </w:tc>
        <w:tc>
          <w:tcPr>
            <w:tcW w:w="85" w:type="dxa"/>
            <w:tcBorders/>
            <w:shd w:fill="007BB6" w:val="clear"/>
            <w:vAlign w:val="bottom"/>
          </w:tcPr>
          <w:p>
            <w:pPr>
              <w:pStyle w:val="TableContents"/>
              <w:bidi w:val="0"/>
              <w:spacing w:before="0" w:after="283"/>
              <w:jc w:val="left"/>
              <w:rPr/>
            </w:pPr>
            <w:r>
              <w:rPr/>
              <w:t> </w:t>
            </w:r>
          </w:p>
        </w:tc>
        <w:tc>
          <w:tcPr>
            <w:tcW w:w="825" w:type="dxa"/>
            <w:tcBorders/>
            <w:shd w:fill="007BB6" w:val="clear"/>
            <w:vAlign w:val="bottom"/>
          </w:tcPr>
          <w:p>
            <w:pPr>
              <w:pStyle w:val="TableContents"/>
              <w:bidi w:val="0"/>
              <w:spacing w:before="0" w:after="283"/>
              <w:jc w:val="center"/>
              <w:rPr>
                <w:color w:val="004878"/>
              </w:rPr>
            </w:pPr>
            <w:r>
              <w:rPr>
                <w:color w:val="004878"/>
              </w:rPr>
              <w:t> </w:t>
            </w:r>
          </w:p>
        </w:tc>
        <w:tc>
          <w:tcPr>
            <w:tcW w:w="85" w:type="dxa"/>
            <w:tcBorders/>
            <w:shd w:fill="007BB6" w:val="clear"/>
            <w:vAlign w:val="bottom"/>
          </w:tcPr>
          <w:p>
            <w:pPr>
              <w:pStyle w:val="TableContents"/>
              <w:bidi w:val="0"/>
              <w:spacing w:before="0" w:after="283"/>
              <w:jc w:val="left"/>
              <w:rPr/>
            </w:pPr>
            <w:r>
              <w:rPr/>
              <w:t> </w:t>
            </w:r>
          </w:p>
        </w:tc>
        <w:tc>
          <w:tcPr>
            <w:tcW w:w="60" w:type="dxa"/>
            <w:tcBorders/>
            <w:shd w:fill="007BB6" w:val="clear"/>
            <w:vAlign w:val="bottom"/>
          </w:tcPr>
          <w:p>
            <w:pPr>
              <w:pStyle w:val="TableContents"/>
              <w:bidi w:val="0"/>
              <w:spacing w:before="0" w:after="283"/>
              <w:jc w:val="left"/>
              <w:rPr/>
            </w:pPr>
            <w:r>
              <w:rPr/>
              <w:t> </w:t>
            </w:r>
          </w:p>
        </w:tc>
        <w:tc>
          <w:tcPr>
            <w:tcW w:w="85" w:type="dxa"/>
            <w:tcBorders/>
            <w:shd w:fill="007BB6" w:val="clear"/>
            <w:vAlign w:val="bottom"/>
          </w:tcPr>
          <w:p>
            <w:pPr>
              <w:pStyle w:val="TableContents"/>
              <w:bidi w:val="0"/>
              <w:spacing w:before="0" w:after="283"/>
              <w:jc w:val="left"/>
              <w:rPr/>
            </w:pPr>
            <w:r>
              <w:rPr/>
              <w:t> </w:t>
            </w:r>
          </w:p>
        </w:tc>
        <w:tc>
          <w:tcPr>
            <w:tcW w:w="363" w:type="dxa"/>
            <w:tcBorders/>
            <w:shd w:fill="007BB6" w:val="clear"/>
            <w:vAlign w:val="bottom"/>
          </w:tcPr>
          <w:p>
            <w:pPr>
              <w:pStyle w:val="TableContents"/>
              <w:bidi w:val="0"/>
              <w:spacing w:before="0" w:after="283"/>
              <w:jc w:val="left"/>
              <w:rPr/>
            </w:pPr>
            <w:r>
              <w:rPr/>
              <w:t> </w:t>
            </w:r>
          </w:p>
        </w:tc>
      </w:tr>
      <w:tr>
        <w:trPr/>
        <w:tc>
          <w:tcPr>
            <w:tcW w:w="2111"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5652" w:type="dxa"/>
            <w:gridSpan w:val="3"/>
            <w:tcBorders/>
          </w:tcPr>
          <w:p>
            <w:pPr>
              <w:pStyle w:val="TableContents"/>
              <w:bidi w:val="0"/>
              <w:spacing w:before="0" w:after="0"/>
              <w:jc w:val="left"/>
              <w:rPr/>
            </w:pPr>
            <w:r>
              <w:rPr/>
              <w:t> </w:t>
            </w:r>
          </w:p>
          <w:p>
            <w:pPr>
              <w:pStyle w:val="TableContents"/>
              <w:bidi w:val="0"/>
              <w:spacing w:before="0" w:after="20"/>
              <w:jc w:val="center"/>
              <w:rPr>
                <w:rFonts w:ascii="ARIAL" w:hAnsi="ARIAL"/>
                <w:color w:val="004878"/>
                <w:sz w:val="52"/>
              </w:rPr>
            </w:pPr>
            <w:r>
              <w:rPr>
                <w:rFonts w:ascii="ARIAL" w:hAnsi="ARIAL"/>
                <w:color w:val="004878"/>
                <w:sz w:val="52"/>
              </w:rPr>
              <w:t xml:space="preserve">Your </w:t>
            </w:r>
            <w:r>
              <w:rPr>
                <w:rFonts w:ascii="ARIAL" w:hAnsi="ARIAL"/>
                <w:b/>
                <w:color w:val="004878"/>
                <w:sz w:val="52"/>
              </w:rPr>
              <w:t>Vote</w:t>
            </w:r>
            <w:r>
              <w:rPr>
                <w:rFonts w:ascii="ARIAL" w:hAnsi="ARIAL"/>
                <w:color w:val="004878"/>
                <w:sz w:val="52"/>
              </w:rPr>
              <w:t xml:space="preserve"> Counts!</w:t>
            </w:r>
          </w:p>
        </w:tc>
        <w:tc>
          <w:tcPr>
            <w:tcW w:w="85" w:type="dxa"/>
            <w:tcBorders/>
            <w:shd w:fill="007BB6" w:val="clear"/>
            <w:vAlign w:val="bottom"/>
          </w:tcPr>
          <w:p>
            <w:pPr>
              <w:pStyle w:val="TableContents"/>
              <w:bidi w:val="0"/>
              <w:spacing w:before="0" w:after="283"/>
              <w:jc w:val="left"/>
              <w:rPr/>
            </w:pPr>
            <w:r>
              <w:rPr/>
              <w:t> </w:t>
            </w:r>
          </w:p>
        </w:tc>
        <w:tc>
          <w:tcPr>
            <w:tcW w:w="60" w:type="dxa"/>
            <w:tcBorders/>
            <w:shd w:fill="007BB6" w:val="clear"/>
          </w:tcPr>
          <w:p>
            <w:pPr>
              <w:pStyle w:val="TableContents"/>
              <w:bidi w:val="0"/>
              <w:spacing w:before="0" w:after="283"/>
              <w:jc w:val="left"/>
              <w:rPr>
                <w:sz w:val="4"/>
                <w:szCs w:val="4"/>
              </w:rPr>
            </w:pPr>
            <w:r>
              <w:rPr>
                <w:sz w:val="4"/>
                <w:szCs w:val="4"/>
              </w:rPr>
            </w:r>
          </w:p>
        </w:tc>
        <w:tc>
          <w:tcPr>
            <w:tcW w:w="85" w:type="dxa"/>
            <w:tcBorders/>
            <w:shd w:fill="007BB6" w:val="clear"/>
            <w:vAlign w:val="bottom"/>
          </w:tcPr>
          <w:p>
            <w:pPr>
              <w:pStyle w:val="TableContents"/>
              <w:bidi w:val="0"/>
              <w:spacing w:before="0" w:after="283"/>
              <w:jc w:val="left"/>
              <w:rPr/>
            </w:pPr>
            <w:r>
              <w:rPr/>
              <w:t> </w:t>
            </w:r>
          </w:p>
        </w:tc>
        <w:tc>
          <w:tcPr>
            <w:tcW w:w="363" w:type="dxa"/>
            <w:tcBorders/>
            <w:shd w:fill="007BB6" w:val="clear"/>
          </w:tcPr>
          <w:p>
            <w:pPr>
              <w:pStyle w:val="TableContents"/>
              <w:bidi w:val="0"/>
              <w:spacing w:before="0" w:after="283"/>
              <w:jc w:val="left"/>
              <w:rPr>
                <w:color w:val="004878"/>
              </w:rPr>
            </w:pPr>
            <w:r>
              <w:rPr>
                <w:color w:val="004878"/>
              </w:rPr>
              <w:t>  </w:t>
            </w:r>
          </w:p>
        </w:tc>
      </w:tr>
      <w:tr>
        <w:trPr/>
        <w:tc>
          <w:tcPr>
            <w:tcW w:w="3875" w:type="dxa"/>
            <w:gridSpan w:val="3"/>
            <w:vMerge w:val="restart"/>
            <w:tcBorders/>
            <w:vAlign w:val="bottom"/>
          </w:tcPr>
          <w:p>
            <w:pPr>
              <w:pStyle w:val="TableContents"/>
              <w:bidi w:val="0"/>
              <w:spacing w:before="0" w:after="0"/>
              <w:jc w:val="left"/>
              <w:rPr/>
            </w:pPr>
            <w:r>
              <w:rPr/>
              <w:drawing>
                <wp:inline distT="0" distB="0" distL="0" distR="0">
                  <wp:extent cx="166687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400050"/>
                          </a:xfrm>
                          <a:prstGeom prst="rect">
                            <a:avLst/>
                          </a:prstGeom>
                        </pic:spPr>
                      </pic:pic>
                    </a:graphicData>
                  </a:graphic>
                </wp:inline>
              </w:drawing>
            </w:r>
            <w:r>
              <w:rPr/>
              <w:t xml:space="preserve"> </w:t>
            </w:r>
          </w:p>
          <w:p>
            <w:pPr>
              <w:pStyle w:val="TableContents"/>
              <w:bidi w:val="0"/>
              <w:spacing w:before="0" w:after="20"/>
              <w:jc w:val="left"/>
              <w:rPr/>
            </w:pPr>
            <w:r>
              <w:rPr/>
              <w:t> </w:t>
            </w:r>
          </w:p>
        </w:tc>
        <w:tc>
          <w:tcPr>
            <w:tcW w:w="85" w:type="dxa"/>
            <w:tcBorders/>
            <w:vAlign w:val="bottom"/>
          </w:tcPr>
          <w:p>
            <w:pPr>
              <w:pStyle w:val="TableContents"/>
              <w:bidi w:val="0"/>
              <w:spacing w:before="0" w:after="283"/>
              <w:jc w:val="left"/>
              <w:rPr/>
            </w:pPr>
            <w:r>
              <w:rPr/>
              <w:t> </w:t>
            </w:r>
          </w:p>
        </w:tc>
        <w:tc>
          <w:tcPr>
            <w:tcW w:w="5652" w:type="dxa"/>
            <w:gridSpan w:val="3"/>
            <w:tcBorders/>
          </w:tcPr>
          <w:p>
            <w:pPr>
              <w:pStyle w:val="TableContents"/>
              <w:bidi w:val="0"/>
              <w:spacing w:before="0" w:after="0"/>
              <w:jc w:val="left"/>
              <w:rPr/>
            </w:pPr>
            <w:r>
              <w:rPr/>
              <w:t> </w:t>
            </w:r>
          </w:p>
          <w:p>
            <w:pPr>
              <w:pStyle w:val="TableContents"/>
              <w:bidi w:val="0"/>
              <w:spacing w:before="0" w:after="0"/>
              <w:jc w:val="center"/>
              <w:rPr>
                <w:rFonts w:ascii="ARIAL" w:hAnsi="ARIAL"/>
                <w:b/>
                <w:color w:val="004878"/>
                <w:sz w:val="20"/>
              </w:rPr>
            </w:pPr>
            <w:r>
              <w:rPr>
                <w:rFonts w:ascii="ARIAL" w:hAnsi="ARIAL"/>
                <w:b/>
                <w:color w:val="004878"/>
                <w:sz w:val="20"/>
              </w:rPr>
              <w:t>STERIS plc</w:t>
            </w:r>
          </w:p>
          <w:p>
            <w:pPr>
              <w:pStyle w:val="TableContents"/>
              <w:bidi w:val="0"/>
              <w:spacing w:before="0" w:after="0"/>
              <w:jc w:val="left"/>
              <w:rPr/>
            </w:pPr>
            <w:r>
              <w:rPr/>
              <w:t> </w:t>
            </w:r>
          </w:p>
          <w:p>
            <w:pPr>
              <w:pStyle w:val="TableContents"/>
              <w:bidi w:val="0"/>
              <w:spacing w:before="0" w:after="0"/>
              <w:jc w:val="center"/>
              <w:rPr>
                <w:rFonts w:ascii="ARIAL" w:hAnsi="ARIAL"/>
                <w:color w:val="004878"/>
                <w:sz w:val="22"/>
              </w:rPr>
            </w:pPr>
            <w:r>
              <w:rPr>
                <w:rFonts w:ascii="ARIAL" w:hAnsi="ARIAL"/>
                <w:color w:val="004878"/>
                <w:sz w:val="22"/>
              </w:rPr>
              <w:t>2026 Annual General Meeting</w:t>
            </w:r>
          </w:p>
          <w:p>
            <w:pPr>
              <w:pStyle w:val="TableContents"/>
              <w:bidi w:val="0"/>
              <w:spacing w:before="0" w:after="20"/>
              <w:jc w:val="left"/>
              <w:rPr>
                <w:rFonts w:ascii="ARIAL" w:hAnsi="ARIAL"/>
                <w:color w:val="004878"/>
                <w:sz w:val="18"/>
              </w:rPr>
            </w:pPr>
            <w:r>
              <w:rPr>
                <w:rFonts w:ascii="ARIAL" w:hAnsi="ARIAL"/>
                <w:color w:val="004878"/>
                <w:sz w:val="18"/>
              </w:rPr>
              <w:t>Vote by 4:59 a.m. Irish Standard Time on Thursday, July 30, 2026 (11:59 p.m. Eastern Daylight Time on Wednesday, July 29, 2026). For shares held in the STERIS Corporation 401(K) Plan, vote by 4:59 a.m. Irish Standard Time on Sunday, July 26, 2026 (11:59 p.m. Eastern Daylight Time on Saturday, July 25, 2026)</w:t>
            </w:r>
          </w:p>
        </w:tc>
        <w:tc>
          <w:tcPr>
            <w:tcW w:w="85" w:type="dxa"/>
            <w:vMerge w:val="restart"/>
            <w:tcBorders/>
            <w:shd w:fill="007BB6" w:val="clear"/>
            <w:vAlign w:val="bottom"/>
          </w:tcPr>
          <w:p>
            <w:pPr>
              <w:pStyle w:val="TableContents"/>
              <w:bidi w:val="0"/>
              <w:spacing w:before="0" w:after="283"/>
              <w:jc w:val="left"/>
              <w:rPr/>
            </w:pPr>
            <w:r>
              <w:rPr/>
              <w:t> </w:t>
            </w:r>
          </w:p>
        </w:tc>
        <w:tc>
          <w:tcPr>
            <w:tcW w:w="60" w:type="dxa"/>
            <w:vMerge w:val="restart"/>
            <w:tcBorders/>
            <w:shd w:fill="007BB6" w:val="clear"/>
          </w:tcPr>
          <w:p>
            <w:pPr>
              <w:pStyle w:val="TableContents"/>
              <w:bidi w:val="0"/>
              <w:spacing w:before="0" w:after="283"/>
              <w:jc w:val="left"/>
              <w:rPr>
                <w:sz w:val="4"/>
                <w:szCs w:val="4"/>
              </w:rPr>
            </w:pPr>
            <w:r>
              <w:rPr>
                <w:sz w:val="4"/>
                <w:szCs w:val="4"/>
              </w:rPr>
            </w:r>
          </w:p>
        </w:tc>
        <w:tc>
          <w:tcPr>
            <w:tcW w:w="85" w:type="dxa"/>
            <w:vMerge w:val="restart"/>
            <w:tcBorders/>
            <w:shd w:fill="007BB6" w:val="clear"/>
            <w:vAlign w:val="bottom"/>
          </w:tcPr>
          <w:p>
            <w:pPr>
              <w:pStyle w:val="TableContents"/>
              <w:bidi w:val="0"/>
              <w:spacing w:before="0" w:after="283"/>
              <w:jc w:val="left"/>
              <w:rPr/>
            </w:pPr>
            <w:r>
              <w:rPr/>
              <w:t> </w:t>
            </w:r>
          </w:p>
        </w:tc>
        <w:tc>
          <w:tcPr>
            <w:tcW w:w="363" w:type="dxa"/>
            <w:vMerge w:val="restart"/>
            <w:tcBorders/>
            <w:shd w:fill="007BB6" w:val="clear"/>
          </w:tcPr>
          <w:p>
            <w:pPr>
              <w:pStyle w:val="TableContents"/>
              <w:bidi w:val="0"/>
              <w:spacing w:before="0" w:after="283"/>
              <w:jc w:val="left"/>
              <w:rPr>
                <w:color w:val="004878"/>
              </w:rPr>
            </w:pPr>
            <w:r>
              <w:rPr>
                <w:color w:val="004878"/>
              </w:rPr>
              <w:t>  </w:t>
            </w:r>
          </w:p>
        </w:tc>
      </w:tr>
      <w:tr>
        <w:trPr/>
        <w:tc>
          <w:tcPr>
            <w:tcW w:w="3875" w:type="dxa"/>
            <w:gridSpan w:val="3"/>
            <w:vMerge w:val="continue"/>
            <w:tcBorders/>
            <w:vAlign w:val="bottom"/>
          </w:tcPr>
          <w:p>
            <w:pPr>
              <w:pStyle w:val="Normal"/>
              <w:bidi w:val="0"/>
              <w:jc w:val="left"/>
              <w:rPr/>
            </w:pPr>
            <w:r>
              <w:rPr/>
            </w:r>
          </w:p>
        </w:tc>
        <w:tc>
          <w:tcPr>
            <w:tcW w:w="85" w:type="dxa"/>
            <w:tcBorders/>
            <w:vAlign w:val="bottom"/>
          </w:tcPr>
          <w:p>
            <w:pPr>
              <w:pStyle w:val="TableContents"/>
              <w:bidi w:val="0"/>
              <w:spacing w:before="0" w:after="283"/>
              <w:jc w:val="left"/>
              <w:rPr/>
            </w:pPr>
            <w:r>
              <w:rPr/>
              <w:t> </w:t>
            </w:r>
          </w:p>
        </w:tc>
        <w:tc>
          <w:tcPr>
            <w:tcW w:w="474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sz w:val="4"/>
                <w:szCs w:val="4"/>
              </w:rPr>
            </w:pPr>
            <w:r>
              <w:rPr>
                <w:sz w:val="4"/>
                <w:szCs w:val="4"/>
              </w:rPr>
            </w:r>
          </w:p>
        </w:tc>
        <w:tc>
          <w:tcPr>
            <w:tcW w:w="85" w:type="dxa"/>
            <w:vMerge w:val="continue"/>
            <w:tcBorders/>
            <w:shd w:fill="007BB6" w:val="clear"/>
            <w:vAlign w:val="bottom"/>
          </w:tcPr>
          <w:p>
            <w:pPr>
              <w:pStyle w:val="Normal"/>
              <w:bidi w:val="0"/>
              <w:jc w:val="left"/>
              <w:rPr/>
            </w:pPr>
            <w:r>
              <w:rPr/>
            </w:r>
          </w:p>
        </w:tc>
        <w:tc>
          <w:tcPr>
            <w:tcW w:w="60" w:type="dxa"/>
            <w:vMerge w:val="continue"/>
            <w:tcBorders/>
            <w:shd w:fill="007BB6" w:val="clear"/>
          </w:tcPr>
          <w:p>
            <w:pPr>
              <w:pStyle w:val="Normal"/>
              <w:bidi w:val="0"/>
              <w:jc w:val="left"/>
              <w:rPr/>
            </w:pPr>
            <w:r>
              <w:rPr/>
            </w:r>
          </w:p>
        </w:tc>
        <w:tc>
          <w:tcPr>
            <w:tcW w:w="85" w:type="dxa"/>
            <w:vMerge w:val="continue"/>
            <w:tcBorders/>
            <w:shd w:fill="007BB6" w:val="clear"/>
            <w:vAlign w:val="bottom"/>
          </w:tcPr>
          <w:p>
            <w:pPr>
              <w:pStyle w:val="Normal"/>
              <w:bidi w:val="0"/>
              <w:jc w:val="left"/>
              <w:rPr/>
            </w:pPr>
            <w:r>
              <w:rPr/>
            </w:r>
          </w:p>
        </w:tc>
        <w:tc>
          <w:tcPr>
            <w:tcW w:w="363" w:type="dxa"/>
            <w:vMerge w:val="continue"/>
            <w:tcBorders/>
            <w:shd w:fill="007BB6" w:val="clear"/>
          </w:tcPr>
          <w:p>
            <w:pPr>
              <w:pStyle w:val="Normal"/>
              <w:bidi w:val="0"/>
              <w:jc w:val="left"/>
              <w:rPr/>
            </w:pPr>
            <w:r>
              <w:rPr/>
            </w:r>
          </w:p>
        </w:tc>
      </w:tr>
      <w:tr>
        <w:trPr/>
        <w:tc>
          <w:tcPr>
            <w:tcW w:w="3875" w:type="dxa"/>
            <w:gridSpan w:val="3"/>
            <w:vMerge w:val="continue"/>
            <w:tcBorders/>
            <w:vAlign w:val="bottom"/>
          </w:tcPr>
          <w:p>
            <w:pPr>
              <w:pStyle w:val="Normal"/>
              <w:bidi w:val="0"/>
              <w:jc w:val="left"/>
              <w:rPr/>
            </w:pPr>
            <w:r>
              <w:rPr/>
            </w:r>
          </w:p>
        </w:tc>
        <w:tc>
          <w:tcPr>
            <w:tcW w:w="85" w:type="dxa"/>
            <w:vMerge w:val="restart"/>
            <w:tcBorders/>
            <w:vAlign w:val="bottom"/>
          </w:tcPr>
          <w:p>
            <w:pPr>
              <w:pStyle w:val="TableContents"/>
              <w:bidi w:val="0"/>
              <w:spacing w:before="0" w:after="283"/>
              <w:jc w:val="left"/>
              <w:rPr/>
            </w:pPr>
            <w:r>
              <w:rPr/>
              <w:t> </w:t>
            </w:r>
          </w:p>
        </w:tc>
        <w:tc>
          <w:tcPr>
            <w:tcW w:w="5652" w:type="dxa"/>
            <w:gridSpan w:val="3"/>
            <w:vMerge w:val="restart"/>
            <w:tcBorders/>
          </w:tcPr>
          <w:p>
            <w:pPr>
              <w:pStyle w:val="TableContents"/>
              <w:bidi w:val="0"/>
              <w:spacing w:before="0" w:after="20"/>
              <w:jc w:val="right"/>
              <w:rPr/>
            </w:pPr>
            <w:r>
              <w:rPr/>
              <w:drawing>
                <wp:inline distT="0" distB="0" distL="0" distR="0">
                  <wp:extent cx="2771775" cy="2095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71775" cy="2095500"/>
                          </a:xfrm>
                          <a:prstGeom prst="rect">
                            <a:avLst/>
                          </a:prstGeom>
                        </pic:spPr>
                      </pic:pic>
                    </a:graphicData>
                  </a:graphic>
                </wp:inline>
              </w:drawing>
            </w:r>
            <w:r>
              <w:rPr/>
              <w:t xml:space="preserve">  </w:t>
            </w:r>
          </w:p>
        </w:tc>
        <w:tc>
          <w:tcPr>
            <w:tcW w:w="85" w:type="dxa"/>
            <w:tcBorders/>
            <w:shd w:fill="007BB6" w:val="clear"/>
            <w:vAlign w:val="bottom"/>
          </w:tcPr>
          <w:p>
            <w:pPr>
              <w:pStyle w:val="TableContents"/>
              <w:bidi w:val="0"/>
              <w:spacing w:before="0" w:after="283"/>
              <w:jc w:val="left"/>
              <w:rPr/>
            </w:pPr>
            <w:r>
              <w:rPr/>
              <w:t> </w:t>
            </w:r>
          </w:p>
        </w:tc>
        <w:tc>
          <w:tcPr>
            <w:tcW w:w="60" w:type="dxa"/>
            <w:tcBorders/>
            <w:shd w:fill="007BB6" w:val="clear"/>
            <w:vAlign w:val="bottom"/>
          </w:tcPr>
          <w:p>
            <w:pPr>
              <w:pStyle w:val="TableContents"/>
              <w:bidi w:val="0"/>
              <w:spacing w:before="0" w:after="283"/>
              <w:jc w:val="left"/>
              <w:rPr>
                <w:sz w:val="4"/>
                <w:szCs w:val="4"/>
              </w:rPr>
            </w:pPr>
            <w:r>
              <w:rPr>
                <w:sz w:val="4"/>
                <w:szCs w:val="4"/>
              </w:rPr>
            </w:r>
          </w:p>
        </w:tc>
        <w:tc>
          <w:tcPr>
            <w:tcW w:w="85" w:type="dxa"/>
            <w:tcBorders/>
            <w:shd w:fill="007BB6" w:val="clear"/>
            <w:vAlign w:val="bottom"/>
          </w:tcPr>
          <w:p>
            <w:pPr>
              <w:pStyle w:val="TableContents"/>
              <w:bidi w:val="0"/>
              <w:spacing w:before="0" w:after="283"/>
              <w:jc w:val="left"/>
              <w:rPr/>
            </w:pPr>
            <w:r>
              <w:rPr/>
              <w:t> </w:t>
            </w:r>
          </w:p>
        </w:tc>
        <w:tc>
          <w:tcPr>
            <w:tcW w:w="363" w:type="dxa"/>
            <w:tcBorders/>
            <w:shd w:fill="007BB6" w:val="clear"/>
          </w:tcPr>
          <w:p>
            <w:pPr>
              <w:pStyle w:val="TableContents"/>
              <w:bidi w:val="0"/>
              <w:spacing w:before="0" w:after="283"/>
              <w:jc w:val="left"/>
              <w:rPr>
                <w:sz w:val="4"/>
                <w:szCs w:val="4"/>
              </w:rPr>
            </w:pPr>
            <w:r>
              <w:rPr>
                <w:sz w:val="4"/>
                <w:szCs w:val="4"/>
              </w:rPr>
            </w:r>
          </w:p>
        </w:tc>
      </w:tr>
      <w:tr>
        <w:trPr/>
        <w:tc>
          <w:tcPr>
            <w:tcW w:w="3875" w:type="dxa"/>
            <w:gridSpan w:val="3"/>
            <w:tcBorders/>
          </w:tcPr>
          <w:p>
            <w:pPr>
              <w:pStyle w:val="TableContents"/>
              <w:bidi w:val="0"/>
              <w:spacing w:before="0" w:after="0"/>
              <w:jc w:val="left"/>
              <w:rPr>
                <w:rFonts w:ascii="ARIAL" w:hAnsi="ARIAL"/>
                <w:color w:val="004878"/>
                <w:sz w:val="10"/>
              </w:rPr>
            </w:pPr>
            <w:r>
              <w:rPr>
                <w:rFonts w:ascii="ARIAL" w:hAnsi="ARIAL"/>
                <w:color w:val="004878"/>
                <w:sz w:val="10"/>
              </w:rPr>
              <w:t>STERIS plc</w:t>
            </w:r>
          </w:p>
          <w:p>
            <w:pPr>
              <w:pStyle w:val="TableContents"/>
              <w:bidi w:val="0"/>
              <w:spacing w:before="0" w:after="0"/>
              <w:jc w:val="left"/>
              <w:rPr/>
            </w:pPr>
            <w:r>
              <w:rPr/>
              <w:t> </w:t>
            </w:r>
          </w:p>
          <w:p>
            <w:pPr>
              <w:pStyle w:val="TableContents"/>
              <w:bidi w:val="0"/>
              <w:spacing w:before="0" w:after="0"/>
              <w:jc w:val="left"/>
              <w:rPr>
                <w:rFonts w:ascii="ARIAL" w:hAnsi="ARIAL"/>
                <w:color w:val="004878"/>
                <w:sz w:val="10"/>
              </w:rPr>
            </w:pPr>
            <w:r>
              <w:rPr>
                <w:rFonts w:ascii="ARIAL" w:hAnsi="ARIAL"/>
                <w:color w:val="004878"/>
                <w:sz w:val="10"/>
              </w:rPr>
              <w:t>70 SIR JOHN ROGERSON’S QUAY</w:t>
            </w:r>
          </w:p>
          <w:p>
            <w:pPr>
              <w:pStyle w:val="TableContents"/>
              <w:bidi w:val="0"/>
              <w:spacing w:before="0" w:after="0"/>
              <w:jc w:val="left"/>
              <w:rPr/>
            </w:pPr>
            <w:r>
              <w:rPr/>
              <w:t> </w:t>
            </w:r>
          </w:p>
          <w:p>
            <w:pPr>
              <w:pStyle w:val="TableContents"/>
              <w:bidi w:val="0"/>
              <w:spacing w:before="0" w:after="0"/>
              <w:jc w:val="left"/>
              <w:rPr>
                <w:rFonts w:ascii="ARIAL" w:hAnsi="ARIAL"/>
                <w:color w:val="004878"/>
                <w:sz w:val="10"/>
              </w:rPr>
            </w:pPr>
            <w:r>
              <w:rPr>
                <w:rFonts w:ascii="ARIAL" w:hAnsi="ARIAL"/>
                <w:color w:val="004878"/>
                <w:sz w:val="10"/>
              </w:rPr>
              <w:t>DUBLIN 2, IRELAND</w:t>
            </w:r>
          </w:p>
          <w:p>
            <w:pPr>
              <w:pStyle w:val="TableContents"/>
              <w:bidi w:val="0"/>
              <w:spacing w:before="0" w:after="0"/>
              <w:jc w:val="left"/>
              <w:rPr/>
            </w:pPr>
            <w:r>
              <w:rPr/>
              <w:t> </w:t>
            </w:r>
          </w:p>
          <w:p>
            <w:pPr>
              <w:pStyle w:val="TableContents"/>
              <w:bidi w:val="0"/>
              <w:spacing w:before="0" w:after="0"/>
              <w:jc w:val="left"/>
              <w:rPr>
                <w:rFonts w:ascii="ARIAL" w:hAnsi="ARIAL"/>
                <w:color w:val="004878"/>
                <w:sz w:val="10"/>
              </w:rPr>
            </w:pPr>
            <w:r>
              <w:rPr>
                <w:rFonts w:ascii="ARIAL" w:hAnsi="ARIAL"/>
                <w:color w:val="004878"/>
                <w:sz w:val="10"/>
              </w:rPr>
              <w:t>(COMPANY NUMBER 595593)</w:t>
            </w:r>
          </w:p>
          <w:p>
            <w:pPr>
              <w:pStyle w:val="TableContents"/>
              <w:bidi w:val="0"/>
              <w:spacing w:before="0" w:after="20"/>
              <w:jc w:val="left"/>
              <w:rPr/>
            </w:pPr>
            <w:r>
              <w:rPr/>
              <w:t> </w:t>
            </w:r>
          </w:p>
        </w:tc>
        <w:tc>
          <w:tcPr>
            <w:tcW w:w="85" w:type="dxa"/>
            <w:vMerge w:val="continue"/>
            <w:tcBorders/>
            <w:vAlign w:val="bottom"/>
          </w:tcPr>
          <w:p>
            <w:pPr>
              <w:pStyle w:val="Normal"/>
              <w:bidi w:val="0"/>
              <w:jc w:val="left"/>
              <w:rPr/>
            </w:pPr>
            <w:r>
              <w:rPr/>
            </w:r>
          </w:p>
        </w:tc>
        <w:tc>
          <w:tcPr>
            <w:tcW w:w="5652" w:type="dxa"/>
            <w:gridSpan w:val="3"/>
            <w:vMerge w:val="continue"/>
            <w:tcBorders/>
          </w:tcPr>
          <w:p>
            <w:pPr>
              <w:pStyle w:val="Normal"/>
              <w:bidi w:val="0"/>
              <w:jc w:val="left"/>
              <w:rPr/>
            </w:pPr>
            <w:r>
              <w:rPr/>
            </w:r>
          </w:p>
        </w:tc>
        <w:tc>
          <w:tcPr>
            <w:tcW w:w="8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color w:val="004878"/>
              </w:rPr>
            </w:pPr>
            <w:r>
              <w:rPr>
                <w:color w:val="004878"/>
              </w:rPr>
              <w:t> </w:t>
            </w:r>
          </w:p>
        </w:tc>
      </w:tr>
      <w:tr>
        <w:trPr/>
        <w:tc>
          <w:tcPr>
            <w:tcW w:w="3875" w:type="dxa"/>
            <w:gridSpan w:val="3"/>
            <w:tcBorders/>
          </w:tcPr>
          <w:p>
            <w:pPr>
              <w:pStyle w:val="TableContents"/>
              <w:bidi w:val="0"/>
              <w:spacing w:before="0" w:after="283"/>
              <w:jc w:val="left"/>
              <w:rPr>
                <w:sz w:val="4"/>
                <w:szCs w:val="4"/>
              </w:rPr>
            </w:pPr>
            <w:r>
              <w:rPr>
                <w:sz w:val="4"/>
                <w:szCs w:val="4"/>
              </w:rPr>
            </w:r>
          </w:p>
        </w:tc>
        <w:tc>
          <w:tcPr>
            <w:tcW w:w="85" w:type="dxa"/>
            <w:vMerge w:val="continue"/>
            <w:tcBorders/>
            <w:vAlign w:val="bottom"/>
          </w:tcPr>
          <w:p>
            <w:pPr>
              <w:pStyle w:val="Normal"/>
              <w:bidi w:val="0"/>
              <w:jc w:val="left"/>
              <w:rPr/>
            </w:pPr>
            <w:r>
              <w:rPr/>
            </w:r>
          </w:p>
        </w:tc>
        <w:tc>
          <w:tcPr>
            <w:tcW w:w="5652" w:type="dxa"/>
            <w:gridSpan w:val="3"/>
            <w:vMerge w:val="continue"/>
            <w:tcBorders/>
          </w:tcPr>
          <w:p>
            <w:pPr>
              <w:pStyle w:val="Normal"/>
              <w:bidi w:val="0"/>
              <w:jc w:val="left"/>
              <w:rPr/>
            </w:pPr>
            <w:r>
              <w:rPr/>
            </w:r>
          </w:p>
        </w:tc>
        <w:tc>
          <w:tcPr>
            <w:tcW w:w="85" w:type="dxa"/>
            <w:tcBorders/>
            <w:shd w:fill="004878" w:val="clear"/>
            <w:vAlign w:val="bottom"/>
          </w:tcPr>
          <w:p>
            <w:pPr>
              <w:pStyle w:val="TableContents"/>
              <w:bidi w:val="0"/>
              <w:spacing w:before="0" w:after="283"/>
              <w:jc w:val="left"/>
              <w:rPr/>
            </w:pPr>
            <w:r>
              <w:rPr/>
              <w:t> </w:t>
            </w:r>
          </w:p>
        </w:tc>
        <w:tc>
          <w:tcPr>
            <w:tcW w:w="60" w:type="dxa"/>
            <w:tcBorders/>
            <w:shd w:fill="004878" w:val="clear"/>
          </w:tcPr>
          <w:p>
            <w:pPr>
              <w:pStyle w:val="TableContents"/>
              <w:bidi w:val="0"/>
              <w:spacing w:before="0" w:after="283"/>
              <w:jc w:val="left"/>
              <w:rPr>
                <w:sz w:val="4"/>
                <w:szCs w:val="4"/>
              </w:rPr>
            </w:pPr>
            <w:r>
              <w:rPr>
                <w:sz w:val="4"/>
                <w:szCs w:val="4"/>
              </w:rPr>
            </w:r>
          </w:p>
        </w:tc>
        <w:tc>
          <w:tcPr>
            <w:tcW w:w="85" w:type="dxa"/>
            <w:tcBorders/>
            <w:shd w:fill="004878" w:val="clear"/>
            <w:vAlign w:val="bottom"/>
          </w:tcPr>
          <w:p>
            <w:pPr>
              <w:pStyle w:val="TableContents"/>
              <w:bidi w:val="0"/>
              <w:spacing w:before="0" w:after="283"/>
              <w:jc w:val="left"/>
              <w:rPr/>
            </w:pPr>
            <w:r>
              <w:rPr/>
              <w:t> </w:t>
            </w:r>
          </w:p>
        </w:tc>
        <w:tc>
          <w:tcPr>
            <w:tcW w:w="363" w:type="dxa"/>
            <w:tcBorders/>
            <w:shd w:fill="004878" w:val="clear"/>
          </w:tcPr>
          <w:p>
            <w:pPr>
              <w:pStyle w:val="TableContents"/>
              <w:bidi w:val="0"/>
              <w:spacing w:before="0" w:after="0"/>
              <w:jc w:val="left"/>
              <w:rPr>
                <w:color w:val="004878"/>
              </w:rPr>
            </w:pPr>
            <w:r>
              <w:rPr>
                <w:color w:val="004878"/>
              </w:rPr>
              <w:t> </w:t>
            </w:r>
          </w:p>
          <w:p>
            <w:pPr>
              <w:pStyle w:val="TableContents"/>
              <w:bidi w:val="0"/>
              <w:spacing w:before="0" w:after="0"/>
              <w:jc w:val="left"/>
              <w:rPr>
                <w:color w:val="004878"/>
              </w:rPr>
            </w:pPr>
            <w:r>
              <w:rPr>
                <w:color w:val="004878"/>
              </w:rPr>
              <w:t> </w:t>
            </w:r>
          </w:p>
          <w:p>
            <w:pPr>
              <w:pStyle w:val="TableContents"/>
              <w:bidi w:val="0"/>
              <w:spacing w:before="0" w:after="20"/>
              <w:jc w:val="left"/>
              <w:rPr>
                <w:color w:val="004878"/>
              </w:rPr>
            </w:pPr>
            <w:r>
              <w:rPr>
                <w:color w:val="004878"/>
              </w:rPr>
              <w:t xml:space="preserve">  </w:t>
            </w:r>
          </w:p>
        </w:tc>
      </w:tr>
      <w:tr>
        <w:trPr/>
        <w:tc>
          <w:tcPr>
            <w:tcW w:w="3875" w:type="dxa"/>
            <w:gridSpan w:val="3"/>
            <w:tcBorders/>
          </w:tcPr>
          <w:p>
            <w:pPr>
              <w:pStyle w:val="TableContents"/>
              <w:bidi w:val="0"/>
              <w:spacing w:before="0" w:after="283"/>
              <w:jc w:val="left"/>
              <w:rPr>
                <w:sz w:val="4"/>
                <w:szCs w:val="4"/>
              </w:rPr>
            </w:pPr>
            <w:r>
              <w:rPr>
                <w:sz w:val="4"/>
                <w:szCs w:val="4"/>
              </w:rPr>
            </w:r>
          </w:p>
        </w:tc>
        <w:tc>
          <w:tcPr>
            <w:tcW w:w="85" w:type="dxa"/>
            <w:vMerge w:val="continue"/>
            <w:tcBorders/>
            <w:vAlign w:val="bottom"/>
          </w:tcPr>
          <w:p>
            <w:pPr>
              <w:pStyle w:val="Normal"/>
              <w:bidi w:val="0"/>
              <w:jc w:val="left"/>
              <w:rPr/>
            </w:pPr>
            <w:r>
              <w:rPr/>
            </w:r>
          </w:p>
        </w:tc>
        <w:tc>
          <w:tcPr>
            <w:tcW w:w="5652" w:type="dxa"/>
            <w:gridSpan w:val="3"/>
            <w:vMerge w:val="continue"/>
            <w:tcBorders/>
          </w:tcPr>
          <w:p>
            <w:pPr>
              <w:pStyle w:val="Normal"/>
              <w:bidi w:val="0"/>
              <w:jc w:val="left"/>
              <w:rPr/>
            </w:pPr>
            <w:r>
              <w:rPr/>
            </w:r>
          </w:p>
        </w:tc>
        <w:tc>
          <w:tcPr>
            <w:tcW w:w="85" w:type="dxa"/>
            <w:vMerge w:val="restart"/>
            <w:tcBorders/>
            <w:shd w:fill="004878" w:val="clear"/>
            <w:vAlign w:val="bottom"/>
          </w:tcPr>
          <w:p>
            <w:pPr>
              <w:pStyle w:val="TableContents"/>
              <w:bidi w:val="0"/>
              <w:spacing w:before="0" w:after="283"/>
              <w:jc w:val="left"/>
              <w:rPr/>
            </w:pPr>
            <w:r>
              <w:rPr/>
              <w:t> </w:t>
            </w:r>
          </w:p>
        </w:tc>
        <w:tc>
          <w:tcPr>
            <w:tcW w:w="60" w:type="dxa"/>
            <w:vMerge w:val="restart"/>
            <w:tcBorders/>
            <w:shd w:fill="004878" w:val="clear"/>
          </w:tcPr>
          <w:p>
            <w:pPr>
              <w:pStyle w:val="TableContents"/>
              <w:bidi w:val="0"/>
              <w:spacing w:before="0" w:after="283"/>
              <w:jc w:val="left"/>
              <w:rPr>
                <w:sz w:val="4"/>
                <w:szCs w:val="4"/>
              </w:rPr>
            </w:pPr>
            <w:r>
              <w:rPr>
                <w:sz w:val="4"/>
                <w:szCs w:val="4"/>
              </w:rPr>
            </w:r>
          </w:p>
        </w:tc>
        <w:tc>
          <w:tcPr>
            <w:tcW w:w="85" w:type="dxa"/>
            <w:vMerge w:val="restart"/>
            <w:tcBorders/>
            <w:shd w:fill="004878" w:val="clear"/>
            <w:vAlign w:val="bottom"/>
          </w:tcPr>
          <w:p>
            <w:pPr>
              <w:pStyle w:val="TableContents"/>
              <w:bidi w:val="0"/>
              <w:spacing w:before="0" w:after="283"/>
              <w:jc w:val="left"/>
              <w:rPr/>
            </w:pPr>
            <w:r>
              <w:rPr/>
              <w:t> </w:t>
            </w:r>
          </w:p>
        </w:tc>
        <w:tc>
          <w:tcPr>
            <w:tcW w:w="363" w:type="dxa"/>
            <w:vMerge w:val="restart"/>
            <w:tcBorders/>
            <w:shd w:fill="004878" w:val="clea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vMerge w:val="continue"/>
            <w:tcBorders/>
            <w:vAlign w:val="bottom"/>
          </w:tcPr>
          <w:p>
            <w:pPr>
              <w:pStyle w:val="Normal"/>
              <w:bidi w:val="0"/>
              <w:jc w:val="left"/>
              <w:rPr/>
            </w:pPr>
            <w:r>
              <w:rPr/>
            </w:r>
          </w:p>
        </w:tc>
        <w:tc>
          <w:tcPr>
            <w:tcW w:w="5652" w:type="dxa"/>
            <w:gridSpan w:val="3"/>
            <w:vMerge w:val="continue"/>
            <w:tcBorders/>
            <w:shd w:fill="004878" w:val="clear"/>
            <w:vAlign w:val="bottom"/>
          </w:tcPr>
          <w:p>
            <w:pPr>
              <w:pStyle w:val="Normal"/>
              <w:bidi w:val="0"/>
              <w:jc w:val="left"/>
              <w:rPr/>
            </w:pPr>
            <w:r>
              <w:rPr/>
            </w:r>
          </w:p>
        </w:tc>
        <w:tc>
          <w:tcPr>
            <w:tcW w:w="85" w:type="dxa"/>
            <w:vMerge w:val="continue"/>
            <w:tcBorders/>
            <w:shd w:fill="004878" w:val="clear"/>
          </w:tcPr>
          <w:p>
            <w:pPr>
              <w:pStyle w:val="Normal"/>
              <w:bidi w:val="0"/>
              <w:jc w:val="left"/>
              <w:rPr/>
            </w:pPr>
            <w:r>
              <w:rPr/>
            </w:r>
          </w:p>
        </w:tc>
        <w:tc>
          <w:tcPr>
            <w:tcW w:w="60" w:type="dxa"/>
            <w:vMerge w:val="continue"/>
            <w:tcBorders/>
            <w:shd w:fill="004878" w:val="clear"/>
          </w:tcPr>
          <w:p>
            <w:pPr>
              <w:pStyle w:val="Normal"/>
              <w:bidi w:val="0"/>
              <w:jc w:val="left"/>
              <w:rPr/>
            </w:pPr>
            <w:r>
              <w:rPr/>
            </w:r>
          </w:p>
        </w:tc>
        <w:tc>
          <w:tcPr>
            <w:tcW w:w="85" w:type="dxa"/>
            <w:vMerge w:val="continue"/>
            <w:tcBorders/>
            <w:shd w:fill="004878" w:val="clear"/>
            <w:vAlign w:val="bottom"/>
          </w:tcPr>
          <w:p>
            <w:pPr>
              <w:pStyle w:val="Normal"/>
              <w:bidi w:val="0"/>
              <w:jc w:val="left"/>
              <w:rPr/>
            </w:pPr>
            <w:r>
              <w:rPr/>
            </w:r>
          </w:p>
        </w:tc>
        <w:tc>
          <w:tcPr>
            <w:tcW w:w="363" w:type="dxa"/>
            <w:vMerge w:val="continue"/>
            <w:tcBorders/>
            <w:shd w:fill="004878" w:val="clear"/>
          </w:tcPr>
          <w:p>
            <w:pPr>
              <w:pStyle w:val="Normal"/>
              <w:bidi w:val="0"/>
              <w:jc w:val="left"/>
              <w:rPr/>
            </w:pPr>
            <w:r>
              <w:rPr/>
            </w:r>
          </w:p>
        </w:tc>
      </w:tr>
      <w:tr>
        <w:trPr/>
        <w:tc>
          <w:tcPr>
            <w:tcW w:w="2111"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vMerge w:val="continue"/>
            <w:tcBorders/>
            <w:vAlign w:val="bottom"/>
          </w:tcPr>
          <w:p>
            <w:pPr>
              <w:pStyle w:val="Normal"/>
              <w:bidi w:val="0"/>
              <w:jc w:val="left"/>
              <w:rPr/>
            </w:pPr>
            <w:r>
              <w:rPr/>
            </w:r>
          </w:p>
        </w:tc>
        <w:tc>
          <w:tcPr>
            <w:tcW w:w="5652" w:type="dxa"/>
            <w:gridSpan w:val="3"/>
            <w:vMerge w:val="continue"/>
            <w:tcBorders/>
            <w:shd w:fill="004878" w:val="clear"/>
            <w:vAlign w:val="bottom"/>
          </w:tcPr>
          <w:p>
            <w:pPr>
              <w:pStyle w:val="Normal"/>
              <w:bidi w:val="0"/>
              <w:jc w:val="left"/>
              <w:rPr/>
            </w:pPr>
            <w:r>
              <w:rPr/>
            </w:r>
          </w:p>
        </w:tc>
        <w:tc>
          <w:tcPr>
            <w:tcW w:w="85" w:type="dxa"/>
            <w:vMerge w:val="continue"/>
            <w:tcBorders/>
            <w:shd w:fill="004878" w:val="clear"/>
          </w:tcPr>
          <w:p>
            <w:pPr>
              <w:pStyle w:val="Normal"/>
              <w:bidi w:val="0"/>
              <w:jc w:val="left"/>
              <w:rPr/>
            </w:pPr>
            <w:r>
              <w:rPr/>
            </w:r>
          </w:p>
        </w:tc>
        <w:tc>
          <w:tcPr>
            <w:tcW w:w="60" w:type="dxa"/>
            <w:vMerge w:val="continue"/>
            <w:tcBorders/>
            <w:shd w:fill="004878" w:val="clear"/>
          </w:tcPr>
          <w:p>
            <w:pPr>
              <w:pStyle w:val="Normal"/>
              <w:bidi w:val="0"/>
              <w:jc w:val="left"/>
              <w:rPr/>
            </w:pPr>
            <w:r>
              <w:rPr/>
            </w:r>
          </w:p>
        </w:tc>
        <w:tc>
          <w:tcPr>
            <w:tcW w:w="85" w:type="dxa"/>
            <w:vMerge w:val="continue"/>
            <w:tcBorders/>
            <w:shd w:fill="004878" w:val="clear"/>
            <w:vAlign w:val="bottom"/>
          </w:tcPr>
          <w:p>
            <w:pPr>
              <w:pStyle w:val="Normal"/>
              <w:bidi w:val="0"/>
              <w:jc w:val="left"/>
              <w:rPr/>
            </w:pPr>
            <w:r>
              <w:rPr/>
            </w:r>
          </w:p>
        </w:tc>
        <w:tc>
          <w:tcPr>
            <w:tcW w:w="363" w:type="dxa"/>
            <w:vMerge w:val="continue"/>
            <w:tcBorders/>
            <w:shd w:fill="004878" w:val="clear"/>
          </w:tcPr>
          <w:p>
            <w:pPr>
              <w:pStyle w:val="Normal"/>
              <w:bidi w:val="0"/>
              <w:jc w:val="left"/>
              <w:rPr/>
            </w:pPr>
            <w:r>
              <w:rPr/>
            </w:r>
          </w:p>
        </w:tc>
      </w:tr>
      <w:tr>
        <w:trPr/>
        <w:tc>
          <w:tcPr>
            <w:tcW w:w="2111" w:type="dxa"/>
            <w:tcBorders/>
          </w:tcPr>
          <w:p>
            <w:pPr>
              <w:pStyle w:val="TableContents"/>
              <w:bidi w:val="0"/>
              <w:spacing w:before="0" w:after="283"/>
              <w:jc w:val="left"/>
              <w:rPr>
                <w:color w:val="004878"/>
              </w:rPr>
            </w:pPr>
            <w:r>
              <w:rPr>
                <w:color w:val="004878"/>
              </w:rPr>
              <w:t>   </w:t>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vMerge w:val="continue"/>
            <w:tcBorders/>
            <w:vAlign w:val="bottom"/>
          </w:tcPr>
          <w:p>
            <w:pPr>
              <w:pStyle w:val="Normal"/>
              <w:bidi w:val="0"/>
              <w:jc w:val="left"/>
              <w:rPr/>
            </w:pPr>
            <w:r>
              <w:rPr/>
            </w:r>
          </w:p>
        </w:tc>
        <w:tc>
          <w:tcPr>
            <w:tcW w:w="5652" w:type="dxa"/>
            <w:gridSpan w:val="3"/>
            <w:vMerge w:val="continue"/>
            <w:tcBorders/>
            <w:shd w:fill="004878" w:val="clear"/>
            <w:vAlign w:val="bottom"/>
          </w:tcPr>
          <w:p>
            <w:pPr>
              <w:pStyle w:val="Normal"/>
              <w:bidi w:val="0"/>
              <w:jc w:val="left"/>
              <w:rPr/>
            </w:pPr>
            <w:r>
              <w:rPr/>
            </w:r>
          </w:p>
        </w:tc>
        <w:tc>
          <w:tcPr>
            <w:tcW w:w="85" w:type="dxa"/>
            <w:vMerge w:val="continue"/>
            <w:tcBorders/>
            <w:shd w:fill="004878" w:val="clear"/>
          </w:tcPr>
          <w:p>
            <w:pPr>
              <w:pStyle w:val="Normal"/>
              <w:bidi w:val="0"/>
              <w:jc w:val="left"/>
              <w:rPr/>
            </w:pPr>
            <w:r>
              <w:rPr/>
            </w:r>
          </w:p>
        </w:tc>
        <w:tc>
          <w:tcPr>
            <w:tcW w:w="60" w:type="dxa"/>
            <w:vMerge w:val="continue"/>
            <w:tcBorders/>
            <w:shd w:fill="004878" w:val="clear"/>
          </w:tcPr>
          <w:p>
            <w:pPr>
              <w:pStyle w:val="Normal"/>
              <w:bidi w:val="0"/>
              <w:jc w:val="left"/>
              <w:rPr/>
            </w:pPr>
            <w:r>
              <w:rPr/>
            </w:r>
          </w:p>
        </w:tc>
        <w:tc>
          <w:tcPr>
            <w:tcW w:w="85" w:type="dxa"/>
            <w:vMerge w:val="continue"/>
            <w:tcBorders/>
            <w:shd w:fill="004878" w:val="clear"/>
            <w:vAlign w:val="bottom"/>
          </w:tcPr>
          <w:p>
            <w:pPr>
              <w:pStyle w:val="Normal"/>
              <w:bidi w:val="0"/>
              <w:jc w:val="left"/>
              <w:rPr/>
            </w:pPr>
            <w:r>
              <w:rPr/>
            </w:r>
          </w:p>
        </w:tc>
        <w:tc>
          <w:tcPr>
            <w:tcW w:w="363" w:type="dxa"/>
            <w:vMerge w:val="continue"/>
            <w:tcBorders/>
            <w:shd w:fill="004878" w:val="clear"/>
          </w:tcPr>
          <w:p>
            <w:pPr>
              <w:pStyle w:val="Normal"/>
              <w:bidi w:val="0"/>
              <w:jc w:val="left"/>
              <w:rPr/>
            </w:pPr>
            <w:r>
              <w:rPr/>
            </w:r>
          </w:p>
        </w:tc>
      </w:tr>
      <w:tr>
        <w:trPr/>
        <w:tc>
          <w:tcPr>
            <w:tcW w:w="2111"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vMerge w:val="continue"/>
            <w:tcBorders/>
            <w:vAlign w:val="bottom"/>
          </w:tcPr>
          <w:p>
            <w:pPr>
              <w:pStyle w:val="Normal"/>
              <w:bidi w:val="0"/>
              <w:jc w:val="left"/>
              <w:rPr/>
            </w:pPr>
            <w:r>
              <w:rPr/>
            </w:r>
          </w:p>
        </w:tc>
        <w:tc>
          <w:tcPr>
            <w:tcW w:w="5652" w:type="dxa"/>
            <w:gridSpan w:val="3"/>
            <w:vMerge w:val="continue"/>
            <w:tcBorders/>
            <w:shd w:fill="004878" w:val="clear"/>
            <w:vAlign w:val="bottom"/>
          </w:tcPr>
          <w:p>
            <w:pPr>
              <w:pStyle w:val="Normal"/>
              <w:bidi w:val="0"/>
              <w:jc w:val="left"/>
              <w:rPr/>
            </w:pPr>
            <w:r>
              <w:rPr/>
            </w:r>
          </w:p>
        </w:tc>
        <w:tc>
          <w:tcPr>
            <w:tcW w:w="85" w:type="dxa"/>
            <w:vMerge w:val="continue"/>
            <w:tcBorders/>
            <w:shd w:fill="004878" w:val="clear"/>
          </w:tcPr>
          <w:p>
            <w:pPr>
              <w:pStyle w:val="Normal"/>
              <w:bidi w:val="0"/>
              <w:jc w:val="left"/>
              <w:rPr/>
            </w:pPr>
            <w:r>
              <w:rPr/>
            </w:r>
          </w:p>
        </w:tc>
        <w:tc>
          <w:tcPr>
            <w:tcW w:w="60" w:type="dxa"/>
            <w:vMerge w:val="continue"/>
            <w:tcBorders/>
            <w:shd w:fill="004878" w:val="clear"/>
          </w:tcPr>
          <w:p>
            <w:pPr>
              <w:pStyle w:val="Normal"/>
              <w:bidi w:val="0"/>
              <w:jc w:val="left"/>
              <w:rPr/>
            </w:pPr>
            <w:r>
              <w:rPr/>
            </w:r>
          </w:p>
        </w:tc>
        <w:tc>
          <w:tcPr>
            <w:tcW w:w="85" w:type="dxa"/>
            <w:vMerge w:val="continue"/>
            <w:tcBorders/>
            <w:shd w:fill="004878" w:val="clear"/>
            <w:vAlign w:val="bottom"/>
          </w:tcPr>
          <w:p>
            <w:pPr>
              <w:pStyle w:val="Normal"/>
              <w:bidi w:val="0"/>
              <w:jc w:val="left"/>
              <w:rPr/>
            </w:pPr>
            <w:r>
              <w:rPr/>
            </w:r>
          </w:p>
        </w:tc>
        <w:tc>
          <w:tcPr>
            <w:tcW w:w="363" w:type="dxa"/>
            <w:vMerge w:val="continue"/>
            <w:tcBorders/>
            <w:shd w:fill="004878" w:val="clear"/>
          </w:tcPr>
          <w:p>
            <w:pPr>
              <w:pStyle w:val="Normal"/>
              <w:bidi w:val="0"/>
              <w:jc w:val="left"/>
              <w:rPr/>
            </w:pPr>
            <w:r>
              <w:rPr/>
            </w:r>
          </w:p>
        </w:tc>
      </w:tr>
      <w:tr>
        <w:trPr/>
        <w:tc>
          <w:tcPr>
            <w:tcW w:w="2111"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742"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25" w:type="dxa"/>
            <w:tcBorders/>
          </w:tcPr>
          <w:p>
            <w:pPr>
              <w:pStyle w:val="TableContents"/>
              <w:bidi w:val="0"/>
              <w:spacing w:before="0" w:after="283"/>
              <w:jc w:val="left"/>
              <w:rPr>
                <w:sz w:val="4"/>
                <w:szCs w:val="4"/>
              </w:rPr>
            </w:pPr>
            <w:r>
              <w:rPr>
                <w:sz w:val="4"/>
                <w:szCs w:val="4"/>
              </w:rPr>
            </w:r>
          </w:p>
        </w:tc>
        <w:tc>
          <w:tcPr>
            <w:tcW w:w="85" w:type="dxa"/>
            <w:vMerge w:val="continue"/>
            <w:tcBorders/>
            <w:shd w:fill="004878" w:val="clear"/>
            <w:vAlign w:val="bottom"/>
          </w:tcPr>
          <w:p>
            <w:pPr>
              <w:pStyle w:val="Normal"/>
              <w:bidi w:val="0"/>
              <w:jc w:val="left"/>
              <w:rPr/>
            </w:pPr>
            <w:r>
              <w:rPr/>
            </w:r>
          </w:p>
        </w:tc>
        <w:tc>
          <w:tcPr>
            <w:tcW w:w="60" w:type="dxa"/>
            <w:vMerge w:val="continue"/>
            <w:tcBorders/>
            <w:shd w:fill="004878" w:val="clear"/>
          </w:tcPr>
          <w:p>
            <w:pPr>
              <w:pStyle w:val="Normal"/>
              <w:bidi w:val="0"/>
              <w:jc w:val="left"/>
              <w:rPr/>
            </w:pPr>
            <w:r>
              <w:rPr/>
            </w:r>
          </w:p>
        </w:tc>
        <w:tc>
          <w:tcPr>
            <w:tcW w:w="85" w:type="dxa"/>
            <w:vMerge w:val="continue"/>
            <w:tcBorders/>
            <w:shd w:fill="004878" w:val="clear"/>
            <w:vAlign w:val="bottom"/>
          </w:tcPr>
          <w:p>
            <w:pPr>
              <w:pStyle w:val="Normal"/>
              <w:bidi w:val="0"/>
              <w:jc w:val="left"/>
              <w:rPr/>
            </w:pPr>
            <w:r>
              <w:rPr/>
            </w:r>
          </w:p>
        </w:tc>
        <w:tc>
          <w:tcPr>
            <w:tcW w:w="363" w:type="dxa"/>
            <w:vMerge w:val="continue"/>
            <w:tcBorders/>
            <w:shd w:fill="004878" w:val="clear"/>
          </w:tcPr>
          <w:p>
            <w:pPr>
              <w:pStyle w:val="Normal"/>
              <w:bidi w:val="0"/>
              <w:jc w:val="left"/>
              <w:rPr/>
            </w:pPr>
            <w:r>
              <w:rPr/>
            </w:r>
          </w:p>
        </w:tc>
      </w:tr>
      <w:tr>
        <w:trPr/>
        <w:tc>
          <w:tcPr>
            <w:tcW w:w="3875" w:type="dxa"/>
            <w:gridSpan w:val="3"/>
            <w:tcBorders/>
          </w:tcPr>
          <w:p>
            <w:pPr>
              <w:pStyle w:val="TableContents"/>
              <w:bidi w:val="0"/>
              <w:spacing w:before="0" w:after="0"/>
              <w:jc w:val="left"/>
              <w:rPr>
                <w:rFonts w:ascii="ARIAL" w:hAnsi="ARIAL"/>
                <w:sz w:val="14"/>
              </w:rPr>
            </w:pPr>
            <w:r>
              <w:rPr>
                <w:rFonts w:ascii="ARIAL" w:hAnsi="ARIAL"/>
                <w:sz w:val="14"/>
              </w:rPr>
              <w:t>T00536-P54079-Z93081</w:t>
            </w:r>
          </w:p>
        </w:tc>
        <w:tc>
          <w:tcPr>
            <w:tcW w:w="85" w:type="dxa"/>
            <w:tcBorders/>
            <w:vAlign w:val="bottom"/>
          </w:tcPr>
          <w:p>
            <w:pPr>
              <w:pStyle w:val="TableContents"/>
              <w:bidi w:val="0"/>
              <w:spacing w:before="0" w:after="283"/>
              <w:jc w:val="left"/>
              <w:rPr/>
            </w:pPr>
            <w:r>
              <w:rPr/>
              <w:t> </w:t>
            </w:r>
          </w:p>
        </w:tc>
        <w:tc>
          <w:tcPr>
            <w:tcW w:w="4742" w:type="dxa"/>
            <w:tcBorders/>
          </w:tcPr>
          <w:p>
            <w:pPr>
              <w:pStyle w:val="TableContents"/>
              <w:bidi w:val="0"/>
              <w:spacing w:before="0" w:after="283"/>
              <w:jc w:val="left"/>
              <w:rPr>
                <w:color w:val="004878"/>
              </w:rPr>
            </w:pPr>
            <w:r>
              <w:rPr>
                <w:color w:val="004878"/>
              </w:rPr>
              <w:t>        </w:t>
            </w:r>
          </w:p>
        </w:tc>
        <w:tc>
          <w:tcPr>
            <w:tcW w:w="85" w:type="dxa"/>
            <w:tcBorders/>
            <w:shd w:fill="004878" w:val="clear"/>
            <w:vAlign w:val="bottom"/>
          </w:tcPr>
          <w:p>
            <w:pPr>
              <w:pStyle w:val="TableContents"/>
              <w:bidi w:val="0"/>
              <w:spacing w:before="0" w:after="283"/>
              <w:jc w:val="left"/>
              <w:rPr/>
            </w:pPr>
            <w:r>
              <w:rPr/>
              <w:t> </w:t>
            </w:r>
          </w:p>
        </w:tc>
        <w:tc>
          <w:tcPr>
            <w:tcW w:w="825" w:type="dxa"/>
            <w:tcBorders/>
            <w:shd w:fill="004878" w:val="clear"/>
          </w:tcPr>
          <w:p>
            <w:pPr>
              <w:pStyle w:val="TableContents"/>
              <w:bidi w:val="0"/>
              <w:spacing w:before="0" w:after="283"/>
              <w:jc w:val="left"/>
              <w:rPr>
                <w:color w:val="004878"/>
              </w:rPr>
            </w:pPr>
            <w:r>
              <w:rPr>
                <w:color w:val="004878"/>
              </w:rPr>
              <w:t> </w:t>
            </w:r>
          </w:p>
        </w:tc>
        <w:tc>
          <w:tcPr>
            <w:tcW w:w="85" w:type="dxa"/>
            <w:vMerge w:val="continue"/>
            <w:tcBorders/>
            <w:shd w:fill="004878" w:val="clear"/>
            <w:vAlign w:val="bottom"/>
          </w:tcPr>
          <w:p>
            <w:pPr>
              <w:pStyle w:val="Normal"/>
              <w:bidi w:val="0"/>
              <w:jc w:val="left"/>
              <w:rPr/>
            </w:pPr>
            <w:r>
              <w:rPr/>
            </w:r>
          </w:p>
        </w:tc>
        <w:tc>
          <w:tcPr>
            <w:tcW w:w="60" w:type="dxa"/>
            <w:vMerge w:val="continue"/>
            <w:tcBorders/>
            <w:shd w:fill="004878" w:val="clear"/>
          </w:tcPr>
          <w:p>
            <w:pPr>
              <w:pStyle w:val="Normal"/>
              <w:bidi w:val="0"/>
              <w:jc w:val="left"/>
              <w:rPr/>
            </w:pPr>
            <w:r>
              <w:rPr/>
            </w:r>
          </w:p>
        </w:tc>
        <w:tc>
          <w:tcPr>
            <w:tcW w:w="85" w:type="dxa"/>
            <w:vMerge w:val="continue"/>
            <w:tcBorders/>
            <w:shd w:fill="004878" w:val="clear"/>
            <w:vAlign w:val="bottom"/>
          </w:tcPr>
          <w:p>
            <w:pPr>
              <w:pStyle w:val="Normal"/>
              <w:bidi w:val="0"/>
              <w:jc w:val="left"/>
              <w:rPr/>
            </w:pPr>
            <w:r>
              <w:rPr/>
            </w:r>
          </w:p>
        </w:tc>
        <w:tc>
          <w:tcPr>
            <w:tcW w:w="363" w:type="dxa"/>
            <w:vMerge w:val="continue"/>
            <w:tcBorders/>
            <w:shd w:fill="004878" w:val="clear"/>
          </w:tcPr>
          <w:p>
            <w:pPr>
              <w:pStyle w:val="Normal"/>
              <w:bidi w:val="0"/>
              <w:jc w:val="left"/>
              <w:rPr/>
            </w:pPr>
            <w:r>
              <w:rPr/>
            </w:r>
          </w:p>
        </w:tc>
      </w:tr>
      <w:tr>
        <w:trPr/>
        <w:tc>
          <w:tcPr>
            <w:tcW w:w="2111" w:type="dxa"/>
            <w:tcBorders/>
            <w:shd w:fill="007BB6" w:val="clea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742" w:type="dxa"/>
            <w:tcBorders/>
          </w:tcPr>
          <w:p>
            <w:pPr>
              <w:pStyle w:val="TableContents"/>
              <w:bidi w:val="0"/>
              <w:spacing w:before="0" w:after="283"/>
              <w:jc w:val="left"/>
              <w:rPr>
                <w:sz w:val="4"/>
                <w:szCs w:val="4"/>
              </w:rPr>
            </w:pPr>
            <w:r>
              <w:rPr>
                <w:sz w:val="4"/>
                <w:szCs w:val="4"/>
              </w:rPr>
            </w:r>
          </w:p>
        </w:tc>
        <w:tc>
          <w:tcPr>
            <w:tcW w:w="85" w:type="dxa"/>
            <w:tcBorders/>
            <w:shd w:fill="004878" w:val="clear"/>
            <w:vAlign w:val="bottom"/>
          </w:tcPr>
          <w:p>
            <w:pPr>
              <w:pStyle w:val="TableContents"/>
              <w:bidi w:val="0"/>
              <w:spacing w:before="0" w:after="283"/>
              <w:jc w:val="left"/>
              <w:rPr/>
            </w:pPr>
            <w:r>
              <w:rPr/>
              <w:t> </w:t>
            </w:r>
          </w:p>
        </w:tc>
        <w:tc>
          <w:tcPr>
            <w:tcW w:w="825" w:type="dxa"/>
            <w:tcBorders/>
            <w:shd w:fill="004878" w:val="clear"/>
          </w:tcPr>
          <w:p>
            <w:pPr>
              <w:pStyle w:val="TableContents"/>
              <w:bidi w:val="0"/>
              <w:spacing w:before="0" w:after="283"/>
              <w:jc w:val="left"/>
              <w:rPr>
                <w:color w:val="004878"/>
              </w:rPr>
            </w:pPr>
            <w:r>
              <w:rPr>
                <w:color w:val="004878"/>
              </w:rPr>
              <w:t> </w:t>
            </w:r>
          </w:p>
        </w:tc>
        <w:tc>
          <w:tcPr>
            <w:tcW w:w="85" w:type="dxa"/>
            <w:tcBorders/>
            <w:shd w:fill="004878" w:val="clear"/>
            <w:vAlign w:val="bottom"/>
          </w:tcPr>
          <w:p>
            <w:pPr>
              <w:pStyle w:val="TableContents"/>
              <w:bidi w:val="0"/>
              <w:spacing w:before="0" w:after="283"/>
              <w:jc w:val="left"/>
              <w:rPr/>
            </w:pPr>
            <w:r>
              <w:rPr/>
              <w:t> </w:t>
            </w:r>
          </w:p>
        </w:tc>
        <w:tc>
          <w:tcPr>
            <w:tcW w:w="60" w:type="dxa"/>
            <w:tcBorders/>
            <w:shd w:fill="004878" w:val="clear"/>
          </w:tcPr>
          <w:p>
            <w:pPr>
              <w:pStyle w:val="TableContents"/>
              <w:bidi w:val="0"/>
              <w:spacing w:before="0" w:after="283"/>
              <w:jc w:val="left"/>
              <w:rPr>
                <w:sz w:val="4"/>
                <w:szCs w:val="4"/>
              </w:rPr>
            </w:pPr>
            <w:r>
              <w:rPr>
                <w:sz w:val="4"/>
                <w:szCs w:val="4"/>
              </w:rPr>
            </w:r>
          </w:p>
        </w:tc>
        <w:tc>
          <w:tcPr>
            <w:tcW w:w="85" w:type="dxa"/>
            <w:tcBorders/>
            <w:shd w:fill="004878" w:val="clear"/>
            <w:vAlign w:val="bottom"/>
          </w:tcPr>
          <w:p>
            <w:pPr>
              <w:pStyle w:val="TableContents"/>
              <w:bidi w:val="0"/>
              <w:spacing w:before="0" w:after="283"/>
              <w:jc w:val="left"/>
              <w:rPr/>
            </w:pPr>
            <w:r>
              <w:rPr/>
              <w:t> </w:t>
            </w:r>
          </w:p>
        </w:tc>
        <w:tc>
          <w:tcPr>
            <w:tcW w:w="363" w:type="dxa"/>
            <w:tcBorders/>
            <w:shd w:fill="004878" w:val="clea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349"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742" w:type="dxa"/>
            <w:tcBorders/>
          </w:tcPr>
          <w:p>
            <w:pPr>
              <w:pStyle w:val="TableContents"/>
              <w:bidi w:val="0"/>
              <w:spacing w:before="0" w:after="283"/>
              <w:jc w:val="left"/>
              <w:rPr>
                <w:sz w:val="4"/>
                <w:szCs w:val="4"/>
              </w:rPr>
            </w:pPr>
            <w:r>
              <w:rPr>
                <w:sz w:val="4"/>
                <w:szCs w:val="4"/>
              </w:rPr>
            </w:r>
          </w:p>
        </w:tc>
        <w:tc>
          <w:tcPr>
            <w:tcW w:w="85" w:type="dxa"/>
            <w:tcBorders/>
            <w:shd w:fill="004878" w:val="clear"/>
            <w:vAlign w:val="bottom"/>
          </w:tcPr>
          <w:p>
            <w:pPr>
              <w:pStyle w:val="TableContents"/>
              <w:bidi w:val="0"/>
              <w:spacing w:before="0" w:after="283"/>
              <w:jc w:val="left"/>
              <w:rPr/>
            </w:pPr>
            <w:r>
              <w:rPr/>
              <w:t> </w:t>
            </w:r>
          </w:p>
        </w:tc>
        <w:tc>
          <w:tcPr>
            <w:tcW w:w="825" w:type="dxa"/>
            <w:tcBorders/>
            <w:shd w:fill="004878" w:val="clear"/>
          </w:tcPr>
          <w:p>
            <w:pPr>
              <w:pStyle w:val="TableContents"/>
              <w:bidi w:val="0"/>
              <w:spacing w:before="0" w:after="283"/>
              <w:jc w:val="left"/>
              <w:rPr>
                <w:color w:val="004878"/>
              </w:rPr>
            </w:pPr>
            <w:r>
              <w:rPr>
                <w:color w:val="004878"/>
              </w:rPr>
              <w:t> </w:t>
            </w:r>
          </w:p>
        </w:tc>
        <w:tc>
          <w:tcPr>
            <w:tcW w:w="85" w:type="dxa"/>
            <w:tcBorders/>
            <w:shd w:fill="004878" w:val="clear"/>
            <w:vAlign w:val="bottom"/>
          </w:tcPr>
          <w:p>
            <w:pPr>
              <w:pStyle w:val="TableContents"/>
              <w:bidi w:val="0"/>
              <w:spacing w:before="0" w:after="283"/>
              <w:jc w:val="left"/>
              <w:rPr/>
            </w:pPr>
            <w:r>
              <w:rPr/>
              <w:t> </w:t>
            </w:r>
          </w:p>
        </w:tc>
        <w:tc>
          <w:tcPr>
            <w:tcW w:w="60" w:type="dxa"/>
            <w:tcBorders/>
            <w:shd w:fill="004878" w:val="clear"/>
          </w:tcPr>
          <w:p>
            <w:pPr>
              <w:pStyle w:val="TableContents"/>
              <w:bidi w:val="0"/>
              <w:spacing w:before="0" w:after="283"/>
              <w:jc w:val="left"/>
              <w:rPr>
                <w:sz w:val="4"/>
                <w:szCs w:val="4"/>
              </w:rPr>
            </w:pPr>
            <w:r>
              <w:rPr>
                <w:sz w:val="4"/>
                <w:szCs w:val="4"/>
              </w:rPr>
            </w:r>
          </w:p>
        </w:tc>
        <w:tc>
          <w:tcPr>
            <w:tcW w:w="85" w:type="dxa"/>
            <w:tcBorders/>
            <w:shd w:fill="004878" w:val="clear"/>
            <w:vAlign w:val="bottom"/>
          </w:tcPr>
          <w:p>
            <w:pPr>
              <w:pStyle w:val="TableContents"/>
              <w:bidi w:val="0"/>
              <w:spacing w:before="0" w:after="283"/>
              <w:jc w:val="left"/>
              <w:rPr/>
            </w:pPr>
            <w:r>
              <w:rPr/>
              <w:t> </w:t>
            </w:r>
          </w:p>
        </w:tc>
        <w:tc>
          <w:tcPr>
            <w:tcW w:w="363" w:type="dxa"/>
            <w:tcBorders/>
            <w:shd w:fill="004878"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160" w:after="0"/>
        <w:jc w:val="left"/>
        <w:rPr>
          <w:rFonts w:ascii="ARIAL" w:hAnsi="ARIAL"/>
          <w:color w:val="004878"/>
          <w:sz w:val="32"/>
        </w:rPr>
      </w:pPr>
      <w:r>
        <w:rPr>
          <w:rFonts w:ascii="ARIAL" w:hAnsi="ARIAL"/>
          <w:color w:val="004878"/>
          <w:sz w:val="32"/>
        </w:rPr>
        <w:t xml:space="preserve">You invested in STERIS plc and it’s time to vote! </w:t>
      </w:r>
    </w:p>
    <w:p>
      <w:pPr>
        <w:pStyle w:val="TextBody"/>
        <w:bidi w:val="0"/>
        <w:spacing w:before="0" w:after="0"/>
        <w:jc w:val="both"/>
        <w:rPr>
          <w:rFonts w:ascii="ARIAL" w:hAnsi="ARIAL"/>
          <w:color w:val="004878"/>
          <w:sz w:val="20"/>
        </w:rPr>
      </w:pPr>
      <w:r>
        <w:rPr>
          <w:rFonts w:ascii="ARIAL" w:hAnsi="ARIAL"/>
          <w:color w:val="004878"/>
          <w:sz w:val="20"/>
        </w:rPr>
        <w:t xml:space="preserve">You have the right to vote on proposals being presented at the Annual General Meeting. </w:t>
      </w:r>
      <w:r>
        <w:rPr>
          <w:rFonts w:ascii="ARIAL" w:hAnsi="ARIAL"/>
          <w:b/>
          <w:color w:val="004878"/>
          <w:sz w:val="20"/>
        </w:rPr>
        <w:t>This is an important notice regarding the availability of proxy materials for the shareholder meeting to be held on July 31, 2026.</w:t>
      </w:r>
      <w:r>
        <w:rPr>
          <w:rFonts w:ascii="ARIAL" w:hAnsi="ARIAL"/>
          <w:color w:val="004878"/>
          <w:sz w:val="20"/>
        </w:rPr>
        <w:t xml:space="preserve"> </w:t>
      </w:r>
    </w:p>
    <w:p>
      <w:pPr>
        <w:pStyle w:val="TextBody"/>
        <w:bidi w:val="0"/>
        <w:spacing w:before="160" w:after="0"/>
        <w:jc w:val="left"/>
        <w:rPr>
          <w:rFonts w:ascii="ARIAL" w:hAnsi="ARIAL"/>
          <w:color w:val="004878"/>
          <w:sz w:val="34"/>
        </w:rPr>
      </w:pPr>
      <w:r>
        <w:rPr>
          <w:rFonts w:ascii="ARIAL" w:hAnsi="ARIAL"/>
          <w:color w:val="004878"/>
          <w:sz w:val="34"/>
        </w:rPr>
        <w:t xml:space="preserve">Get informed before you vote </w:t>
      </w:r>
    </w:p>
    <w:p>
      <w:pPr>
        <w:pStyle w:val="TextBody"/>
        <w:bidi w:val="0"/>
        <w:spacing w:before="0" w:after="0"/>
        <w:jc w:val="both"/>
        <w:rPr>
          <w:rFonts w:ascii="ARIAL" w:hAnsi="ARIAL"/>
          <w:color w:val="004878"/>
          <w:sz w:val="20"/>
        </w:rPr>
      </w:pPr>
      <w:r>
        <w:rPr>
          <w:rFonts w:ascii="ARIAL" w:hAnsi="ARIAL"/>
          <w:color w:val="004878"/>
          <w:sz w:val="20"/>
        </w:rPr>
        <w:t xml:space="preserve">View the Notice and Proxy Statement, Fiscal 2026 Annual Report, and Directors’ Report and Consolidated Financial Statements for the Year Ending March 31, 2026 online OR you can receive a free paper or email copy of the material by requesting prior to July 17, 2026. If you would like to request a copy of the material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924800" cy="2800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924800" cy="2800350"/>
                    </a:xfrm>
                    <a:prstGeom prst="rect">
                      <a:avLst/>
                    </a:prstGeom>
                  </pic:spPr>
                </pic:pic>
              </a:graphicData>
            </a:graphic>
          </wp:inline>
        </w:drawing>
      </w:r>
      <w:r>
        <w:rPr/>
        <w:t xml:space="preserve"> </w:t>
      </w:r>
    </w:p>
    <w:p>
      <w:pPr>
        <w:pStyle w:val="TextBody"/>
        <w:bidi w:val="0"/>
        <w:spacing w:before="120" w:after="0"/>
        <w:jc w:val="left"/>
        <w:rPr>
          <w:rFonts w:ascii="ARIAL" w:hAnsi="ARIAL"/>
          <w:color w:val="004878"/>
          <w:sz w:val="16"/>
        </w:rPr>
      </w:pPr>
      <w:r>
        <w:rPr>
          <w:rFonts w:ascii="ARIAL" w:hAnsi="ARIAL"/>
          <w:color w:val="004878"/>
          <w:sz w:val="16"/>
        </w:rPr>
        <w:t xml:space="preserve">*Please check the meeting materials for any special requirements for meeting attendance and instructions on how to request directions to the meeting. At the meeting, you will need to request a ballot to vote these shares.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007BB6"/>
          <w:sz w:val="30"/>
        </w:rPr>
      </w:pPr>
      <w:r>
        <w:rPr>
          <w:rFonts w:ascii="ARIAL" w:hAnsi="ARIAL"/>
          <w:b/>
          <w:color w:val="007BB6"/>
          <w:sz w:val="30"/>
        </w:rPr>
        <w:t xml:space="preserve">Vote at www.ProxyVote.com </w:t>
      </w:r>
    </w:p>
    <w:p>
      <w:pPr>
        <w:pStyle w:val="TextBody"/>
        <w:bidi w:val="0"/>
        <w:spacing w:before="0" w:after="0"/>
        <w:jc w:val="left"/>
        <w:rPr/>
      </w:pPr>
      <w:r>
        <w:rPr/>
        <w:t> </w:t>
      </w:r>
    </w:p>
    <w:p>
      <w:pPr>
        <w:pStyle w:val="TextBody"/>
        <w:bidi w:val="0"/>
        <w:spacing w:lineRule="atLeast" w:line="142" w:before="0" w:after="40"/>
        <w:jc w:val="left"/>
        <w:rPr>
          <w:bdr w:val="single" w:sz="32" w:space="1" w:color="004878"/>
        </w:rPr>
      </w:pPr>
      <w:r>
        <w:rPr>
          <w:bdr w:val="single" w:sz="32" w:space="1" w:color="004878"/>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60"/>
        <w:gridCol w:w="125"/>
        <w:gridCol w:w="4720"/>
      </w:tblGrid>
      <w:tr>
        <w:trPr/>
        <w:tc>
          <w:tcPr>
            <w:tcW w:w="53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720" w:type="dxa"/>
            <w:tcBorders/>
            <w:vAlign w:val="center"/>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0"/>
              <w:jc w:val="left"/>
              <w:rPr>
                <w:rFonts w:ascii="ARIAL" w:hAnsi="ARIAL"/>
                <w:b/>
                <w:color w:val="004878"/>
                <w:sz w:val="32"/>
              </w:rPr>
            </w:pPr>
            <w:r>
              <w:rPr>
                <w:rFonts w:ascii="ARIAL" w:hAnsi="ARIAL"/>
                <w:b/>
                <w:color w:val="004878"/>
                <w:sz w:val="32"/>
              </w:rPr>
              <w:t>THIS IS NOT A VOTABLE BALLOT</w:t>
            </w:r>
          </w:p>
          <w:p>
            <w:pPr>
              <w:pStyle w:val="TableContents"/>
              <w:bidi w:val="0"/>
              <w:spacing w:before="0" w:after="0"/>
              <w:jc w:val="left"/>
              <w:rPr/>
            </w:pPr>
            <w:r>
              <w:rPr/>
              <w:t> </w:t>
            </w:r>
          </w:p>
          <w:p>
            <w:pPr>
              <w:pStyle w:val="TableContents"/>
              <w:bidi w:val="0"/>
              <w:spacing w:before="0" w:after="20"/>
              <w:jc w:val="left"/>
              <w:rPr>
                <w:rFonts w:ascii="ARIAL" w:hAnsi="ARIAL"/>
                <w:color w:val="004878"/>
                <w:sz w:val="20"/>
              </w:rPr>
            </w:pPr>
            <w:r>
              <w:rPr>
                <w:rFonts w:ascii="ARIAL" w:hAnsi="ARIAL"/>
                <w:color w:val="004878"/>
                <w:sz w:val="20"/>
              </w:rPr>
              <w:t>This is an overview of the proposals being presented at the upcoming shareholder meeting. Please follow the instructions on the reverse side to vote these important matters.</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
        <w:gridCol w:w="194"/>
        <w:gridCol w:w="8023"/>
        <w:gridCol w:w="124"/>
        <w:gridCol w:w="1679"/>
      </w:tblGrid>
      <w:tr>
        <w:trPr/>
        <w:tc>
          <w:tcPr>
            <w:tcW w:w="18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02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8402" w:type="dxa"/>
            <w:gridSpan w:val="3"/>
            <w:tcBorders/>
            <w:vAlign w:val="bottom"/>
          </w:tcPr>
          <w:p>
            <w:pPr>
              <w:pStyle w:val="TableContents"/>
              <w:bidi w:val="0"/>
              <w:spacing w:before="0" w:after="0"/>
              <w:jc w:val="left"/>
              <w:rPr>
                <w:color w:val="004878"/>
              </w:rPr>
            </w:pPr>
            <w:r>
              <w:rPr>
                <w:color w:val="004878"/>
              </w:rPr>
              <w:t> </w:t>
            </w:r>
            <w:r>
              <w:rPr>
                <w:rFonts w:ascii="ARIAL" w:hAnsi="ARIAL"/>
                <w:b/>
                <w:color w:val="004878"/>
                <w:sz w:val="18"/>
              </w:rPr>
              <w:t>Voting Items</w:t>
            </w:r>
          </w:p>
          <w:p>
            <w:pPr>
              <w:pStyle w:val="TableContents"/>
              <w:bidi w:val="0"/>
              <w:spacing w:before="0" w:after="20"/>
              <w:jc w:val="left"/>
              <w:rPr/>
            </w:pPr>
            <w:r>
              <w:rPr/>
              <w:t> </w:t>
            </w:r>
          </w:p>
        </w:tc>
        <w:tc>
          <w:tcPr>
            <w:tcW w:w="124" w:type="dxa"/>
            <w:tcBorders/>
            <w:vAlign w:val="bottom"/>
          </w:tcPr>
          <w:p>
            <w:pPr>
              <w:pStyle w:val="TableContents"/>
              <w:bidi w:val="0"/>
              <w:spacing w:before="0" w:after="283"/>
              <w:jc w:val="left"/>
              <w:rPr/>
            </w:pPr>
            <w:r>
              <w:rPr/>
              <w:t> </w:t>
            </w:r>
          </w:p>
        </w:tc>
        <w:tc>
          <w:tcPr>
            <w:tcW w:w="1679" w:type="dxa"/>
            <w:tcBorders/>
            <w:vAlign w:val="center"/>
          </w:tcPr>
          <w:p>
            <w:pPr>
              <w:pStyle w:val="TableContents"/>
              <w:bidi w:val="0"/>
              <w:spacing w:before="0" w:after="0"/>
              <w:jc w:val="center"/>
              <w:rPr>
                <w:rFonts w:ascii="ARIAL" w:hAnsi="ARIAL"/>
                <w:b/>
                <w:color w:val="004878"/>
                <w:sz w:val="18"/>
              </w:rPr>
            </w:pPr>
            <w:r>
              <w:rPr>
                <w:rFonts w:ascii="ARIAL" w:hAnsi="ARIAL"/>
                <w:b/>
                <w:color w:val="004878"/>
                <w:sz w:val="18"/>
              </w:rPr>
              <w:t>Board</w:t>
              <w:br/>
              <w:t>Recommends</w:t>
            </w:r>
          </w:p>
          <w:p>
            <w:pPr>
              <w:pStyle w:val="TableContents"/>
              <w:bidi w:val="0"/>
              <w:spacing w:before="0" w:after="20"/>
              <w:jc w:val="left"/>
              <w:rPr/>
            </w:pPr>
            <w:r>
              <w:rPr/>
              <w:t> </w:t>
            </w:r>
          </w:p>
        </w:tc>
      </w:tr>
    </w:tbl>
    <w:tbl>
      <w:tblPr>
        <w:tblW w:w="5000" w:type="pct"/>
        <w:jc w:val="center"/>
        <w:tblInd w:w="0" w:type="dxa"/>
        <w:tblLayout w:type="fixed"/>
        <w:tblCellMar>
          <w:top w:w="0" w:type="dxa"/>
          <w:left w:w="0" w:type="dxa"/>
          <w:bottom w:w="0" w:type="dxa"/>
          <w:right w:w="0" w:type="dxa"/>
        </w:tblCellMar>
      </w:tblPr>
      <w:tblGrid>
        <w:gridCol w:w="347"/>
        <w:gridCol w:w="120"/>
        <w:gridCol w:w="8671"/>
        <w:gridCol w:w="108"/>
        <w:gridCol w:w="959"/>
      </w:tblGrid>
      <w:tr>
        <w:trPr/>
        <w:tc>
          <w:tcPr>
            <w:tcW w:w="3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shd w:fill="F0EFF7" w:val="clear"/>
            <w:vAlign w:val="center"/>
          </w:tcPr>
          <w:p>
            <w:pPr>
              <w:pStyle w:val="TableContents"/>
              <w:bidi w:val="0"/>
              <w:spacing w:before="0" w:after="0"/>
              <w:jc w:val="left"/>
              <w:rPr>
                <w:rFonts w:ascii="ARIAL" w:hAnsi="ARIAL"/>
                <w:color w:val="004878"/>
                <w:sz w:val="20"/>
              </w:rPr>
            </w:pPr>
            <w:r>
              <w:rPr>
                <w:rFonts w:ascii="ARIAL" w:hAnsi="ARIAL"/>
                <w:color w:val="004878"/>
                <w:sz w:val="20"/>
              </w:rPr>
              <w:t>1.</w:t>
            </w:r>
          </w:p>
        </w:tc>
        <w:tc>
          <w:tcPr>
            <w:tcW w:w="120" w:type="dxa"/>
            <w:tcBorders/>
            <w:shd w:fill="F0EFF7" w:val="clear"/>
            <w:vAlign w:val="bottom"/>
          </w:tcPr>
          <w:p>
            <w:pPr>
              <w:pStyle w:val="TableContents"/>
              <w:bidi w:val="0"/>
              <w:spacing w:before="0" w:after="283"/>
              <w:jc w:val="left"/>
              <w:rPr/>
            </w:pPr>
            <w:r>
              <w:rPr/>
              <w:t>  </w:t>
            </w:r>
          </w:p>
        </w:tc>
        <w:tc>
          <w:tcPr>
            <w:tcW w:w="8671" w:type="dxa"/>
            <w:tcBorders/>
            <w:shd w:fill="F0EFF7" w:val="clear"/>
            <w:vAlign w:val="center"/>
          </w:tcPr>
          <w:p>
            <w:pPr>
              <w:pStyle w:val="TableContents"/>
              <w:bidi w:val="0"/>
              <w:spacing w:before="0" w:after="283"/>
              <w:jc w:val="left"/>
              <w:rPr>
                <w:color w:val="004878"/>
              </w:rPr>
            </w:pPr>
            <w:r>
              <w:rPr>
                <w:color w:val="004878"/>
              </w:rPr>
              <w:t>Election of Directors</w:t>
            </w:r>
          </w:p>
        </w:tc>
        <w:tc>
          <w:tcPr>
            <w:tcW w:w="108" w:type="dxa"/>
            <w:tcBorders>
              <w:left w:val="single" w:sz="2" w:space="0" w:color="004878"/>
            </w:tcBorders>
            <w:shd w:fill="F0EFF7" w:val="clear"/>
            <w:tcMar>
              <w:left w:w="28" w:type="dxa"/>
            </w:tcMar>
            <w:vAlign w:val="bottom"/>
          </w:tcPr>
          <w:p>
            <w:pPr>
              <w:pStyle w:val="TableContents"/>
              <w:bidi w:val="0"/>
              <w:spacing w:before="0" w:after="283"/>
              <w:jc w:val="left"/>
              <w:rPr/>
            </w:pPr>
            <w:r>
              <w:rPr/>
              <w:t> </w:t>
            </w:r>
          </w:p>
        </w:tc>
        <w:tc>
          <w:tcPr>
            <w:tcW w:w="959" w:type="dxa"/>
            <w:tcBorders/>
            <w:shd w:fill="F0EFF7" w:val="clear"/>
            <w:vAlign w:val="center"/>
          </w:tcPr>
          <w:p>
            <w:pPr>
              <w:pStyle w:val="TableContents"/>
              <w:bidi w:val="0"/>
              <w:spacing w:before="0" w:after="283"/>
              <w:jc w:val="left"/>
              <w:rPr>
                <w:sz w:val="4"/>
                <w:szCs w:val="4"/>
              </w:rPr>
            </w:pPr>
            <w:r>
              <w:rPr>
                <w:sz w:val="4"/>
                <w:szCs w:val="4"/>
              </w:rPr>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120" w:type="dxa"/>
            <w:tcBorders/>
            <w:shd w:fill="F0EFF7" w:val="clear"/>
            <w:vAlign w:val="bottom"/>
          </w:tcPr>
          <w:p>
            <w:pPr>
              <w:pStyle w:val="TableContents"/>
              <w:bidi w:val="0"/>
              <w:spacing w:before="0" w:after="283"/>
              <w:jc w:val="left"/>
              <w:rPr/>
            </w:pPr>
            <w:r>
              <w:rPr/>
              <w:t>  </w:t>
            </w:r>
          </w:p>
        </w:tc>
        <w:tc>
          <w:tcPr>
            <w:tcW w:w="8671" w:type="dxa"/>
            <w:tcBorders/>
            <w:shd w:fill="F0EFF7" w:val="clear"/>
            <w:vAlign w:val="center"/>
          </w:tcPr>
          <w:p>
            <w:pPr>
              <w:pStyle w:val="TableContents"/>
              <w:bidi w:val="0"/>
              <w:spacing w:before="0" w:after="0"/>
              <w:jc w:val="left"/>
              <w:rPr>
                <w:rFonts w:ascii="ARIAL" w:hAnsi="ARIAL"/>
                <w:b/>
                <w:color w:val="004878"/>
                <w:sz w:val="20"/>
              </w:rPr>
            </w:pPr>
            <w:r>
              <w:rPr>
                <w:rFonts w:ascii="ARIAL" w:hAnsi="ARIAL"/>
                <w:b/>
                <w:color w:val="004878"/>
                <w:sz w:val="20"/>
              </w:rPr>
              <w:t>Nominees:</w:t>
            </w:r>
          </w:p>
          <w:p>
            <w:pPr>
              <w:pStyle w:val="TableContents"/>
              <w:bidi w:val="0"/>
              <w:spacing w:before="0" w:after="20"/>
              <w:jc w:val="left"/>
              <w:rPr/>
            </w:pPr>
            <w:r>
              <w:rPr/>
              <w:t> </w:t>
            </w:r>
          </w:p>
        </w:tc>
        <w:tc>
          <w:tcPr>
            <w:tcW w:w="108" w:type="dxa"/>
            <w:tcBorders>
              <w:left w:val="single" w:sz="2" w:space="0" w:color="004878"/>
            </w:tcBorders>
            <w:shd w:fill="F0EFF7" w:val="clear"/>
            <w:tcMar>
              <w:left w:w="28" w:type="dxa"/>
            </w:tcMar>
            <w:vAlign w:val="bottom"/>
          </w:tcPr>
          <w:p>
            <w:pPr>
              <w:pStyle w:val="TableContents"/>
              <w:bidi w:val="0"/>
              <w:spacing w:before="0" w:after="283"/>
              <w:jc w:val="left"/>
              <w:rPr/>
            </w:pPr>
            <w:r>
              <w:rPr/>
              <w:t> </w:t>
            </w:r>
          </w:p>
        </w:tc>
        <w:tc>
          <w:tcPr>
            <w:tcW w:w="959" w:type="dxa"/>
            <w:tcBorders/>
            <w:shd w:fill="F0EFF7" w:val="clear"/>
            <w:vAlign w:val="center"/>
          </w:tcPr>
          <w:p>
            <w:pPr>
              <w:pStyle w:val="TableContents"/>
              <w:bidi w:val="0"/>
              <w:spacing w:before="0" w:after="283"/>
              <w:jc w:val="left"/>
              <w:rPr>
                <w:sz w:val="4"/>
                <w:szCs w:val="4"/>
              </w:rPr>
            </w:pPr>
            <w:r>
              <w:rPr>
                <w:sz w:val="4"/>
                <w:szCs w:val="4"/>
              </w:rPr>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1a.</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Dr. Esther M. Alegria</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1b.</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Pierre Boulud</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1c.</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Daniel A. Carestio</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1d.</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Cynthia L. Feldmann</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1e.</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Christopher S. Holland</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1f.</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Paul E. Martin</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1g.</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Dr. Nirav R. Shah</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1h.</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Louis A. Shapiro</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1i.</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left"/>
              <w:rPr>
                <w:rFonts w:ascii="ARIAL" w:hAnsi="ARIAL"/>
                <w:color w:val="004878"/>
                <w:sz w:val="20"/>
              </w:rPr>
            </w:pPr>
            <w:r>
              <w:rPr>
                <w:rFonts w:ascii="ARIAL" w:hAnsi="ARIAL"/>
                <w:color w:val="004878"/>
                <w:sz w:val="20"/>
              </w:rPr>
              <w:t>Dr. Mohsen M. Sohi</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tcPr>
          <w:p>
            <w:pPr>
              <w:pStyle w:val="TableContents"/>
              <w:bidi w:val="0"/>
              <w:spacing w:before="0" w:after="0"/>
              <w:jc w:val="left"/>
              <w:rPr>
                <w:rFonts w:ascii="ARIAL" w:hAnsi="ARIAL"/>
                <w:color w:val="004878"/>
                <w:sz w:val="20"/>
              </w:rPr>
            </w:pPr>
            <w:r>
              <w:rPr>
                <w:rFonts w:ascii="ARIAL" w:hAnsi="ARIAL"/>
                <w:color w:val="004878"/>
                <w:sz w:val="20"/>
              </w:rPr>
              <w:t>2.</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both"/>
              <w:rPr>
                <w:rFonts w:ascii="ARIAL" w:hAnsi="ARIAL"/>
                <w:color w:val="004878"/>
                <w:sz w:val="20"/>
              </w:rPr>
            </w:pPr>
            <w:r>
              <w:rPr>
                <w:rFonts w:ascii="ARIAL" w:hAnsi="ARIAL"/>
                <w:color w:val="004878"/>
                <w:sz w:val="20"/>
              </w:rPr>
              <w:t>To ratify the appointment of Ernst &amp; Young LLP as the Company’s independent registered public accounting firm for the year ending March 31, 2027.</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tcPr>
          <w:p>
            <w:pPr>
              <w:pStyle w:val="TableContents"/>
              <w:bidi w:val="0"/>
              <w:spacing w:before="0" w:after="0"/>
              <w:jc w:val="left"/>
              <w:rPr>
                <w:rFonts w:ascii="ARIAL" w:hAnsi="ARIAL"/>
                <w:color w:val="004878"/>
                <w:sz w:val="20"/>
              </w:rPr>
            </w:pPr>
            <w:r>
              <w:rPr>
                <w:rFonts w:ascii="ARIAL" w:hAnsi="ARIAL"/>
                <w:color w:val="004878"/>
                <w:sz w:val="20"/>
              </w:rPr>
              <w:t>3.</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both"/>
              <w:rPr>
                <w:rFonts w:ascii="ARIAL" w:hAnsi="ARIAL"/>
                <w:color w:val="004878"/>
                <w:sz w:val="20"/>
              </w:rPr>
            </w:pPr>
            <w:r>
              <w:rPr>
                <w:rFonts w:ascii="ARIAL" w:hAnsi="ARIAL"/>
                <w:color w:val="004878"/>
                <w:sz w:val="20"/>
              </w:rPr>
              <w:t>To appoint Ernst &amp; Young Chartered Accountants as the Company’s statutory auditor under Irish law to hold office until the conclusion of the Company’s next annual general meeting.</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283"/>
              <w:jc w:val="left"/>
              <w:rPr>
                <w:color w:val="004878"/>
              </w:rPr>
            </w:pPr>
            <w:r>
              <w:rPr>
                <w:color w:val="004878"/>
              </w:rPr>
              <w:drawing>
                <wp:inline distT="0" distB="0" distL="0" distR="0">
                  <wp:extent cx="152400"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2400" cy="152400"/>
                          </a:xfrm>
                          <a:prstGeom prst="rect">
                            <a:avLst/>
                          </a:prstGeom>
                        </pic:spPr>
                      </pic:pic>
                    </a:graphicData>
                  </a:graphic>
                </wp:inline>
              </w:drawing>
            </w:r>
            <w:r>
              <w:rPr>
                <w:color w:val="004878"/>
              </w:rPr>
              <w:t xml:space="preserve">  </w:t>
            </w:r>
            <w:r>
              <w:rPr>
                <w:b/>
                <w:color w:val="004878"/>
              </w:rPr>
              <w:t>For</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tcPr>
          <w:p>
            <w:pPr>
              <w:pStyle w:val="TableContents"/>
              <w:bidi w:val="0"/>
              <w:spacing w:before="0" w:after="0"/>
              <w:jc w:val="left"/>
              <w:rPr>
                <w:rFonts w:ascii="ARIAL" w:hAnsi="ARIAL"/>
                <w:color w:val="004878"/>
                <w:sz w:val="20"/>
              </w:rPr>
            </w:pPr>
            <w:r>
              <w:rPr>
                <w:rFonts w:ascii="ARIAL" w:hAnsi="ARIAL"/>
                <w:color w:val="004878"/>
                <w:sz w:val="20"/>
              </w:rPr>
              <w:t>4.</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both"/>
              <w:rPr>
                <w:rFonts w:ascii="ARIAL" w:hAnsi="ARIAL"/>
                <w:color w:val="004878"/>
                <w:sz w:val="20"/>
              </w:rPr>
            </w:pPr>
            <w:r>
              <w:rPr>
                <w:rFonts w:ascii="ARIAL" w:hAnsi="ARIAL"/>
                <w:color w:val="004878"/>
                <w:sz w:val="20"/>
              </w:rPr>
              <w:t>To authorize the Board of Directors of the Company or the Audit Committee of the Board of Directors to determine the remuneration of Ernst &amp; Young Chartered Accountants as the Company’s statutory auditor under Irish law.</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tcPr>
          <w:p>
            <w:pPr>
              <w:pStyle w:val="TableContents"/>
              <w:bidi w:val="0"/>
              <w:spacing w:before="0" w:after="0"/>
              <w:jc w:val="left"/>
              <w:rPr>
                <w:rFonts w:ascii="ARIAL" w:hAnsi="ARIAL"/>
                <w:color w:val="004878"/>
                <w:sz w:val="20"/>
              </w:rPr>
            </w:pPr>
            <w:r>
              <w:rPr>
                <w:rFonts w:ascii="ARIAL" w:hAnsi="ARIAL"/>
                <w:color w:val="004878"/>
                <w:sz w:val="20"/>
              </w:rPr>
              <w:t>5.</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both"/>
              <w:rPr>
                <w:rFonts w:ascii="ARIAL" w:hAnsi="ARIAL"/>
                <w:color w:val="004878"/>
                <w:sz w:val="20"/>
              </w:rPr>
            </w:pPr>
            <w:r>
              <w:rPr>
                <w:rFonts w:ascii="ARIAL" w:hAnsi="ARIAL"/>
                <w:color w:val="004878"/>
                <w:sz w:val="20"/>
              </w:rPr>
              <w:t>To approve, on a non-binding advisory basis, the compensation of the Company’s named executive officers as disclosed pursuant to the disclosure rules of the U.S. Securities and Exchange Commission, including the compensation discussion and analysis and the tabular and narrative disclosure contained in the Company’s proxy statement dated June 11, 2026.</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tcPr>
          <w:p>
            <w:pPr>
              <w:pStyle w:val="TableContents"/>
              <w:bidi w:val="0"/>
              <w:spacing w:before="0" w:after="0"/>
              <w:jc w:val="left"/>
              <w:rPr>
                <w:rFonts w:ascii="ARIAL" w:hAnsi="ARIAL"/>
                <w:color w:val="004878"/>
                <w:sz w:val="20"/>
              </w:rPr>
            </w:pPr>
            <w:r>
              <w:rPr>
                <w:rFonts w:ascii="ARIAL" w:hAnsi="ARIAL"/>
                <w:color w:val="004878"/>
                <w:sz w:val="20"/>
              </w:rPr>
              <w:t>6.</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tcPr>
          <w:p>
            <w:pPr>
              <w:pStyle w:val="TableContents"/>
              <w:bidi w:val="0"/>
              <w:spacing w:before="0" w:after="0"/>
              <w:jc w:val="both"/>
              <w:rPr>
                <w:rFonts w:ascii="ARIAL" w:hAnsi="ARIAL"/>
                <w:color w:val="004878"/>
                <w:sz w:val="20"/>
              </w:rPr>
            </w:pPr>
            <w:r>
              <w:rPr>
                <w:rFonts w:ascii="ARIAL" w:hAnsi="ARIAL"/>
                <w:color w:val="004878"/>
                <w:sz w:val="20"/>
              </w:rPr>
              <w:t>To approve a proposal renewing the Board of Directors’ authority to issue shares under Irish law.</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left w:val="single" w:sz="2" w:space="0" w:color="004878"/>
            </w:tcBorders>
            <w:shd w:fill="F0EFF7" w:val="clear"/>
            <w:tcMar>
              <w:left w:w="28" w:type="dxa"/>
            </w:tcMar>
            <w:vAlign w:val="center"/>
          </w:tcPr>
          <w:p>
            <w:pPr>
              <w:pStyle w:val="TableContents"/>
              <w:bidi w:val="0"/>
              <w:spacing w:before="0" w:after="283"/>
              <w:jc w:val="left"/>
              <w:rPr/>
            </w:pPr>
            <w:r>
              <w:rPr/>
              <w:t> </w:t>
            </w:r>
          </w:p>
        </w:tc>
      </w:tr>
      <w:tr>
        <w:trPr/>
        <w:tc>
          <w:tcPr>
            <w:tcW w:w="347" w:type="dxa"/>
            <w:tcBorders>
              <w:bottom w:val="single" w:sz="2" w:space="0" w:color="004878"/>
            </w:tcBorders>
            <w:shd w:fill="F0EFF7" w:val="clear"/>
            <w:tcMar>
              <w:bottom w:w="28" w:type="dxa"/>
            </w:tcMar>
          </w:tcPr>
          <w:p>
            <w:pPr>
              <w:pStyle w:val="TableContents"/>
              <w:bidi w:val="0"/>
              <w:spacing w:before="0" w:after="0"/>
              <w:jc w:val="left"/>
              <w:rPr>
                <w:rFonts w:ascii="ARIAL" w:hAnsi="ARIAL"/>
                <w:color w:val="004878"/>
                <w:sz w:val="20"/>
              </w:rPr>
            </w:pPr>
            <w:r>
              <w:rPr>
                <w:rFonts w:ascii="ARIAL" w:hAnsi="ARIAL"/>
                <w:color w:val="004878"/>
                <w:sz w:val="20"/>
              </w:rPr>
              <w:t>7.</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both"/>
              <w:rPr>
                <w:rFonts w:ascii="ARIAL" w:hAnsi="ARIAL"/>
                <w:color w:val="004878"/>
                <w:sz w:val="20"/>
              </w:rPr>
            </w:pPr>
            <w:r>
              <w:rPr>
                <w:rFonts w:ascii="ARIAL" w:hAnsi="ARIAL"/>
                <w:color w:val="004878"/>
                <w:sz w:val="20"/>
              </w:rPr>
              <w:t>To approve a proposal renewing the Board of Directors’ authority to opt-out of statutory pre-emption rights under Irish law.</w:t>
            </w:r>
          </w:p>
          <w:p>
            <w:pPr>
              <w:pStyle w:val="TableContents"/>
              <w:bidi w:val="0"/>
              <w:spacing w:before="0" w:after="20"/>
              <w:jc w:val="left"/>
              <w:rPr/>
            </w:pPr>
            <w:r>
              <w:rPr/>
              <w:t> </w:t>
            </w:r>
          </w:p>
        </w:tc>
        <w:tc>
          <w:tcPr>
            <w:tcW w:w="108" w:type="dxa"/>
            <w:tcBorders>
              <w:left w:val="single" w:sz="2" w:space="0" w:color="004878"/>
              <w:bottom w:val="single" w:sz="2" w:space="0" w:color="004878"/>
            </w:tcBorders>
            <w:shd w:fill="F0EFF7" w:val="clear"/>
            <w:tcMar>
              <w:left w:w="28" w:type="dxa"/>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0"/>
              <w:jc w:val="left"/>
              <w:rPr>
                <w:color w:val="004878"/>
              </w:rPr>
            </w:pPr>
            <w:r>
              <w:rPr>
                <w:color w:val="004878"/>
              </w:rPr>
              <w:drawing>
                <wp:inline distT="0" distB="0" distL="0" distR="0">
                  <wp:extent cx="152400" cy="15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2400" cy="152400"/>
                          </a:xfrm>
                          <a:prstGeom prst="rect">
                            <a:avLst/>
                          </a:prstGeom>
                        </pic:spPr>
                      </pic:pic>
                    </a:graphicData>
                  </a:graphic>
                </wp:inline>
              </w:drawing>
            </w:r>
            <w:r>
              <w:rPr>
                <w:color w:val="004878"/>
              </w:rPr>
              <w:t xml:space="preserve">  </w:t>
            </w:r>
            <w:r>
              <w:rPr>
                <w:rFonts w:ascii="ARIAL" w:hAnsi="ARIAL"/>
                <w:b/>
                <w:color w:val="004878"/>
                <w:sz w:val="20"/>
              </w:rPr>
              <w:t>For</w:t>
            </w:r>
          </w:p>
          <w:p>
            <w:pPr>
              <w:pStyle w:val="TableContents"/>
              <w:bidi w:val="0"/>
              <w:spacing w:before="0" w:after="20"/>
              <w:jc w:val="left"/>
              <w:rPr/>
            </w:pPr>
            <w:r>
              <w:rPr/>
              <w:t> </w:t>
            </w:r>
          </w:p>
        </w:tc>
      </w:tr>
      <w:tr>
        <w:trPr>
          <w:trHeight w:val="75" w:hRule="atLeast"/>
        </w:trPr>
        <w:tc>
          <w:tcPr>
            <w:tcW w:w="347" w:type="dxa"/>
            <w:tcBorders/>
            <w:shd w:fill="F0EFF7" w:val="clear"/>
            <w:vAlign w:val="center"/>
          </w:tcPr>
          <w:p>
            <w:pPr>
              <w:pStyle w:val="TableContents"/>
              <w:bidi w:val="0"/>
              <w:spacing w:before="0" w:after="283"/>
              <w:jc w:val="left"/>
              <w:rPr>
                <w:sz w:val="4"/>
                <w:szCs w:val="4"/>
              </w:rPr>
            </w:pPr>
            <w:r>
              <w:rPr>
                <w:sz w:val="4"/>
                <w:szCs w:val="4"/>
              </w:rPr>
            </w:r>
          </w:p>
        </w:tc>
        <w:tc>
          <w:tcPr>
            <w:tcW w:w="8791" w:type="dxa"/>
            <w:gridSpan w:val="2"/>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shd w:fill="F0EFF7" w:val="clear"/>
            <w:vAlign w:val="center"/>
          </w:tcPr>
          <w:p>
            <w:pPr>
              <w:pStyle w:val="TableContents"/>
              <w:bidi w:val="0"/>
              <w:spacing w:before="0" w:after="283"/>
              <w:jc w:val="left"/>
              <w:rPr>
                <w:sz w:val="4"/>
                <w:szCs w:val="4"/>
              </w:rPr>
            </w:pPr>
            <w:r>
              <w:rPr>
                <w:sz w:val="4"/>
                <w:szCs w:val="4"/>
              </w:rPr>
            </w:r>
          </w:p>
        </w:tc>
      </w:tr>
      <w:tr>
        <w:trPr/>
        <w:tc>
          <w:tcPr>
            <w:tcW w:w="347" w:type="dxa"/>
            <w:tcBorders>
              <w:bottom w:val="single" w:sz="2" w:space="0" w:color="004878"/>
            </w:tcBorders>
            <w:shd w:fill="F0EFF7" w:val="clear"/>
            <w:tcMar>
              <w:bottom w:w="28" w:type="dxa"/>
            </w:tcMar>
          </w:tcPr>
          <w:p>
            <w:pPr>
              <w:pStyle w:val="TableContents"/>
              <w:bidi w:val="0"/>
              <w:spacing w:before="0" w:after="0"/>
              <w:jc w:val="left"/>
              <w:rPr>
                <w:rFonts w:ascii="ARIAL" w:hAnsi="ARIAL"/>
                <w:color w:val="004878"/>
                <w:sz w:val="20"/>
              </w:rPr>
            </w:pPr>
            <w:r>
              <w:rPr>
                <w:rFonts w:ascii="ARIAL" w:hAnsi="ARIAL"/>
                <w:color w:val="004878"/>
                <w:sz w:val="20"/>
              </w:rPr>
              <w:t>8.</w:t>
            </w:r>
          </w:p>
          <w:p>
            <w:pPr>
              <w:pStyle w:val="TableContents"/>
              <w:bidi w:val="0"/>
              <w:spacing w:before="0" w:after="20"/>
              <w:jc w:val="left"/>
              <w:rPr/>
            </w:pPr>
            <w:r>
              <w:rPr/>
              <w:t> </w:t>
            </w:r>
          </w:p>
        </w:tc>
        <w:tc>
          <w:tcPr>
            <w:tcW w:w="120"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8671" w:type="dxa"/>
            <w:tcBorders>
              <w:bottom w:val="single" w:sz="2" w:space="0" w:color="004878"/>
            </w:tcBorders>
            <w:shd w:fill="F0EFF7" w:val="clear"/>
            <w:tcMar>
              <w:bottom w:w="28" w:type="dxa"/>
            </w:tcMar>
            <w:vAlign w:val="center"/>
          </w:tcPr>
          <w:p>
            <w:pPr>
              <w:pStyle w:val="TableContents"/>
              <w:bidi w:val="0"/>
              <w:spacing w:before="0" w:after="0"/>
              <w:jc w:val="both"/>
              <w:rPr>
                <w:rFonts w:ascii="ARIAL" w:hAnsi="ARIAL"/>
                <w:color w:val="004878"/>
                <w:sz w:val="20"/>
              </w:rPr>
            </w:pPr>
            <w:r>
              <w:rPr>
                <w:rFonts w:ascii="ARIAL" w:hAnsi="ARIAL"/>
                <w:color w:val="004878"/>
                <w:sz w:val="20"/>
              </w:rPr>
              <w:t>To transact such other business as may properly come before the meeting or any adjournment or postponement thereof.</w:t>
            </w:r>
          </w:p>
          <w:p>
            <w:pPr>
              <w:pStyle w:val="TableContents"/>
              <w:bidi w:val="0"/>
              <w:spacing w:before="0" w:after="20"/>
              <w:jc w:val="left"/>
              <w:rPr/>
            </w:pPr>
            <w:r>
              <w:rPr/>
              <w:t> </w:t>
            </w:r>
          </w:p>
        </w:tc>
        <w:tc>
          <w:tcPr>
            <w:tcW w:w="108" w:type="dxa"/>
            <w:tcBorders>
              <w:bottom w:val="single" w:sz="2" w:space="0" w:color="004878"/>
            </w:tcBorders>
            <w:shd w:fill="F0EFF7" w:val="clear"/>
            <w:tcMar>
              <w:bottom w:w="28" w:type="dxa"/>
            </w:tcMar>
            <w:vAlign w:val="bottom"/>
          </w:tcPr>
          <w:p>
            <w:pPr>
              <w:pStyle w:val="TableContents"/>
              <w:bidi w:val="0"/>
              <w:spacing w:before="0" w:after="283"/>
              <w:jc w:val="left"/>
              <w:rPr/>
            </w:pPr>
            <w:r>
              <w:rPr/>
              <w:t> </w:t>
            </w:r>
          </w:p>
        </w:tc>
        <w:tc>
          <w:tcPr>
            <w:tcW w:w="959" w:type="dxa"/>
            <w:tcBorders>
              <w:bottom w:val="single" w:sz="2" w:space="0" w:color="004878"/>
            </w:tcBorders>
            <w:shd w:fill="F0EFF7" w:val="clear"/>
            <w:tcMar>
              <w:bottom w:w="28" w:type="dxa"/>
            </w:tcMar>
            <w:vAlign w:val="center"/>
          </w:tcPr>
          <w:p>
            <w:pPr>
              <w:pStyle w:val="TableContents"/>
              <w:bidi w:val="0"/>
              <w:spacing w:before="0" w:after="283"/>
              <w:jc w:val="left"/>
              <w:rPr/>
            </w:pPr>
            <w:r>
              <w:rPr/>
              <w:t> </w:t>
            </w:r>
          </w:p>
        </w:tc>
      </w:tr>
      <w:tr>
        <w:trPr>
          <w:trHeight w:val="1215" w:hRule="atLeast"/>
        </w:trPr>
        <w:tc>
          <w:tcPr>
            <w:tcW w:w="9138" w:type="dxa"/>
            <w:gridSpan w:val="3"/>
            <w:tcBorders/>
            <w:shd w:fill="F0EFF7" w:val="clear"/>
            <w:vAlign w:val="center"/>
          </w:tcPr>
          <w:p>
            <w:pPr>
              <w:pStyle w:val="TableContents"/>
              <w:bidi w:val="0"/>
              <w:spacing w:before="0" w:after="283"/>
              <w:jc w:val="left"/>
              <w:rPr>
                <w:sz w:val="4"/>
                <w:szCs w:val="4"/>
              </w:rPr>
            </w:pPr>
            <w:r>
              <w:rPr>
                <w:sz w:val="4"/>
                <w:szCs w:val="4"/>
              </w:rPr>
            </w:r>
          </w:p>
        </w:tc>
        <w:tc>
          <w:tcPr>
            <w:tcW w:w="1067" w:type="dxa"/>
            <w:gridSpan w:val="2"/>
            <w:tcBorders/>
            <w:shd w:fill="F0EFF7" w:val="clear"/>
            <w:vAlign w:val="center"/>
          </w:tcPr>
          <w:p>
            <w:pPr>
              <w:pStyle w:val="TableContents"/>
              <w:bidi w:val="0"/>
              <w:spacing w:before="0" w:after="283"/>
              <w:jc w:val="left"/>
              <w:rPr>
                <w:sz w:val="4"/>
                <w:szCs w:val="4"/>
              </w:rPr>
            </w:pPr>
            <w:r>
              <w:rPr>
                <w:sz w:val="4"/>
                <w:szCs w:val="4"/>
              </w:rPr>
            </w:r>
          </w:p>
        </w:tc>
      </w:tr>
      <w:tr>
        <w:trPr/>
        <w:tc>
          <w:tcPr>
            <w:tcW w:w="9138" w:type="dxa"/>
            <w:gridSpan w:val="3"/>
            <w:tcBorders/>
            <w:shd w:fill="F0EFF7" w:val="clear"/>
            <w:vAlign w:val="center"/>
          </w:tcPr>
          <w:p>
            <w:pPr>
              <w:pStyle w:val="TableContents"/>
              <w:bidi w:val="0"/>
              <w:spacing w:before="0" w:after="0"/>
              <w:jc w:val="left"/>
              <w:rPr>
                <w:color w:val="004878"/>
              </w:rPr>
            </w:pPr>
            <w:r>
              <w:rPr>
                <w:color w:val="004878"/>
              </w:rPr>
              <w:t> </w:t>
            </w:r>
          </w:p>
        </w:tc>
        <w:tc>
          <w:tcPr>
            <w:tcW w:w="108" w:type="dxa"/>
            <w:tcBorders/>
            <w:shd w:fill="F0EFF7" w:val="clear"/>
            <w:vAlign w:val="bottom"/>
          </w:tcPr>
          <w:p>
            <w:pPr>
              <w:pStyle w:val="TableContents"/>
              <w:bidi w:val="0"/>
              <w:spacing w:before="0" w:after="283"/>
              <w:jc w:val="left"/>
              <w:rPr/>
            </w:pPr>
            <w:r>
              <w:rPr/>
              <w:t> </w:t>
            </w:r>
          </w:p>
        </w:tc>
        <w:tc>
          <w:tcPr>
            <w:tcW w:w="959" w:type="dxa"/>
            <w:tcBorders/>
            <w:shd w:fill="F0EFF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shd w:fill="004878" w:val="clear"/>
        <w:tblLayout w:type="fixed"/>
        <w:tblCellMar>
          <w:top w:w="0" w:type="dxa"/>
          <w:left w:w="0" w:type="dxa"/>
          <w:bottom w:w="0" w:type="dxa"/>
          <w:right w:w="0" w:type="dxa"/>
        </w:tblCellMar>
      </w:tblPr>
      <w:tblGrid>
        <w:gridCol w:w="10205"/>
      </w:tblGrid>
      <w:tr>
        <w:trPr/>
        <w:tc>
          <w:tcPr>
            <w:tcW w:w="10205" w:type="dxa"/>
            <w:tcBorders/>
            <w:shd w:fill="004878" w:val="clear"/>
            <w:vAlign w:val="center"/>
          </w:tcPr>
          <w:p>
            <w:pPr>
              <w:pStyle w:val="TableContents"/>
              <w:bidi w:val="0"/>
              <w:spacing w:before="0" w:after="283"/>
              <w:jc w:val="left"/>
              <w:rPr>
                <w:sz w:val="4"/>
                <w:szCs w:val="4"/>
              </w:rPr>
            </w:pPr>
            <w:r>
              <w:rPr>
                <w:sz w:val="4"/>
                <w:szCs w:val="4"/>
              </w:rPr>
            </w:r>
          </w:p>
        </w:tc>
      </w:tr>
      <w:tr>
        <w:trPr/>
        <w:tc>
          <w:tcPr>
            <w:tcW w:w="10205" w:type="dxa"/>
            <w:tcBorders/>
            <w:shd w:fill="004878" w:val="clear"/>
          </w:tcPr>
          <w:p>
            <w:pPr>
              <w:pStyle w:val="TableContents"/>
              <w:bidi w:val="0"/>
              <w:spacing w:before="0" w:after="0"/>
              <w:jc w:val="left"/>
              <w:rPr/>
            </w:pPr>
            <w:r>
              <w:rPr/>
              <w:t> </w:t>
            </w:r>
          </w:p>
          <w:p>
            <w:pPr>
              <w:pStyle w:val="TableContents"/>
              <w:bidi w:val="0"/>
              <w:spacing w:before="0" w:after="0"/>
              <w:jc w:val="center"/>
              <w:rPr>
                <w:rFonts w:ascii="ARIAL" w:hAnsi="ARIAL"/>
                <w:color w:val="FFFFFF"/>
                <w:sz w:val="20"/>
              </w:rPr>
            </w:pPr>
            <w:r>
              <w:rPr>
                <w:rFonts w:ascii="ARIAL" w:hAnsi="ARIAL"/>
                <w:color w:val="FFFFFF"/>
                <w:sz w:val="20"/>
              </w:rPr>
              <w:t>Prefer to receive an email instead? While voting on www.ProxyVote.com, be sure to click “Delivery Settings”.</w:t>
            </w:r>
          </w:p>
          <w:p>
            <w:pPr>
              <w:pStyle w:val="TableContents"/>
              <w:bidi w:val="0"/>
              <w:spacing w:before="0" w:after="20"/>
              <w:jc w:val="left"/>
              <w:rPr/>
            </w:pPr>
            <w:r>
              <w:rPr/>
              <w:t> </w:t>
            </w:r>
          </w:p>
        </w:tc>
      </w:tr>
    </w:tbl>
    <w:p>
      <w:pPr>
        <w:pStyle w:val="TextBody"/>
        <w:bidi w:val="0"/>
        <w:spacing w:before="480" w:after="0"/>
        <w:jc w:val="center"/>
        <w:rPr>
          <w:rFonts w:ascii="ARIAL" w:hAnsi="ARIAL"/>
          <w:sz w:val="14"/>
        </w:rPr>
      </w:pPr>
      <w:r>
        <w:rPr>
          <w:rFonts w:ascii="ARIAL" w:hAnsi="ARIAL"/>
          <w:sz w:val="14"/>
        </w:rPr>
        <w:t xml:space="preserve">T00537-P54079-Z93081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718</Words>
  <Characters>3719</Characters>
  <CharactersWithSpaces>4642</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