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wp:posOffset>
            </wp:positionH>
            <wp:positionV relativeFrom="paragraph">
              <wp:posOffset>234315</wp:posOffset>
            </wp:positionV>
            <wp:extent cx="671004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0045" cy="3302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299720</wp:posOffset>
            </wp:positionV>
            <wp:extent cx="6710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100"/>
        <w:spacing w:after="0"/>
        <w:rPr>
          <w:sz w:val="20"/>
          <w:szCs w:val="20"/>
          <w:color w:val="auto"/>
        </w:rPr>
      </w:pPr>
      <w:r>
        <w:rPr>
          <w:rFonts w:ascii="Arial" w:cs="Arial" w:eastAsia="Arial" w:hAnsi="Arial"/>
          <w:sz w:val="28"/>
          <w:szCs w:val="28"/>
          <w:b w:val="1"/>
          <w:bCs w:val="1"/>
          <w:color w:val="auto"/>
        </w:rPr>
        <w:t>UNITED STATES</w:t>
      </w:r>
    </w:p>
    <w:p>
      <w:pPr>
        <w:spacing w:after="0" w:line="29" w:lineRule="exact"/>
        <w:rPr>
          <w:sz w:val="24"/>
          <w:szCs w:val="24"/>
          <w:color w:val="auto"/>
        </w:rPr>
      </w:pPr>
    </w:p>
    <w:p>
      <w:pPr>
        <w:jc w:val="center"/>
        <w:ind w:right="-1100"/>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1100"/>
        <w:spacing w:after="0"/>
        <w:rPr>
          <w:sz w:val="20"/>
          <w:szCs w:val="20"/>
          <w:color w:val="auto"/>
        </w:rPr>
      </w:pPr>
      <w:r>
        <w:rPr>
          <w:rFonts w:ascii="Arial" w:cs="Arial" w:eastAsia="Arial" w:hAnsi="Arial"/>
          <w:sz w:val="21"/>
          <w:szCs w:val="21"/>
          <w:b w:val="1"/>
          <w:bCs w:val="1"/>
          <w:color w:val="auto"/>
        </w:rPr>
        <w:t>WASHINGTON, D.C. 20549</w:t>
      </w:r>
    </w:p>
    <w:p>
      <w:pPr>
        <w:spacing w:after="0" w:line="173" w:lineRule="exact"/>
        <w:rPr>
          <w:sz w:val="24"/>
          <w:szCs w:val="24"/>
          <w:color w:val="auto"/>
        </w:rPr>
      </w:pPr>
    </w:p>
    <w:p>
      <w:pPr>
        <w:jc w:val="center"/>
        <w:ind w:right="-1100"/>
        <w:spacing w:after="0"/>
        <w:rPr>
          <w:sz w:val="20"/>
          <w:szCs w:val="20"/>
          <w:color w:val="auto"/>
        </w:rPr>
      </w:pPr>
      <w:r>
        <w:rPr>
          <w:rFonts w:ascii="Arial" w:cs="Arial" w:eastAsia="Arial" w:hAnsi="Arial"/>
          <w:sz w:val="28"/>
          <w:szCs w:val="28"/>
          <w:b w:val="1"/>
          <w:bCs w:val="1"/>
          <w:color w:val="auto"/>
        </w:rPr>
        <w:t>SCHEDULE 14A</w:t>
      </w:r>
    </w:p>
    <w:p>
      <w:pPr>
        <w:spacing w:after="0" w:line="218" w:lineRule="exact"/>
        <w:rPr>
          <w:sz w:val="24"/>
          <w:szCs w:val="24"/>
          <w:color w:val="auto"/>
        </w:rPr>
      </w:pPr>
    </w:p>
    <w:p>
      <w:pPr>
        <w:jc w:val="center"/>
        <w:ind w:left="2680" w:right="460"/>
        <w:spacing w:after="0" w:line="272" w:lineRule="auto"/>
        <w:rPr>
          <w:sz w:val="20"/>
          <w:szCs w:val="20"/>
          <w:color w:val="auto"/>
        </w:rPr>
      </w:pPr>
      <w:r>
        <w:rPr>
          <w:rFonts w:ascii="Arial" w:cs="Arial" w:eastAsia="Arial" w:hAnsi="Arial"/>
          <w:sz w:val="24"/>
          <w:szCs w:val="24"/>
          <w:b w:val="1"/>
          <w:bCs w:val="1"/>
          <w:color w:val="auto"/>
        </w:rPr>
        <w:t>Proxy Statement Pursuant to Section 14(a) of the Securities Exchange Act of 1934 (Amendment No.   )</w:t>
      </w:r>
    </w:p>
    <w:p>
      <w:pPr>
        <w:spacing w:after="0" w:line="89"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19"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66" w:lineRule="exact"/>
        <w:rPr>
          <w:sz w:val="24"/>
          <w:szCs w:val="24"/>
          <w:color w:val="auto"/>
        </w:rPr>
      </w:pPr>
    </w:p>
    <w:p>
      <w:pPr>
        <w:ind w:left="340"/>
        <w:spacing w:after="0"/>
        <w:rPr>
          <w:sz w:val="20"/>
          <w:szCs w:val="20"/>
          <w:color w:val="auto"/>
        </w:rPr>
      </w:pPr>
      <w:r>
        <w:rPr>
          <w:rFonts w:ascii="Arial" w:cs="Arial" w:eastAsia="Arial" w:hAnsi="Arial"/>
          <w:sz w:val="17"/>
          <w:szCs w:val="17"/>
          <w:color w:val="auto"/>
        </w:rPr>
        <w:t>Check the appropriate box:</w:t>
      </w:r>
    </w:p>
    <w:p>
      <w:pPr>
        <w:spacing w:after="0" w:line="232" w:lineRule="exact"/>
        <w:rPr>
          <w:sz w:val="24"/>
          <w:szCs w:val="24"/>
          <w:color w:val="auto"/>
        </w:rPr>
      </w:pPr>
    </w:p>
    <w:p>
      <w:pPr>
        <w:ind w:left="1180" w:hanging="840"/>
        <w:spacing w:after="0"/>
        <w:tabs>
          <w:tab w:leader="none" w:pos="11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44" w:lineRule="exact"/>
        <w:rPr>
          <w:rFonts w:ascii="MS PGothic" w:cs="MS PGothic" w:eastAsia="MS PGothic" w:hAnsi="MS PGothic"/>
          <w:sz w:val="17"/>
          <w:szCs w:val="17"/>
          <w:color w:val="auto"/>
        </w:rPr>
      </w:pPr>
    </w:p>
    <w:p>
      <w:pPr>
        <w:ind w:left="1180" w:hanging="840"/>
        <w:spacing w:after="0"/>
        <w:tabs>
          <w:tab w:leader="none" w:pos="11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w:t>
      </w:r>
    </w:p>
    <w:p>
      <w:pPr>
        <w:spacing w:after="0" w:line="28" w:lineRule="exact"/>
        <w:rPr>
          <w:sz w:val="24"/>
          <w:szCs w:val="24"/>
          <w:color w:val="auto"/>
        </w:rPr>
      </w:pPr>
    </w:p>
    <w:p>
      <w:pPr>
        <w:ind w:left="1180" w:hanging="840"/>
        <w:spacing w:after="0"/>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permitted by Rule 14a-6(e)(2))</w:t>
      </w:r>
    </w:p>
    <w:p>
      <w:pPr>
        <w:spacing w:after="0" w:line="216" w:lineRule="exact"/>
        <w:rPr>
          <w:sz w:val="24"/>
          <w:szCs w:val="24"/>
          <w:color w:val="auto"/>
        </w:rPr>
      </w:pPr>
    </w:p>
    <w:p>
      <w:pPr>
        <w:ind w:left="1180" w:hanging="840"/>
        <w:spacing w:after="0"/>
        <w:tabs>
          <w:tab w:leader="none" w:pos="11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45" w:lineRule="exact"/>
        <w:rPr>
          <w:sz w:val="24"/>
          <w:szCs w:val="24"/>
          <w:color w:val="auto"/>
        </w:rPr>
      </w:pPr>
    </w:p>
    <w:p>
      <w:pPr>
        <w:ind w:left="1180" w:hanging="840"/>
        <w:spacing w:after="0"/>
        <w:tabs>
          <w:tab w:leader="none" w:pos="11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44" w:lineRule="exact"/>
        <w:rPr>
          <w:rFonts w:ascii="MS PGothic" w:cs="MS PGothic" w:eastAsia="MS PGothic" w:hAnsi="MS PGothic"/>
          <w:sz w:val="17"/>
          <w:szCs w:val="17"/>
          <w:color w:val="auto"/>
        </w:rPr>
      </w:pPr>
    </w:p>
    <w:p>
      <w:pPr>
        <w:ind w:left="1180" w:hanging="840"/>
        <w:spacing w:after="0"/>
        <w:tabs>
          <w:tab w:leader="none" w:pos="11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Soliciting Material under § 240.14a-12</w:t>
      </w:r>
    </w:p>
    <w:p>
      <w:pPr>
        <w:spacing w:after="0" w:line="204" w:lineRule="exact"/>
        <w:rPr>
          <w:sz w:val="24"/>
          <w:szCs w:val="24"/>
          <w:color w:val="auto"/>
        </w:rPr>
      </w:pPr>
    </w:p>
    <w:p>
      <w:pPr>
        <w:jc w:val="center"/>
        <w:ind w:right="-1100"/>
        <w:spacing w:after="0"/>
        <w:rPr>
          <w:sz w:val="20"/>
          <w:szCs w:val="20"/>
          <w:color w:val="auto"/>
        </w:rPr>
      </w:pPr>
      <w:r>
        <w:rPr>
          <w:rFonts w:ascii="Arial" w:cs="Arial" w:eastAsia="Arial" w:hAnsi="Arial"/>
          <w:sz w:val="28"/>
          <w:szCs w:val="28"/>
          <w:b w:val="1"/>
          <w:bCs w:val="1"/>
          <w:color w:val="auto"/>
        </w:rPr>
        <w:t>STERIS plc</w:t>
      </w:r>
    </w:p>
    <w:p>
      <w:pPr>
        <w:spacing w:after="0" w:line="3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(Name of Registrant as Specified in its Charter)</w:t>
      </w:r>
    </w:p>
    <w:p>
      <w:pPr>
        <w:jc w:val="center"/>
        <w:ind w:right="-110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190" w:lineRule="exact"/>
        <w:rPr>
          <w:sz w:val="24"/>
          <w:szCs w:val="24"/>
          <w:color w:val="auto"/>
        </w:rPr>
      </w:pPr>
    </w:p>
    <w:p>
      <w:pPr>
        <w:ind w:left="340"/>
        <w:spacing w:after="0"/>
        <w:rPr>
          <w:sz w:val="20"/>
          <w:szCs w:val="20"/>
          <w:color w:val="auto"/>
        </w:rPr>
      </w:pPr>
      <w:r>
        <w:rPr>
          <w:rFonts w:ascii="Arial" w:cs="Arial" w:eastAsia="Arial" w:hAnsi="Arial"/>
          <w:sz w:val="17"/>
          <w:szCs w:val="17"/>
          <w:color w:val="auto"/>
        </w:rPr>
        <w:t>Payment of Filing Fee (Check all boxes that apply):</w:t>
      </w:r>
    </w:p>
    <w:p>
      <w:pPr>
        <w:spacing w:after="0" w:line="232" w:lineRule="exact"/>
        <w:rPr>
          <w:sz w:val="24"/>
          <w:szCs w:val="24"/>
          <w:color w:val="auto"/>
        </w:rPr>
      </w:pPr>
    </w:p>
    <w:p>
      <w:pPr>
        <w:ind w:left="1180" w:hanging="840"/>
        <w:spacing w:after="0"/>
        <w:tabs>
          <w:tab w:leader="none" w:pos="11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45" w:lineRule="exact"/>
        <w:rPr>
          <w:sz w:val="24"/>
          <w:szCs w:val="24"/>
          <w:color w:val="auto"/>
        </w:rPr>
      </w:pPr>
    </w:p>
    <w:p>
      <w:pPr>
        <w:ind w:left="1180" w:hanging="840"/>
        <w:spacing w:after="0"/>
        <w:tabs>
          <w:tab w:leader="none" w:pos="118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44" w:lineRule="exact"/>
        <w:rPr>
          <w:rFonts w:ascii="MS PGothic" w:cs="MS PGothic" w:eastAsia="MS PGothic" w:hAnsi="MS PGothic"/>
          <w:sz w:val="17"/>
          <w:szCs w:val="17"/>
          <w:color w:val="auto"/>
        </w:rPr>
      </w:pPr>
    </w:p>
    <w:p>
      <w:pPr>
        <w:ind w:left="1180" w:hanging="840"/>
        <w:spacing w:after="0"/>
        <w:tabs>
          <w:tab w:leader="none" w:pos="118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wp:posOffset>
            </wp:positionH>
            <wp:positionV relativeFrom="paragraph">
              <wp:posOffset>198755</wp:posOffset>
            </wp:positionV>
            <wp:extent cx="6710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264795</wp:posOffset>
            </wp:positionV>
            <wp:extent cx="671004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10045" cy="33020"/>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2955925</wp:posOffset>
            </wp:positionV>
            <wp:extent cx="5081905" cy="1883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81905" cy="1883410"/>
                    </a:xfrm>
                    <a:prstGeom prst="rect">
                      <a:avLst/>
                    </a:prstGeom>
                    <a:noFill/>
                  </pic:spPr>
                </pic:pic>
              </a:graphicData>
            </a:graphic>
          </wp:anchor>
        </w:drawing>
      </w:r>
    </w:p>
    <w:p>
      <w:pPr>
        <w:sectPr>
          <w:pgSz w:w="11900" w:h="16838" w:orient="portrait"/>
          <w:cols w:equalWidth="0" w:num="1">
            <w:col w:w="10139"/>
          </w:cols>
          <w:pgMar w:left="320" w:top="46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89" w:lineRule="exact"/>
        <w:rPr>
          <w:sz w:val="20"/>
          <w:szCs w:val="20"/>
          <w:color w:val="auto"/>
        </w:rPr>
      </w:pPr>
    </w:p>
    <w:p>
      <w:pPr>
        <w:ind w:left="4520"/>
        <w:spacing w:after="0"/>
        <w:rPr>
          <w:sz w:val="20"/>
          <w:szCs w:val="20"/>
          <w:color w:val="auto"/>
        </w:rPr>
      </w:pPr>
      <w:r>
        <w:rPr>
          <w:rFonts w:ascii="Arial" w:cs="Arial" w:eastAsia="Arial" w:hAnsi="Arial"/>
          <w:sz w:val="41"/>
          <w:szCs w:val="41"/>
          <w:b w:val="1"/>
          <w:bCs w:val="1"/>
          <w:color w:val="auto"/>
        </w:rPr>
        <w:t>STERIS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-272415</wp:posOffset>
            </wp:positionV>
            <wp:extent cx="6710045" cy="7219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0045" cy="721995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40"/>
        <w:spacing w:after="0"/>
        <w:rPr>
          <w:sz w:val="20"/>
          <w:szCs w:val="20"/>
          <w:color w:val="auto"/>
        </w:rPr>
      </w:pPr>
      <w:r>
        <w:rPr>
          <w:rFonts w:ascii="Arial" w:cs="Arial" w:eastAsia="Arial" w:hAnsi="Arial"/>
          <w:sz w:val="19"/>
          <w:szCs w:val="19"/>
          <w:b w:val="1"/>
          <w:bCs w:val="1"/>
          <w:color w:val="auto"/>
        </w:rPr>
        <w:t>A public limited company incorporated in Ireland with company number 595593</w:t>
      </w:r>
    </w:p>
    <w:p>
      <w:pPr>
        <w:spacing w:after="0" w:line="200" w:lineRule="exact"/>
        <w:rPr>
          <w:sz w:val="20"/>
          <w:szCs w:val="20"/>
          <w:color w:val="auto"/>
        </w:rPr>
      </w:pPr>
    </w:p>
    <w:p>
      <w:pPr>
        <w:spacing w:after="0" w:line="346" w:lineRule="exact"/>
        <w:rPr>
          <w:sz w:val="20"/>
          <w:szCs w:val="20"/>
          <w:color w:val="auto"/>
        </w:rPr>
      </w:pPr>
    </w:p>
    <w:p>
      <w:pPr>
        <w:jc w:val="center"/>
        <w:ind w:right="-659"/>
        <w:spacing w:after="0"/>
        <w:rPr>
          <w:sz w:val="20"/>
          <w:szCs w:val="20"/>
          <w:color w:val="auto"/>
        </w:rPr>
      </w:pPr>
      <w:r>
        <w:rPr>
          <w:rFonts w:ascii="Arial" w:cs="Arial" w:eastAsia="Arial" w:hAnsi="Arial"/>
          <w:sz w:val="19"/>
          <w:szCs w:val="19"/>
          <w:b w:val="1"/>
          <w:bCs w:val="1"/>
          <w:color w:val="auto"/>
        </w:rPr>
        <w:t>Registered office: 70 Sir John Rogerson’s Quay</w:t>
      </w:r>
    </w:p>
    <w:p>
      <w:pPr>
        <w:spacing w:after="0" w:line="7" w:lineRule="exact"/>
        <w:rPr>
          <w:sz w:val="20"/>
          <w:szCs w:val="20"/>
          <w:color w:val="auto"/>
        </w:rPr>
      </w:pPr>
    </w:p>
    <w:p>
      <w:pPr>
        <w:jc w:val="center"/>
        <w:ind w:right="-659"/>
        <w:spacing w:after="0"/>
        <w:rPr>
          <w:sz w:val="20"/>
          <w:szCs w:val="20"/>
          <w:color w:val="auto"/>
        </w:rPr>
      </w:pPr>
      <w:r>
        <w:rPr>
          <w:rFonts w:ascii="Arial" w:cs="Arial" w:eastAsia="Arial" w:hAnsi="Arial"/>
          <w:sz w:val="19"/>
          <w:szCs w:val="19"/>
          <w:b w:val="1"/>
          <w:bCs w:val="1"/>
          <w:color w:val="auto"/>
        </w:rPr>
        <w:t>Dublin 2, D02 R296, Ireland</w:t>
      </w:r>
    </w:p>
    <w:p>
      <w:pPr>
        <w:spacing w:after="0" w:line="200" w:lineRule="exact"/>
        <w:rPr>
          <w:sz w:val="20"/>
          <w:szCs w:val="20"/>
          <w:color w:val="auto"/>
        </w:rPr>
      </w:pPr>
    </w:p>
    <w:p>
      <w:pPr>
        <w:spacing w:after="0" w:line="328" w:lineRule="exact"/>
        <w:rPr>
          <w:sz w:val="20"/>
          <w:szCs w:val="20"/>
          <w:color w:val="auto"/>
        </w:rPr>
      </w:pPr>
    </w:p>
    <w:p>
      <w:pPr>
        <w:jc w:val="center"/>
        <w:ind w:left="980" w:right="100"/>
        <w:spacing w:after="0" w:line="244" w:lineRule="auto"/>
        <w:rPr>
          <w:sz w:val="20"/>
          <w:szCs w:val="20"/>
          <w:color w:val="auto"/>
        </w:rPr>
      </w:pPr>
      <w:r>
        <w:rPr>
          <w:rFonts w:ascii="Arial" w:cs="Arial" w:eastAsia="Arial" w:hAnsi="Arial"/>
          <w:sz w:val="19"/>
          <w:szCs w:val="19"/>
          <w:color w:val="auto"/>
        </w:rPr>
        <w:t>Directors: Dr. Esther M. Alegria (U.S.), Pierre Boulud (France), Richard C. Breeden (U.S.), Daniel A. Carestio (U.S.), Cynthia L. Feldmann (U.S.), Christopher S. Holland (U.S.), Paul E. Martin (U.S.), Dr. Nirav R. Shah (U.S.), Louis A. Shapiro (U.S.) and Dr. Mohsen M. Sohi (U.S.)</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To Our Shareholders:</w:t>
      </w:r>
    </w:p>
    <w:p>
      <w:pPr>
        <w:spacing w:after="0" w:line="196" w:lineRule="exact"/>
        <w:rPr>
          <w:sz w:val="20"/>
          <w:szCs w:val="20"/>
          <w:color w:val="auto"/>
        </w:rPr>
      </w:pPr>
    </w:p>
    <w:p>
      <w:pPr>
        <w:ind w:left="660" w:right="120"/>
        <w:spacing w:after="0" w:line="244" w:lineRule="auto"/>
        <w:rPr>
          <w:sz w:val="20"/>
          <w:szCs w:val="20"/>
          <w:color w:val="auto"/>
        </w:rPr>
      </w:pPr>
      <w:r>
        <w:rPr>
          <w:rFonts w:ascii="Arial" w:cs="Arial" w:eastAsia="Arial" w:hAnsi="Arial"/>
          <w:sz w:val="19"/>
          <w:szCs w:val="19"/>
          <w:color w:val="auto"/>
        </w:rPr>
        <w:t>The 2026 Annual General Meeting (“Annual Meeting”) of Shareholders of STERIS plc will be held at 9:00 a.m. Irish Standard Time (4:00 a.m. Eastern Daylight Time), on Friday, July 31, 2026 at 70 Sir John Rogerson’s Quay, Dublin 2, D02 R296, Ireland.</w:t>
      </w:r>
    </w:p>
    <w:p>
      <w:pPr>
        <w:spacing w:after="0" w:line="162" w:lineRule="exact"/>
        <w:rPr>
          <w:sz w:val="20"/>
          <w:szCs w:val="20"/>
          <w:color w:val="auto"/>
        </w:rPr>
      </w:pPr>
    </w:p>
    <w:p>
      <w:pPr>
        <w:ind w:left="660"/>
        <w:spacing w:after="0" w:line="236" w:lineRule="auto"/>
        <w:rPr>
          <w:sz w:val="20"/>
          <w:szCs w:val="20"/>
          <w:color w:val="auto"/>
        </w:rPr>
      </w:pPr>
      <w:r>
        <w:rPr>
          <w:rFonts w:ascii="Arial" w:cs="Arial" w:eastAsia="Arial" w:hAnsi="Arial"/>
          <w:sz w:val="19"/>
          <w:szCs w:val="19"/>
          <w:color w:val="auto"/>
        </w:rPr>
        <w:t>Should we determine that alternate Annual Meeting arrangements may be advisable or required, such as changing the date, time, or location of the Annual Meeting, we will announce our decision by press release, post additional information at steris-ir.com, and make a public filing with the U.S. Securities and Exchange Commission (“SEC”). Regardless of whether you plan to attend in person, we also encourage shareholders to cast their votes prior to the Annual Meeting by one of the methods described in this Proxy Statement.</w:t>
      </w:r>
    </w:p>
    <w:p>
      <w:pPr>
        <w:spacing w:after="0" w:line="169" w:lineRule="exact"/>
        <w:rPr>
          <w:sz w:val="20"/>
          <w:szCs w:val="20"/>
          <w:color w:val="auto"/>
        </w:rPr>
      </w:pPr>
    </w:p>
    <w:p>
      <w:pPr>
        <w:ind w:left="660" w:right="440"/>
        <w:spacing w:after="0" w:line="239" w:lineRule="auto"/>
        <w:rPr>
          <w:sz w:val="20"/>
          <w:szCs w:val="20"/>
          <w:color w:val="auto"/>
        </w:rPr>
      </w:pPr>
      <w:r>
        <w:rPr>
          <w:rFonts w:ascii="Arial" w:cs="Arial" w:eastAsia="Arial" w:hAnsi="Arial"/>
          <w:sz w:val="19"/>
          <w:szCs w:val="19"/>
          <w:color w:val="auto"/>
        </w:rPr>
        <w:t>At the Annual Meeting, shareholders will be asked to vote on a number of matters described in the Notice of 2026 Annual Meeting of Shareholders, including the election of directors. We urge our shareholders to vote “FOR” for proposals 1 through 7, each as presented to shareholders and described in the Notice of 2026 Annual Meeting of Shareholders.</w:t>
      </w:r>
    </w:p>
    <w:p>
      <w:pPr>
        <w:spacing w:after="0" w:line="166" w:lineRule="exact"/>
        <w:rPr>
          <w:sz w:val="20"/>
          <w:szCs w:val="20"/>
          <w:color w:val="auto"/>
        </w:rPr>
      </w:pPr>
    </w:p>
    <w:p>
      <w:pPr>
        <w:ind w:left="660" w:right="80"/>
        <w:spacing w:after="0" w:line="250" w:lineRule="auto"/>
        <w:rPr>
          <w:sz w:val="20"/>
          <w:szCs w:val="20"/>
          <w:color w:val="auto"/>
        </w:rPr>
      </w:pPr>
      <w:r>
        <w:rPr>
          <w:rFonts w:ascii="Arial" w:cs="Arial" w:eastAsia="Arial" w:hAnsi="Arial"/>
          <w:sz w:val="19"/>
          <w:szCs w:val="19"/>
          <w:color w:val="auto"/>
        </w:rPr>
        <w:t xml:space="preserve">The formal Notice of 2026 Annual Meeting of Shareholders and the Proxy Statement containing information relative to the Annual Meeting follow this letter. </w:t>
      </w:r>
      <w:r>
        <w:rPr>
          <w:rFonts w:ascii="Arial" w:cs="Arial" w:eastAsia="Arial" w:hAnsi="Arial"/>
          <w:sz w:val="19"/>
          <w:szCs w:val="19"/>
          <w:b w:val="1"/>
          <w:bCs w:val="1"/>
          <w:color w:val="auto"/>
        </w:rPr>
        <w:t>We urge you to read the Proxy Statement carefully and use one of the</w:t>
      </w:r>
      <w:r>
        <w:rPr>
          <w:rFonts w:ascii="Arial" w:cs="Arial" w:eastAsia="Arial" w:hAnsi="Arial"/>
          <w:sz w:val="19"/>
          <w:szCs w:val="19"/>
          <w:color w:val="auto"/>
        </w:rPr>
        <w:t xml:space="preserve"> </w:t>
      </w:r>
      <w:r>
        <w:rPr>
          <w:rFonts w:ascii="Arial" w:cs="Arial" w:eastAsia="Arial" w:hAnsi="Arial"/>
          <w:sz w:val="19"/>
          <w:szCs w:val="19"/>
          <w:b w:val="1"/>
          <w:bCs w:val="1"/>
          <w:color w:val="auto"/>
        </w:rPr>
        <w:t>specified alternative methods of voting to ensure that your shares will be voted at the Annual Meeting.</w:t>
      </w:r>
    </w:p>
    <w:p>
      <w:pPr>
        <w:spacing w:after="0" w:line="146" w:lineRule="exact"/>
        <w:rPr>
          <w:sz w:val="20"/>
          <w:szCs w:val="20"/>
          <w:color w:val="auto"/>
        </w:rPr>
      </w:pPr>
    </w:p>
    <w:p>
      <w:pPr>
        <w:ind w:left="660" w:right="140"/>
        <w:spacing w:after="0" w:line="250" w:lineRule="auto"/>
        <w:rPr>
          <w:sz w:val="20"/>
          <w:szCs w:val="20"/>
          <w:color w:val="auto"/>
        </w:rPr>
      </w:pPr>
      <w:r>
        <w:rPr>
          <w:rFonts w:ascii="Arial" w:cs="Arial" w:eastAsia="Arial" w:hAnsi="Arial"/>
          <w:sz w:val="19"/>
          <w:szCs w:val="19"/>
          <w:b w:val="1"/>
          <w:bCs w:val="1"/>
          <w:color w:val="auto"/>
        </w:rPr>
        <w:t>Please note that if you are a shareholder of record voting by proxy, your vote may not be counted unless it is received no later than 4:59 a.m. Irish Standard Time on Thursday, July 30, 2026 (11:59 p.m. Eastern Daylight Time on Wednesday, July 29, 2026).</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Sincerely,</w:t>
      </w:r>
    </w:p>
    <w:p>
      <w:pPr>
        <w:sectPr>
          <w:pgSz w:w="11900" w:h="16838" w:orient="portrait"/>
          <w:cols w:equalWidth="0" w:num="1">
            <w:col w:w="10600"/>
          </w:cols>
          <w:pgMar w:left="320" w:top="469"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DANIEL A. CARESTIO</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DR. MOHSEN M. SOHI</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Chairman of the Board</w:t>
      </w:r>
    </w:p>
    <w:p>
      <w:pPr>
        <w:sectPr>
          <w:pgSz w:w="11900" w:h="16838" w:orient="portrait"/>
          <w:cols w:equalWidth="0" w:num="2">
            <w:col w:w="5020" w:space="720"/>
            <w:col w:w="4860"/>
          </w:cols>
          <w:pgMar w:left="320" w:top="469" w:right="9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41"/>
          <w:szCs w:val="41"/>
          <w:b w:val="1"/>
          <w:bCs w:val="1"/>
          <w:color w:val="auto"/>
        </w:rPr>
        <w:t>STERIS plc</w:t>
      </w:r>
    </w:p>
    <w:p>
      <w:pPr>
        <w:spacing w:after="0" w:line="230"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(A public limited company incorporated in Ireland with company number 595593)</w:t>
      </w: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31"/>
          <w:szCs w:val="31"/>
          <w:b w:val="1"/>
          <w:bCs w:val="1"/>
          <w:color w:val="3E8EDE"/>
        </w:rPr>
        <w:t>NOTICE OF 2026 ANNUAL GENERAL MEETING OF SHAREHOLDERS</w:t>
      </w:r>
    </w:p>
    <w:p>
      <w:pPr>
        <w:spacing w:after="0" w:line="35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To the Holders of Ordinary Shares of STERIS plc</w:t>
      </w:r>
    </w:p>
    <w:p>
      <w:pPr>
        <w:spacing w:after="0" w:line="92" w:lineRule="exact"/>
        <w:rPr>
          <w:sz w:val="20"/>
          <w:szCs w:val="20"/>
          <w:color w:val="auto"/>
        </w:rPr>
      </w:pPr>
    </w:p>
    <w:p>
      <w:pPr>
        <w:ind w:left="340" w:right="300"/>
        <w:spacing w:after="0" w:line="235" w:lineRule="auto"/>
        <w:rPr>
          <w:sz w:val="20"/>
          <w:szCs w:val="20"/>
          <w:color w:val="auto"/>
        </w:rPr>
      </w:pPr>
      <w:r>
        <w:rPr>
          <w:rFonts w:ascii="Arial" w:cs="Arial" w:eastAsia="Arial" w:hAnsi="Arial"/>
          <w:sz w:val="19"/>
          <w:szCs w:val="19"/>
          <w:color w:val="auto"/>
        </w:rPr>
        <w:t>The 2026 Annual General Meeting (the “Annual Meeting”) of shareholders of STERIS plc (“STERIS,” the “Company,” “we,” “us,” or “our”) will be held on Friday, July 31, 2026 at 9:00 a.m. Irish Standard Time (4:00 a.m. Eastern Daylight Time) at 70 Sir John Rogerson’s Quay, Dublin 2, D02 R296, Ireland. Should we determine that alternative Annual Meeting arrangements may be advisable or required, such as changing the date, time, or location of the Annual Meeting, we will announce our decision by press release, post additional information at steris-ir.com, and make a public filing with the U.S. Securities and Exchange Commission (“SEC”).</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You are being asked to consider and vote on the resolutions described below at the Annual Meeting.</w:t>
      </w:r>
    </w:p>
    <w:p>
      <w:pPr>
        <w:spacing w:after="0" w:line="196" w:lineRule="exact"/>
        <w:rPr>
          <w:sz w:val="20"/>
          <w:szCs w:val="20"/>
          <w:color w:val="auto"/>
        </w:rPr>
      </w:pPr>
    </w:p>
    <w:p>
      <w:pPr>
        <w:ind w:left="340" w:right="240"/>
        <w:spacing w:after="0" w:line="235" w:lineRule="auto"/>
        <w:rPr>
          <w:sz w:val="20"/>
          <w:szCs w:val="20"/>
          <w:color w:val="auto"/>
        </w:rPr>
      </w:pPr>
      <w:r>
        <w:rPr>
          <w:rFonts w:ascii="Arial" w:cs="Arial" w:eastAsia="Arial" w:hAnsi="Arial"/>
          <w:sz w:val="19"/>
          <w:szCs w:val="19"/>
          <w:color w:val="auto"/>
        </w:rPr>
        <w:t>Shareholders of the Company will be asked to consider certain proposals that may not be familiar to them because, unlike many companies with shares traded on the New York Stock Exchange, we are incorporated under the laws of Ireland. The Irish Companies Act 2014, as amended (the “Irish Companies Act”) obligates us to propose certain matters to shareholders for approval that would generally not be subject to periodic approval by shareholders of companies incorporated in the United States but are considered routine items for approval by shareholders of companies incorporated in Ireland. Each proposal to be presented at the Annual Meeting is described more fully below.</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Proposal 1—Ordinary resolutions to elect directors of the Company:</w:t>
      </w:r>
    </w:p>
    <w:p>
      <w:pPr>
        <w:spacing w:after="0" w:line="105" w:lineRule="exact"/>
        <w:rPr>
          <w:sz w:val="20"/>
          <w:szCs w:val="20"/>
          <w:color w:val="auto"/>
        </w:rPr>
      </w:pPr>
    </w:p>
    <w:p>
      <w:pPr>
        <w:ind w:left="860" w:hanging="520"/>
        <w:spacing w:after="0"/>
        <w:tabs>
          <w:tab w:leader="none" w:pos="8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re-elect Dr. Esther M. Alegria as a director of the Company.</w:t>
      </w:r>
    </w:p>
    <w:p>
      <w:pPr>
        <w:spacing w:after="0" w:line="105" w:lineRule="exact"/>
        <w:rPr>
          <w:rFonts w:ascii="Arial" w:cs="Arial" w:eastAsia="Arial" w:hAnsi="Arial"/>
          <w:sz w:val="19"/>
          <w:szCs w:val="19"/>
          <w:color w:val="auto"/>
        </w:rPr>
      </w:pPr>
    </w:p>
    <w:p>
      <w:pPr>
        <w:ind w:left="860" w:hanging="520"/>
        <w:spacing w:after="0"/>
        <w:tabs>
          <w:tab w:leader="none" w:pos="8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elect Pierre Boulud as a director of the Company.</w:t>
      </w:r>
    </w:p>
    <w:p>
      <w:pPr>
        <w:spacing w:after="0" w:line="105" w:lineRule="exact"/>
        <w:rPr>
          <w:rFonts w:ascii="Arial" w:cs="Arial" w:eastAsia="Arial" w:hAnsi="Arial"/>
          <w:sz w:val="19"/>
          <w:szCs w:val="19"/>
          <w:color w:val="auto"/>
        </w:rPr>
      </w:pPr>
    </w:p>
    <w:p>
      <w:pPr>
        <w:ind w:left="860" w:hanging="520"/>
        <w:spacing w:after="0"/>
        <w:tabs>
          <w:tab w:leader="none" w:pos="8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re-elect Daniel A. Carestio as a director of the Company.</w:t>
      </w:r>
    </w:p>
    <w:p>
      <w:pPr>
        <w:spacing w:after="0" w:line="105" w:lineRule="exact"/>
        <w:rPr>
          <w:rFonts w:ascii="Arial" w:cs="Arial" w:eastAsia="Arial" w:hAnsi="Arial"/>
          <w:sz w:val="19"/>
          <w:szCs w:val="19"/>
          <w:color w:val="auto"/>
        </w:rPr>
      </w:pPr>
    </w:p>
    <w:p>
      <w:pPr>
        <w:ind w:left="860" w:hanging="520"/>
        <w:spacing w:after="0"/>
        <w:tabs>
          <w:tab w:leader="none" w:pos="8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re-elect Cynthia L. Feldmann as a director of the Company.</w:t>
      </w:r>
    </w:p>
    <w:p>
      <w:pPr>
        <w:spacing w:after="0" w:line="105" w:lineRule="exact"/>
        <w:rPr>
          <w:rFonts w:ascii="Arial" w:cs="Arial" w:eastAsia="Arial" w:hAnsi="Arial"/>
          <w:sz w:val="19"/>
          <w:szCs w:val="19"/>
          <w:color w:val="auto"/>
        </w:rPr>
      </w:pPr>
    </w:p>
    <w:p>
      <w:pPr>
        <w:ind w:left="860" w:hanging="520"/>
        <w:spacing w:after="0"/>
        <w:tabs>
          <w:tab w:leader="none" w:pos="8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re-elect Christopher S. Holland as a director of the Company.</w:t>
      </w:r>
    </w:p>
    <w:p>
      <w:pPr>
        <w:spacing w:after="0" w:line="105" w:lineRule="exact"/>
        <w:rPr>
          <w:rFonts w:ascii="Arial" w:cs="Arial" w:eastAsia="Arial" w:hAnsi="Arial"/>
          <w:sz w:val="19"/>
          <w:szCs w:val="19"/>
          <w:color w:val="auto"/>
        </w:rPr>
      </w:pPr>
    </w:p>
    <w:p>
      <w:pPr>
        <w:ind w:left="860" w:hanging="520"/>
        <w:spacing w:after="0"/>
        <w:tabs>
          <w:tab w:leader="none" w:pos="8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re-elect Paul E. Martin as a director of the Company.</w:t>
      </w:r>
    </w:p>
    <w:p>
      <w:pPr>
        <w:spacing w:after="0" w:line="105" w:lineRule="exact"/>
        <w:rPr>
          <w:rFonts w:ascii="Arial" w:cs="Arial" w:eastAsia="Arial" w:hAnsi="Arial"/>
          <w:sz w:val="19"/>
          <w:szCs w:val="19"/>
          <w:color w:val="auto"/>
        </w:rPr>
      </w:pPr>
    </w:p>
    <w:p>
      <w:pPr>
        <w:ind w:left="860" w:hanging="520"/>
        <w:spacing w:after="0"/>
        <w:tabs>
          <w:tab w:leader="none" w:pos="8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re-elect Dr. Nirav R. Shah as a director of the Company.</w:t>
      </w:r>
    </w:p>
    <w:p>
      <w:pPr>
        <w:spacing w:after="0" w:line="105" w:lineRule="exact"/>
        <w:rPr>
          <w:rFonts w:ascii="Arial" w:cs="Arial" w:eastAsia="Arial" w:hAnsi="Arial"/>
          <w:sz w:val="19"/>
          <w:szCs w:val="19"/>
          <w:color w:val="auto"/>
        </w:rPr>
      </w:pPr>
    </w:p>
    <w:p>
      <w:pPr>
        <w:ind w:left="860" w:hanging="520"/>
        <w:spacing w:after="0"/>
        <w:tabs>
          <w:tab w:leader="none" w:pos="8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re-elect Louis A. Shapiro as a director of the Company.</w:t>
      </w:r>
    </w:p>
    <w:p>
      <w:pPr>
        <w:spacing w:after="0" w:line="105" w:lineRule="exact"/>
        <w:rPr>
          <w:rFonts w:ascii="Arial" w:cs="Arial" w:eastAsia="Arial" w:hAnsi="Arial"/>
          <w:sz w:val="19"/>
          <w:szCs w:val="19"/>
          <w:color w:val="auto"/>
        </w:rPr>
      </w:pPr>
    </w:p>
    <w:p>
      <w:pPr>
        <w:ind w:left="860" w:hanging="520"/>
        <w:spacing w:after="0"/>
        <w:tabs>
          <w:tab w:leader="none" w:pos="8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re-elect Dr. Mohsen M. Sohi as a director of the Company.</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Proposal 2—Ordinary resolution regarding ratification of independent registered public accounting firm:</w:t>
      </w:r>
    </w:p>
    <w:p>
      <w:pPr>
        <w:spacing w:after="0" w:line="105" w:lineRule="exact"/>
        <w:rPr>
          <w:sz w:val="20"/>
          <w:szCs w:val="20"/>
          <w:color w:val="auto"/>
        </w:rPr>
      </w:pPr>
    </w:p>
    <w:p>
      <w:pPr>
        <w:ind w:left="860" w:right="60" w:hanging="520"/>
        <w:spacing w:after="0" w:line="262" w:lineRule="auto"/>
        <w:tabs>
          <w:tab w:leader="none" w:pos="8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To ratify the appointment of Ernst &amp; Young LLP as the Company’s independent registered public accounting firm for the year ending March 31, 2027.</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w:t>
      </w:r>
    </w:p>
    <w:p>
      <w:pPr>
        <w:sectPr>
          <w:pgSz w:w="11900" w:h="16838" w:orient="portrait"/>
          <w:cols w:equalWidth="0" w:num="1">
            <w:col w:w="10900"/>
          </w:cols>
          <w:pgMar w:left="320" w:top="469"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Proposal 3—Ordinary resolution to appoint Ernst &amp; Young Chartered Accountants as our Irish statutory auditor:</w:t>
      </w:r>
    </w:p>
    <w:p>
      <w:pPr>
        <w:spacing w:after="0" w:line="105" w:lineRule="exact"/>
        <w:rPr>
          <w:sz w:val="20"/>
          <w:szCs w:val="20"/>
          <w:color w:val="auto"/>
        </w:rPr>
      </w:pPr>
    </w:p>
    <w:p>
      <w:pPr>
        <w:ind w:left="860" w:right="120" w:hanging="520"/>
        <w:spacing w:after="0" w:line="262" w:lineRule="auto"/>
        <w:tabs>
          <w:tab w:leader="none" w:pos="8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To appoint Ernst &amp; Young Chartered Accountants as the Company’s statutory auditor under Irish law to hold office until the conclusion of the Company’s next annual general meeting.</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Proposal 4—Ordinary resolution regarding our Irish statutory auditor’s remuneration:</w:t>
      </w:r>
    </w:p>
    <w:p>
      <w:pPr>
        <w:spacing w:after="0" w:line="105" w:lineRule="exact"/>
        <w:rPr>
          <w:sz w:val="20"/>
          <w:szCs w:val="20"/>
          <w:color w:val="auto"/>
        </w:rPr>
      </w:pPr>
    </w:p>
    <w:p>
      <w:pPr>
        <w:ind w:left="860" w:right="80" w:hanging="520"/>
        <w:spacing w:after="0" w:line="262" w:lineRule="auto"/>
        <w:tabs>
          <w:tab w:leader="none" w:pos="8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To authorize the Board of Directors of the Company (the “Board”) or the Audit Committee of the Board to determine the remuneration of Ernst &amp; Young Chartered Accountants as the Company’s statutory auditor under Irish law.</w:t>
      </w:r>
    </w:p>
    <w:p>
      <w:pPr>
        <w:spacing w:after="0" w:line="145" w:lineRule="exact"/>
        <w:rPr>
          <w:sz w:val="20"/>
          <w:szCs w:val="20"/>
          <w:color w:val="auto"/>
        </w:rPr>
      </w:pPr>
    </w:p>
    <w:p>
      <w:pPr>
        <w:ind w:left="340" w:right="1240"/>
        <w:spacing w:after="0" w:line="273" w:lineRule="auto"/>
        <w:rPr>
          <w:sz w:val="20"/>
          <w:szCs w:val="20"/>
          <w:color w:val="auto"/>
        </w:rPr>
      </w:pPr>
      <w:r>
        <w:rPr>
          <w:rFonts w:ascii="Arial" w:cs="Arial" w:eastAsia="Arial" w:hAnsi="Arial"/>
          <w:sz w:val="19"/>
          <w:szCs w:val="19"/>
          <w:b w:val="1"/>
          <w:bCs w:val="1"/>
          <w:color w:val="auto"/>
        </w:rPr>
        <w:t>Proposal 5—Advisory resolution (to be proposed as an ordinary resolution) on named executive officer compensation:</w:t>
      </w:r>
    </w:p>
    <w:p>
      <w:pPr>
        <w:spacing w:after="0" w:line="34" w:lineRule="exact"/>
        <w:rPr>
          <w:sz w:val="20"/>
          <w:szCs w:val="20"/>
          <w:color w:val="auto"/>
        </w:rPr>
      </w:pPr>
    </w:p>
    <w:p>
      <w:pPr>
        <w:ind w:left="860" w:right="360" w:hanging="520"/>
        <w:spacing w:after="0" w:line="244" w:lineRule="auto"/>
        <w:tabs>
          <w:tab w:leader="none" w:pos="8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To approve, on a non-binding advisory basis, the compensation of the Company’s named executive officers as disclosed pursuant to the disclosure rules of the SEC, including the Compensation Discussion and Analysis and the tabular and narrative disclosure contained in the Company’s Proxy Statement dated June 11, 2026.</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Proposal 6—Ordinary resolution regarding the renewal of the Board’s authority to issue shares under Irish law:</w:t>
      </w:r>
    </w:p>
    <w:p>
      <w:pPr>
        <w:spacing w:after="0" w:line="105" w:lineRule="exact"/>
        <w:rPr>
          <w:sz w:val="20"/>
          <w:szCs w:val="20"/>
          <w:color w:val="auto"/>
        </w:rPr>
      </w:pPr>
    </w:p>
    <w:p>
      <w:pPr>
        <w:ind w:left="860" w:hanging="520"/>
        <w:spacing w:after="0" w:line="239" w:lineRule="auto"/>
        <w:tabs>
          <w:tab w:leader="none" w:pos="8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To approve the renewal of the Board’s authority to issue authorized but unissued shares under Irish law (i) in an amount of up to 20% of the existing issued ordinary share capital of STERIS (calculated as of June 2, 2026 (the “Record Date”)) and (ii) until the earlier of the next annual general meeting of shareholders or the expiration of 15 months from the Annual Meeting.</w:t>
      </w:r>
    </w:p>
    <w:p>
      <w:pPr>
        <w:spacing w:after="0" w:line="166" w:lineRule="exact"/>
        <w:rPr>
          <w:sz w:val="20"/>
          <w:szCs w:val="20"/>
          <w:color w:val="auto"/>
        </w:rPr>
      </w:pPr>
    </w:p>
    <w:p>
      <w:pPr>
        <w:ind w:left="340" w:right="360"/>
        <w:spacing w:after="0" w:line="273" w:lineRule="auto"/>
        <w:rPr>
          <w:sz w:val="20"/>
          <w:szCs w:val="20"/>
          <w:color w:val="auto"/>
        </w:rPr>
      </w:pPr>
      <w:r>
        <w:rPr>
          <w:rFonts w:ascii="Arial" w:cs="Arial" w:eastAsia="Arial" w:hAnsi="Arial"/>
          <w:sz w:val="19"/>
          <w:szCs w:val="19"/>
          <w:b w:val="1"/>
          <w:bCs w:val="1"/>
          <w:color w:val="auto"/>
        </w:rPr>
        <w:t>Proposal 7—Special resolution regarding the renewal of the Board’s authority to opt-out of statutory pre-emption rights under Irish law:</w:t>
      </w:r>
    </w:p>
    <w:p>
      <w:pPr>
        <w:spacing w:after="0" w:line="34" w:lineRule="exact"/>
        <w:rPr>
          <w:sz w:val="20"/>
          <w:szCs w:val="20"/>
          <w:color w:val="auto"/>
        </w:rPr>
      </w:pPr>
    </w:p>
    <w:p>
      <w:pPr>
        <w:ind w:left="860" w:right="120" w:hanging="520"/>
        <w:spacing w:after="0" w:line="235" w:lineRule="auto"/>
        <w:tabs>
          <w:tab w:leader="none" w:pos="8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To approve the renewal of the Board’s authority to opt-out of statutory pre-emption rights under Irish law regarding the issuance of shares for cash (i) in respect of up to 20% of the existing issued ordinary share capital of STERIS (calculated as of the Record Date), provided that, insofar as it relates to shares which represent greater than 10% in number of STERIS’s issued ordinary share capital (calculated as of the Record Date), such authority be used only for purposes of an acquisition or a specified capital investment, and (ii) until the earlier of the next annual general meeting of shareholders or the expiration of 15 months from the Annual Meeting.</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Proposal 8—Other business:</w:t>
      </w:r>
    </w:p>
    <w:p>
      <w:pPr>
        <w:spacing w:after="0" w:line="105" w:lineRule="exact"/>
        <w:rPr>
          <w:sz w:val="20"/>
          <w:szCs w:val="20"/>
          <w:color w:val="auto"/>
        </w:rPr>
      </w:pPr>
    </w:p>
    <w:p>
      <w:pPr>
        <w:ind w:left="860" w:hanging="520"/>
        <w:spacing w:after="0"/>
        <w:tabs>
          <w:tab w:leader="none" w:pos="8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To transact such other business as may properly come before the Annual Meeting or any adjournment thereof.</w:t>
      </w:r>
    </w:p>
    <w:p>
      <w:pPr>
        <w:spacing w:after="0" w:line="209" w:lineRule="exact"/>
        <w:rPr>
          <w:sz w:val="20"/>
          <w:szCs w:val="20"/>
          <w:color w:val="auto"/>
        </w:rPr>
      </w:pPr>
    </w:p>
    <w:p>
      <w:pPr>
        <w:ind w:left="340" w:right="680"/>
        <w:spacing w:after="0" w:line="273" w:lineRule="auto"/>
        <w:rPr>
          <w:sz w:val="20"/>
          <w:szCs w:val="20"/>
          <w:color w:val="auto"/>
        </w:rPr>
      </w:pPr>
      <w:r>
        <w:rPr>
          <w:rFonts w:ascii="Arial" w:cs="Arial" w:eastAsia="Arial" w:hAnsi="Arial"/>
          <w:sz w:val="19"/>
          <w:szCs w:val="19"/>
          <w:b w:val="1"/>
          <w:bCs w:val="1"/>
          <w:color w:val="auto"/>
        </w:rPr>
        <w:t>Proposals 3, 4, 6 and 7 are items required to be approved by shareholders under the Irish Companies Act and generally do not have an analogous requirement under United States law.</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w:t>
      </w:r>
    </w:p>
    <w:p>
      <w:pPr>
        <w:sectPr>
          <w:pgSz w:w="11900" w:h="16838" w:orient="portrait"/>
          <w:cols w:equalWidth="0" w:num="1">
            <w:col w:w="10900"/>
          </w:cols>
          <w:pgMar w:left="320" w:top="469" w:right="6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09" w:lineRule="exact"/>
        <w:rPr>
          <w:sz w:val="20"/>
          <w:szCs w:val="20"/>
          <w:color w:val="auto"/>
        </w:rPr>
      </w:pPr>
    </w:p>
    <w:p>
      <w:pPr>
        <w:ind w:left="340" w:right="140"/>
        <w:spacing w:after="0" w:line="242" w:lineRule="auto"/>
        <w:rPr>
          <w:sz w:val="20"/>
          <w:szCs w:val="20"/>
          <w:color w:val="auto"/>
        </w:rPr>
      </w:pPr>
      <w:r>
        <w:rPr>
          <w:rFonts w:ascii="Arial" w:cs="Arial" w:eastAsia="Arial" w:hAnsi="Arial"/>
          <w:sz w:val="19"/>
          <w:szCs w:val="19"/>
          <w:b w:val="1"/>
          <w:bCs w:val="1"/>
          <w:color w:val="auto"/>
        </w:rPr>
        <w:t>OUR BOARD OF DIRECTORS HAS DETERMINED THAT RESOLUTIONS FOR PROPOSALS 1 THROUGH 7 TO BE VOTED UPON AT THE MEETING ARE IN THE BEST INTERESTS OF THE COMPANY AND ITS SHAREHOLDERS AS A WHOLE. OUR BOARD OF DIRECTORS UNANIMOUSLY RECOMMENDS THAT YOU VOTE “FOR” FOR ALL RESOLUTIONS FOR PROPOSALS 1 THROUGH 7.</w:t>
      </w:r>
    </w:p>
    <w:p>
      <w:pPr>
        <w:spacing w:after="0" w:line="155" w:lineRule="exact"/>
        <w:rPr>
          <w:sz w:val="20"/>
          <w:szCs w:val="20"/>
          <w:color w:val="auto"/>
        </w:rPr>
      </w:pPr>
    </w:p>
    <w:p>
      <w:pPr>
        <w:ind w:left="340"/>
        <w:spacing w:after="0" w:line="262" w:lineRule="auto"/>
        <w:rPr>
          <w:sz w:val="20"/>
          <w:szCs w:val="20"/>
          <w:color w:val="auto"/>
        </w:rPr>
      </w:pPr>
      <w:r>
        <w:rPr>
          <w:rFonts w:ascii="Arial" w:cs="Arial" w:eastAsia="Arial" w:hAnsi="Arial"/>
          <w:sz w:val="19"/>
          <w:szCs w:val="19"/>
          <w:color w:val="auto"/>
        </w:rPr>
        <w:t>In accordance with our articles of association (the “Articles”), all resolutions will be taken on a poll. Voting on a poll means that each share represented in person or by proxy will be counted in the vote.</w:t>
      </w:r>
    </w:p>
    <w:p>
      <w:pPr>
        <w:spacing w:after="0" w:line="145" w:lineRule="exact"/>
        <w:rPr>
          <w:sz w:val="20"/>
          <w:szCs w:val="20"/>
          <w:color w:val="auto"/>
        </w:rPr>
      </w:pPr>
    </w:p>
    <w:p>
      <w:pPr>
        <w:ind w:left="340"/>
        <w:spacing w:after="0" w:line="230" w:lineRule="auto"/>
        <w:rPr>
          <w:sz w:val="20"/>
          <w:szCs w:val="20"/>
          <w:color w:val="auto"/>
        </w:rPr>
      </w:pPr>
      <w:r>
        <w:rPr>
          <w:rFonts w:ascii="Arial" w:cs="Arial" w:eastAsia="Arial" w:hAnsi="Arial"/>
          <w:sz w:val="19"/>
          <w:szCs w:val="19"/>
          <w:color w:val="auto"/>
        </w:rPr>
        <w:t>Proposals 1, 2, 3, 4, 5 and 6 will be proposed as ordinary resolutions under Irish law. In each case, provided that a quorum is present, the relevant resolution must be passed by a simple majority of the votes cast for or against such resolution, whether in person or by proxy, in order to be approved. Proposal 7 will be proposed as a special resolution under Irish law. Provided that a quorum is present, Proposal 7 must be passed by 75% of the votes cast for or against such resolution, whether in person or by proxy, in order to be approved. Abstentions and broker non-votes will not affect the voting results for a resolution. In the case of joint holders, the vote of the senior holder who tenders a vote shall be accepted to the exclusion of the votes of the other joint holders (with seniority being determined by the order that the names of the joint holders appear in the Company’s share register). Explanatory notes regarding each of the proposals (and related resolutions) are set out in the relevant sections of the accompanying Proxy Statement relating to such proposals. Only shareholders of record of ordinary shares, par value $0.001 per share, of the Company (“Ordinary Shares”) at the close of business in New York on June 2, 2026 are entitled to notice of, and to attend, speak, ask questions and vote at the Annual Meeting and any adjournment thereof. In accordance with the provisions of the Irish Companies Act and in accordance with our Articles, a shareholder of record is entitled to appoint another person as his or her proxy (or, in the case of a corporation which is a shareholder of record, a corporate representative) to exercise all or any of their rights to attend and to speak and vote at the Annual Meeting. A shareholder of record may appoint more than one proxy in relation to the Annual Meeting (provided that each proxy is appointed to exercise the rights attached to a different share or shares). A proxy need not be a shareholder of record. When you vote by telephone, through the Internet, or by returning a completed proxy card, this proxy will be given to certain Directors and executive officers of the Company.</w:t>
      </w:r>
    </w:p>
    <w:p>
      <w:pPr>
        <w:spacing w:after="0" w:line="168" w:lineRule="exact"/>
        <w:rPr>
          <w:sz w:val="20"/>
          <w:szCs w:val="20"/>
          <w:color w:val="auto"/>
        </w:rPr>
      </w:pPr>
    </w:p>
    <w:p>
      <w:pPr>
        <w:ind w:left="340" w:right="100"/>
        <w:spacing w:after="0" w:line="234" w:lineRule="auto"/>
        <w:rPr>
          <w:sz w:val="20"/>
          <w:szCs w:val="20"/>
          <w:color w:val="auto"/>
        </w:rPr>
      </w:pPr>
      <w:r>
        <w:rPr>
          <w:rFonts w:ascii="Arial" w:cs="Arial" w:eastAsia="Arial" w:hAnsi="Arial"/>
          <w:sz w:val="19"/>
          <w:szCs w:val="19"/>
          <w:color w:val="auto"/>
        </w:rPr>
        <w:t>Pursuant to the rules of the SEC, we provide access to our proxy materials through the Internet. As a result, prior to June 21, 2026, a Notice of Internet Availability of Proxy Materials will be mailed to certain shareholders as of the close of business on the Record Date. Shareholders will be able to access the proxy materials on a website referred to and at the URL address included in the Notice of Internet Availability of Proxy Materials and in the Proxy Statement. These proxy materials will be available free of charge. In addition, we will also mail paper copies of the proxy materials to those shareholders as of the close of business on the Record Date who have not consented to alternative delivery under Irish law or who have previously requested paper copies of the proxy materials.</w:t>
      </w:r>
    </w:p>
    <w:p>
      <w:pPr>
        <w:spacing w:after="0" w:line="166" w:lineRule="exact"/>
        <w:rPr>
          <w:sz w:val="20"/>
          <w:szCs w:val="20"/>
          <w:color w:val="auto"/>
        </w:rPr>
      </w:pPr>
    </w:p>
    <w:p>
      <w:pPr>
        <w:ind w:left="340" w:right="100"/>
        <w:spacing w:after="0" w:line="250" w:lineRule="auto"/>
        <w:rPr>
          <w:sz w:val="20"/>
          <w:szCs w:val="20"/>
          <w:color w:val="auto"/>
        </w:rPr>
      </w:pPr>
      <w:r>
        <w:rPr>
          <w:rFonts w:ascii="Arial" w:cs="Arial" w:eastAsia="Arial" w:hAnsi="Arial"/>
          <w:sz w:val="19"/>
          <w:szCs w:val="19"/>
          <w:b w:val="1"/>
          <w:bCs w:val="1"/>
          <w:color w:val="auto"/>
        </w:rPr>
        <w:t>Please note that if you are a shareholder of record voting by proxy, your vote may not be counted unless it is received no later than 4:59 a.m. Irish Standard Time on Thursday, July 30, 2026 (11:59 p.m. Eastern Daylight Time on Wednesday, July 29, 2026).</w:t>
      </w:r>
    </w:p>
    <w:p>
      <w:pPr>
        <w:spacing w:after="0" w:line="146" w:lineRule="exact"/>
        <w:rPr>
          <w:sz w:val="20"/>
          <w:szCs w:val="20"/>
          <w:color w:val="auto"/>
        </w:rPr>
      </w:pPr>
    </w:p>
    <w:p>
      <w:pPr>
        <w:ind w:left="340" w:right="40"/>
        <w:spacing w:after="0" w:line="239" w:lineRule="auto"/>
        <w:rPr>
          <w:sz w:val="20"/>
          <w:szCs w:val="20"/>
          <w:color w:val="auto"/>
        </w:rPr>
      </w:pPr>
      <w:r>
        <w:rPr>
          <w:rFonts w:ascii="Arial" w:cs="Arial" w:eastAsia="Arial" w:hAnsi="Arial"/>
          <w:sz w:val="19"/>
          <w:szCs w:val="19"/>
          <w:color w:val="auto"/>
        </w:rPr>
        <w:t>The results of the polls taken on the resolutions at the Annual Meeting and any other information required by the Irish Companies Act will be made available on the Company’s website as soon as reasonably practicable following the Annual Meeting and for a period of two years thereafter and filed with the SEC on a Form 8-K within four business days of the Annual Meeting.</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w:t>
      </w:r>
    </w:p>
    <w:p>
      <w:pPr>
        <w:sectPr>
          <w:pgSz w:w="11900" w:h="16838" w:orient="portrait"/>
          <w:cols w:equalWidth="0" w:num="1">
            <w:col w:w="10900"/>
          </w:cols>
          <w:pgMar w:left="320" w:top="469"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line="239" w:lineRule="auto"/>
        <w:rPr>
          <w:sz w:val="20"/>
          <w:szCs w:val="20"/>
          <w:color w:val="auto"/>
        </w:rPr>
      </w:pPr>
      <w:r>
        <w:rPr>
          <w:rFonts w:ascii="Arial" w:cs="Arial" w:eastAsia="Arial" w:hAnsi="Arial"/>
          <w:sz w:val="19"/>
          <w:szCs w:val="19"/>
          <w:color w:val="auto"/>
        </w:rPr>
        <w:t>During the Annual Meeting, management will present, for consideration at the meeting, the Company’s statutory financial statements under Irish law for the fiscal year ended March 31, 2026 (and the report of the directors and the Irish statutory auditor thereon) together with a review of the Company’s affairs. There also will be an opportunity for questions and answers immediately following the formal portion of the Annual Meeting.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55880</wp:posOffset>
            </wp:positionV>
            <wp:extent cx="1710690" cy="616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0690" cy="61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J. Adam Zangerle</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Company Secretary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Company’s registered office is at 70 Sir John Rogerson’s Quay, Dublin 2, D02 R296, Ireland.</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June 11, 2026</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w:t>
      </w:r>
    </w:p>
    <w:p>
      <w:pPr>
        <w:sectPr>
          <w:pgSz w:w="11900" w:h="16838" w:orient="portrait"/>
          <w:cols w:equalWidth="0" w:num="1">
            <w:col w:w="10780"/>
          </w:cols>
          <w:pgMar w:left="320" w:top="469" w:right="7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09" w:lineRule="exact"/>
        <w:rPr>
          <w:sz w:val="20"/>
          <w:szCs w:val="20"/>
          <w:color w:val="auto"/>
        </w:rPr>
      </w:pPr>
    </w:p>
    <w:p>
      <w:pPr>
        <w:ind w:left="340" w:right="60"/>
        <w:spacing w:after="0" w:line="235" w:lineRule="auto"/>
        <w:rPr>
          <w:sz w:val="20"/>
          <w:szCs w:val="20"/>
          <w:color w:val="auto"/>
        </w:rPr>
      </w:pPr>
      <w:r>
        <w:rPr>
          <w:rFonts w:ascii="Arial" w:cs="Arial" w:eastAsia="Arial" w:hAnsi="Arial"/>
          <w:sz w:val="19"/>
          <w:szCs w:val="19"/>
          <w:b w:val="1"/>
          <w:bCs w:val="1"/>
          <w:color w:val="auto"/>
        </w:rPr>
        <w:t xml:space="preserve">Important Notice Regarding the Availability of Proxy Materials for the Annual Meeting to be held on July 31, 2026. Our Proxy Statement for the Annual Meeting (which includes the notice of the Annual Meeting), the Annual Report to Shareholders (including the Company’s Annual Report on Form 10-K) for the fiscal year ended March 31, 2026 and the Company’s Directors’ Report and Consolidated Financial Statements under Irish law for the fiscal year ended March 31, 2026 (the “Irish Statutory Accounts”) are available at </w:t>
      </w:r>
      <w:r>
        <w:rPr>
          <w:rFonts w:ascii="Arial" w:cs="Arial" w:eastAsia="Arial" w:hAnsi="Arial"/>
          <w:sz w:val="19"/>
          <w:szCs w:val="19"/>
          <w:b w:val="1"/>
          <w:bCs w:val="1"/>
          <w:u w:val="single" w:color="auto"/>
          <w:color w:val="auto"/>
        </w:rPr>
        <w:t>www.proxyvote.com</w:t>
      </w:r>
      <w:r>
        <w:rPr>
          <w:rFonts w:ascii="Arial" w:cs="Arial" w:eastAsia="Arial" w:hAnsi="Arial"/>
          <w:sz w:val="19"/>
          <w:szCs w:val="19"/>
          <w:b w:val="1"/>
          <w:bCs w:val="1"/>
          <w:color w:val="auto"/>
        </w:rPr>
        <w:t xml:space="preserve"> if you are a shareholder of record and are collectively referred to as the “Proxy Materials.” You can also view these materials in the “Online IR Kit” in the “Shareholder Resources” section of </w:t>
      </w:r>
      <w:r>
        <w:rPr>
          <w:rFonts w:ascii="Arial" w:cs="Arial" w:eastAsia="Arial" w:hAnsi="Arial"/>
          <w:sz w:val="19"/>
          <w:szCs w:val="19"/>
          <w:b w:val="1"/>
          <w:bCs w:val="1"/>
          <w:u w:val="single" w:color="auto"/>
          <w:color w:val="auto"/>
        </w:rPr>
        <w:t>steris-ir.com</w:t>
      </w:r>
      <w:r>
        <w:rPr>
          <w:rFonts w:ascii="Arial" w:cs="Arial" w:eastAsia="Arial" w:hAnsi="Arial"/>
          <w:sz w:val="19"/>
          <w:szCs w:val="19"/>
          <w:b w:val="1"/>
          <w:bCs w:val="1"/>
          <w:color w:val="auto"/>
        </w:rPr>
        <w:t>.</w:t>
      </w:r>
    </w:p>
    <w:p>
      <w:pPr>
        <w:spacing w:after="0" w:line="160" w:lineRule="exact"/>
        <w:rPr>
          <w:sz w:val="20"/>
          <w:szCs w:val="20"/>
          <w:color w:val="auto"/>
        </w:rPr>
      </w:pPr>
    </w:p>
    <w:p>
      <w:pPr>
        <w:ind w:left="340" w:right="40"/>
        <w:spacing w:after="0" w:line="242" w:lineRule="auto"/>
        <w:rPr>
          <w:sz w:val="20"/>
          <w:szCs w:val="20"/>
          <w:color w:val="auto"/>
        </w:rPr>
      </w:pPr>
      <w:r>
        <w:rPr>
          <w:rFonts w:ascii="Arial" w:cs="Arial" w:eastAsia="Arial" w:hAnsi="Arial"/>
          <w:sz w:val="19"/>
          <w:szCs w:val="19"/>
          <w:b w:val="1"/>
          <w:bCs w:val="1"/>
          <w:color w:val="auto"/>
        </w:rPr>
        <w:t>Your vote is important. Whether or not you plan to attend the Annual Meeting, we encourage you to vote as promptly as possible by telephone, through the Internet, or by requesting a paper proxy card to complete, sign and return by mail. Details of the deadlines for when your vote(s) must be submitted are described subsequently. If you attend the Annual Meeting in person, you may revoke your proxy and vote your shares in person.</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w:t>
      </w:r>
    </w:p>
    <w:p>
      <w:pPr>
        <w:sectPr>
          <w:pgSz w:w="11900" w:h="16838" w:orient="portrait"/>
          <w:cols w:equalWidth="0" w:num="1">
            <w:col w:w="10900"/>
          </w:cols>
          <w:pgMar w:left="320" w:top="469"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ectPr>
          <w:pgSz w:w="11900" w:h="16838" w:orient="portrait"/>
          <w:cols w:equalWidth="0" w:num="1">
            <w:col w:w="10900"/>
          </w:cols>
          <w:pgMar w:left="320" w:top="469" w:right="679" w:bottom="1440" w:gutter="0" w:footer="0" w:header="0"/>
        </w:sectPr>
      </w:pPr>
    </w:p>
    <w:p>
      <w:pPr>
        <w:spacing w:after="0" w:line="302" w:lineRule="exact"/>
        <w:rPr>
          <w:sz w:val="20"/>
          <w:szCs w:val="20"/>
          <w:color w:val="auto"/>
        </w:rPr>
      </w:pPr>
    </w:p>
    <w:p>
      <w:pPr>
        <w:ind w:left="340"/>
        <w:spacing w:after="0"/>
        <w:rPr>
          <w:sz w:val="20"/>
          <w:szCs w:val="20"/>
          <w:color w:val="auto"/>
        </w:rPr>
      </w:pPr>
      <w:r>
        <w:rPr>
          <w:rFonts w:ascii="Arial" w:cs="Arial" w:eastAsia="Arial" w:hAnsi="Arial"/>
          <w:sz w:val="31"/>
          <w:szCs w:val="31"/>
          <w:b w:val="1"/>
          <w:bCs w:val="1"/>
          <w:color w:val="auto"/>
        </w:rPr>
        <w:t>STERIS plc</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70 Sir John Rogerson’s Quay</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Dublin 2, D02 R296, Ireland</w:t>
      </w:r>
    </w:p>
    <w:p>
      <w:pPr>
        <w:spacing w:after="0"/>
        <w:rPr>
          <w:sz w:val="20"/>
          <w:szCs w:val="20"/>
          <w:color w:val="auto"/>
        </w:rPr>
      </w:pPr>
      <w:r>
        <w:rPr>
          <w:rFonts w:ascii="Arial" w:cs="Arial" w:eastAsia="Arial" w:hAnsi="Arial"/>
          <w:sz w:val="21"/>
          <w:szCs w:val="21"/>
          <w:color w:val="auto"/>
        </w:rPr>
        <w:t>www.steris.com</w:t>
      </w:r>
    </w:p>
    <w:p>
      <w:pPr>
        <w:spacing w:after="0" w:line="200" w:lineRule="exact"/>
        <w:rPr>
          <w:sz w:val="20"/>
          <w:szCs w:val="20"/>
          <w:color w:val="auto"/>
        </w:rPr>
      </w:pPr>
    </w:p>
    <w:p>
      <w:pPr>
        <w:sectPr>
          <w:pgSz w:w="11900" w:h="16838" w:orient="portrait"/>
          <w:cols w:equalWidth="0" w:num="2">
            <w:col w:w="5220" w:space="720"/>
            <w:col w:w="4960"/>
          </w:cols>
          <w:pgMar w:left="320" w:top="469" w:right="679" w:bottom="1440" w:gutter="0" w:footer="0" w:header="0"/>
          <w:type w:val="continuous"/>
        </w:sect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Annual General Meeting of Shareholders of the Company</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July 31, 2026—9:00 a.m. Irish Standard Time (4:00 a.m. Eastern Daylight Time)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PROXY STATEMENT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31"/>
          <w:szCs w:val="31"/>
          <w:b w:val="1"/>
          <w:bCs w:val="1"/>
          <w:color w:val="auto"/>
        </w:rPr>
        <w:t>TABLE OF CONTENTS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4060" w:type="dxa"/>
            <w:vAlign w:val="bottom"/>
            <w:gridSpan w:val="9"/>
          </w:tcPr>
          <w:p>
            <w:pPr>
              <w:spacing w:after="0"/>
              <w:rPr>
                <w:sz w:val="20"/>
                <w:szCs w:val="20"/>
                <w:color w:val="auto"/>
              </w:rPr>
            </w:pPr>
            <w:r>
              <w:rPr>
                <w:rFonts w:ascii="Arial" w:cs="Arial" w:eastAsia="Arial" w:hAnsi="Arial"/>
                <w:sz w:val="16"/>
                <w:szCs w:val="16"/>
                <w:b w:val="1"/>
                <w:bCs w:val="1"/>
                <w:color w:val="0000EE"/>
              </w:rPr>
              <w:t>PROXY SUMMARY</w:t>
            </w:r>
          </w:p>
        </w:tc>
        <w:tc>
          <w:tcPr>
            <w:tcW w:w="650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20"/>
        </w:trPr>
        <w:tc>
          <w:tcPr>
            <w:tcW w:w="140" w:type="dxa"/>
            <w:vAlign w:val="bottom"/>
            <w:tcBorders>
              <w:top w:val="single" w:sz="8" w:color="0000EE"/>
              <w:bottom w:val="single" w:sz="8" w:color="auto"/>
            </w:tcBorders>
          </w:tcPr>
          <w:p>
            <w:pPr>
              <w:spacing w:after="0" w:line="20" w:lineRule="exact"/>
              <w:rPr>
                <w:sz w:val="1"/>
                <w:szCs w:val="1"/>
                <w:color w:val="auto"/>
              </w:rPr>
            </w:pPr>
          </w:p>
        </w:tc>
        <w:tc>
          <w:tcPr>
            <w:tcW w:w="12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r>
      <w:tr>
        <w:trPr>
          <w:trHeight w:val="134"/>
        </w:trPr>
        <w:tc>
          <w:tcPr>
            <w:tcW w:w="140" w:type="dxa"/>
            <w:vAlign w:val="bottom"/>
          </w:tcPr>
          <w:p>
            <w:pPr>
              <w:spacing w:after="0"/>
              <w:rPr>
                <w:sz w:val="11"/>
                <w:szCs w:val="11"/>
                <w:color w:val="auto"/>
              </w:rPr>
            </w:pPr>
          </w:p>
        </w:tc>
        <w:tc>
          <w:tcPr>
            <w:tcW w:w="3920" w:type="dxa"/>
            <w:vAlign w:val="bottom"/>
            <w:gridSpan w:val="8"/>
          </w:tcPr>
          <w:p>
            <w:pPr>
              <w:spacing w:after="0" w:line="134" w:lineRule="exact"/>
              <w:rPr>
                <w:sz w:val="20"/>
                <w:szCs w:val="20"/>
                <w:color w:val="auto"/>
              </w:rPr>
            </w:pPr>
            <w:r>
              <w:rPr>
                <w:rFonts w:ascii="Arial" w:cs="Arial" w:eastAsia="Arial" w:hAnsi="Arial"/>
                <w:sz w:val="15"/>
                <w:szCs w:val="15"/>
                <w:color w:val="0000EE"/>
              </w:rPr>
              <w:t>General Information</w:t>
            </w:r>
          </w:p>
        </w:tc>
        <w:tc>
          <w:tcPr>
            <w:tcW w:w="6500" w:type="dxa"/>
            <w:vAlign w:val="bottom"/>
          </w:tcPr>
          <w:p>
            <w:pPr>
              <w:jc w:val="right"/>
              <w:spacing w:after="0" w:line="134" w:lineRule="exact"/>
              <w:rPr>
                <w:sz w:val="20"/>
                <w:szCs w:val="20"/>
                <w:color w:val="auto"/>
              </w:rPr>
            </w:pPr>
            <w:r>
              <w:rPr>
                <w:rFonts w:ascii="Arial" w:cs="Arial" w:eastAsia="Arial" w:hAnsi="Arial"/>
                <w:sz w:val="15"/>
                <w:szCs w:val="15"/>
                <w:color w:val="auto"/>
              </w:rPr>
              <w:t>1</w:t>
            </w: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161"/>
        </w:trPr>
        <w:tc>
          <w:tcPr>
            <w:tcW w:w="140" w:type="dxa"/>
            <w:vAlign w:val="bottom"/>
          </w:tcPr>
          <w:p>
            <w:pPr>
              <w:spacing w:after="0"/>
              <w:rPr>
                <w:sz w:val="14"/>
                <w:szCs w:val="14"/>
                <w:color w:val="auto"/>
              </w:rPr>
            </w:pPr>
          </w:p>
        </w:tc>
        <w:tc>
          <w:tcPr>
            <w:tcW w:w="3920" w:type="dxa"/>
            <w:vAlign w:val="bottom"/>
            <w:gridSpan w:val="8"/>
          </w:tcPr>
          <w:p>
            <w:pPr>
              <w:spacing w:after="0" w:line="161" w:lineRule="exact"/>
              <w:rPr>
                <w:sz w:val="20"/>
                <w:szCs w:val="20"/>
                <w:color w:val="auto"/>
              </w:rPr>
            </w:pPr>
            <w:r>
              <w:rPr>
                <w:rFonts w:ascii="Arial" w:cs="Arial" w:eastAsia="Arial" w:hAnsi="Arial"/>
                <w:sz w:val="15"/>
                <w:szCs w:val="15"/>
                <w:color w:val="0000EE"/>
              </w:rPr>
              <w:t>Financial and Operating Highlights</w:t>
            </w:r>
          </w:p>
        </w:tc>
        <w:tc>
          <w:tcPr>
            <w:tcW w:w="6500" w:type="dxa"/>
            <w:vAlign w:val="bottom"/>
          </w:tcPr>
          <w:p>
            <w:pPr>
              <w:jc w:val="right"/>
              <w:spacing w:after="0" w:line="161" w:lineRule="exact"/>
              <w:rPr>
                <w:sz w:val="20"/>
                <w:szCs w:val="20"/>
                <w:color w:val="auto"/>
              </w:rPr>
            </w:pPr>
            <w:r>
              <w:rPr>
                <w:rFonts w:ascii="Arial" w:cs="Arial" w:eastAsia="Arial" w:hAnsi="Arial"/>
                <w:sz w:val="15"/>
                <w:szCs w:val="15"/>
                <w:color w:val="auto"/>
              </w:rPr>
              <w:t>2</w:t>
            </w:r>
          </w:p>
        </w:tc>
      </w:tr>
      <w:tr>
        <w:trPr>
          <w:trHeight w:val="161"/>
        </w:trPr>
        <w:tc>
          <w:tcPr>
            <w:tcW w:w="140" w:type="dxa"/>
            <w:vAlign w:val="bottom"/>
          </w:tcPr>
          <w:p>
            <w:pPr>
              <w:spacing w:after="0"/>
              <w:rPr>
                <w:sz w:val="14"/>
                <w:szCs w:val="14"/>
                <w:color w:val="auto"/>
              </w:rPr>
            </w:pPr>
          </w:p>
        </w:tc>
        <w:tc>
          <w:tcPr>
            <w:tcW w:w="1840" w:type="dxa"/>
            <w:vAlign w:val="bottom"/>
            <w:tcBorders>
              <w:top w:val="single" w:sz="8" w:color="0000EE"/>
              <w:bottom w:val="single" w:sz="8" w:color="0000EE"/>
            </w:tcBorders>
            <w:gridSpan w:val="4"/>
          </w:tcPr>
          <w:p>
            <w:pPr>
              <w:spacing w:after="0" w:line="161" w:lineRule="exact"/>
              <w:rPr>
                <w:sz w:val="20"/>
                <w:szCs w:val="20"/>
                <w:color w:val="auto"/>
              </w:rPr>
            </w:pPr>
            <w:r>
              <w:rPr>
                <w:rFonts w:ascii="Arial" w:cs="Arial" w:eastAsia="Arial" w:hAnsi="Arial"/>
                <w:sz w:val="15"/>
                <w:szCs w:val="15"/>
                <w:color w:val="0000EE"/>
                <w:w w:val="97"/>
              </w:rPr>
              <w:t>Director Nominee Highlights</w:t>
            </w:r>
          </w:p>
        </w:tc>
        <w:tc>
          <w:tcPr>
            <w:tcW w:w="400" w:type="dxa"/>
            <w:vAlign w:val="bottom"/>
            <w:tcBorders>
              <w:top w:val="single" w:sz="8" w:color="0000EE"/>
            </w:tcBorders>
            <w:gridSpan w:val="2"/>
          </w:tcPr>
          <w:p>
            <w:pPr>
              <w:spacing w:after="0"/>
              <w:rPr>
                <w:sz w:val="14"/>
                <w:szCs w:val="14"/>
                <w:color w:val="auto"/>
              </w:rPr>
            </w:pPr>
          </w:p>
        </w:tc>
        <w:tc>
          <w:tcPr>
            <w:tcW w:w="1680" w:type="dxa"/>
            <w:vAlign w:val="bottom"/>
            <w:gridSpan w:val="2"/>
          </w:tcPr>
          <w:p>
            <w:pPr>
              <w:spacing w:after="0"/>
              <w:rPr>
                <w:sz w:val="14"/>
                <w:szCs w:val="14"/>
                <w:color w:val="auto"/>
              </w:rPr>
            </w:pPr>
          </w:p>
        </w:tc>
        <w:tc>
          <w:tcPr>
            <w:tcW w:w="6500" w:type="dxa"/>
            <w:vAlign w:val="bottom"/>
          </w:tcPr>
          <w:p>
            <w:pPr>
              <w:jc w:val="right"/>
              <w:spacing w:after="0" w:line="161" w:lineRule="exact"/>
              <w:rPr>
                <w:sz w:val="20"/>
                <w:szCs w:val="20"/>
                <w:color w:val="auto"/>
              </w:rPr>
            </w:pPr>
            <w:r>
              <w:rPr>
                <w:rFonts w:ascii="Arial" w:cs="Arial" w:eastAsia="Arial" w:hAnsi="Arial"/>
                <w:sz w:val="15"/>
                <w:szCs w:val="15"/>
                <w:color w:val="auto"/>
              </w:rPr>
              <w:t>3</w:t>
            </w:r>
          </w:p>
        </w:tc>
      </w:tr>
      <w:tr>
        <w:trPr>
          <w:trHeight w:val="161"/>
        </w:trPr>
        <w:tc>
          <w:tcPr>
            <w:tcW w:w="140" w:type="dxa"/>
            <w:vAlign w:val="bottom"/>
          </w:tcPr>
          <w:p>
            <w:pPr>
              <w:spacing w:after="0"/>
              <w:rPr>
                <w:sz w:val="14"/>
                <w:szCs w:val="14"/>
                <w:color w:val="auto"/>
              </w:rPr>
            </w:pPr>
          </w:p>
        </w:tc>
        <w:tc>
          <w:tcPr>
            <w:tcW w:w="1980" w:type="dxa"/>
            <w:vAlign w:val="bottom"/>
            <w:tcBorders>
              <w:bottom w:val="single" w:sz="8" w:color="0000EE"/>
            </w:tcBorders>
            <w:gridSpan w:val="5"/>
          </w:tcPr>
          <w:p>
            <w:pPr>
              <w:spacing w:after="0" w:line="161" w:lineRule="exact"/>
              <w:rPr>
                <w:sz w:val="20"/>
                <w:szCs w:val="20"/>
                <w:color w:val="auto"/>
              </w:rPr>
            </w:pPr>
            <w:r>
              <w:rPr>
                <w:rFonts w:ascii="Arial" w:cs="Arial" w:eastAsia="Arial" w:hAnsi="Arial"/>
                <w:sz w:val="15"/>
                <w:szCs w:val="15"/>
                <w:color w:val="0000EE"/>
                <w:w w:val="97"/>
              </w:rPr>
              <w:t>Director Nominee Skills Matrix</w:t>
            </w:r>
          </w:p>
        </w:tc>
        <w:tc>
          <w:tcPr>
            <w:tcW w:w="1940" w:type="dxa"/>
            <w:vAlign w:val="bottom"/>
            <w:gridSpan w:val="3"/>
          </w:tcPr>
          <w:p>
            <w:pPr>
              <w:spacing w:after="0"/>
              <w:rPr>
                <w:sz w:val="14"/>
                <w:szCs w:val="14"/>
                <w:color w:val="auto"/>
              </w:rPr>
            </w:pPr>
          </w:p>
        </w:tc>
        <w:tc>
          <w:tcPr>
            <w:tcW w:w="6500" w:type="dxa"/>
            <w:vAlign w:val="bottom"/>
          </w:tcPr>
          <w:p>
            <w:pPr>
              <w:jc w:val="right"/>
              <w:spacing w:after="0" w:line="161" w:lineRule="exact"/>
              <w:rPr>
                <w:sz w:val="20"/>
                <w:szCs w:val="20"/>
                <w:color w:val="auto"/>
              </w:rPr>
            </w:pPr>
            <w:r>
              <w:rPr>
                <w:rFonts w:ascii="Arial" w:cs="Arial" w:eastAsia="Arial" w:hAnsi="Arial"/>
                <w:sz w:val="15"/>
                <w:szCs w:val="15"/>
                <w:color w:val="auto"/>
              </w:rPr>
              <w:t>5</w:t>
            </w:r>
          </w:p>
        </w:tc>
      </w:tr>
      <w:tr>
        <w:trPr>
          <w:trHeight w:val="161"/>
        </w:trPr>
        <w:tc>
          <w:tcPr>
            <w:tcW w:w="140" w:type="dxa"/>
            <w:vAlign w:val="bottom"/>
          </w:tcPr>
          <w:p>
            <w:pPr>
              <w:spacing w:after="0"/>
              <w:rPr>
                <w:sz w:val="14"/>
                <w:szCs w:val="14"/>
                <w:color w:val="auto"/>
              </w:rPr>
            </w:pPr>
          </w:p>
        </w:tc>
        <w:tc>
          <w:tcPr>
            <w:tcW w:w="1500" w:type="dxa"/>
            <w:vAlign w:val="bottom"/>
            <w:tcBorders>
              <w:bottom w:val="single" w:sz="8" w:color="0000EE"/>
            </w:tcBorders>
            <w:gridSpan w:val="3"/>
          </w:tcPr>
          <w:p>
            <w:pPr>
              <w:spacing w:after="0" w:line="161" w:lineRule="exact"/>
              <w:rPr>
                <w:sz w:val="20"/>
                <w:szCs w:val="20"/>
                <w:color w:val="auto"/>
              </w:rPr>
            </w:pPr>
            <w:r>
              <w:rPr>
                <w:rFonts w:ascii="Arial" w:cs="Arial" w:eastAsia="Arial" w:hAnsi="Arial"/>
                <w:sz w:val="15"/>
                <w:szCs w:val="15"/>
                <w:color w:val="0000EE"/>
                <w:w w:val="97"/>
              </w:rPr>
              <w:t>Governance Highlights</w:t>
            </w:r>
          </w:p>
        </w:tc>
        <w:tc>
          <w:tcPr>
            <w:tcW w:w="2420" w:type="dxa"/>
            <w:vAlign w:val="bottom"/>
            <w:gridSpan w:val="5"/>
          </w:tcPr>
          <w:p>
            <w:pPr>
              <w:spacing w:after="0"/>
              <w:rPr>
                <w:sz w:val="14"/>
                <w:szCs w:val="14"/>
                <w:color w:val="auto"/>
              </w:rPr>
            </w:pPr>
          </w:p>
        </w:tc>
        <w:tc>
          <w:tcPr>
            <w:tcW w:w="6500" w:type="dxa"/>
            <w:vAlign w:val="bottom"/>
          </w:tcPr>
          <w:p>
            <w:pPr>
              <w:jc w:val="right"/>
              <w:spacing w:after="0" w:line="161" w:lineRule="exact"/>
              <w:rPr>
                <w:sz w:val="20"/>
                <w:szCs w:val="20"/>
                <w:color w:val="auto"/>
              </w:rPr>
            </w:pPr>
            <w:r>
              <w:rPr>
                <w:rFonts w:ascii="Arial" w:cs="Arial" w:eastAsia="Arial" w:hAnsi="Arial"/>
                <w:sz w:val="15"/>
                <w:szCs w:val="15"/>
                <w:color w:val="auto"/>
              </w:rPr>
              <w:t>6</w:t>
            </w:r>
          </w:p>
        </w:tc>
      </w:tr>
      <w:tr>
        <w:trPr>
          <w:trHeight w:val="161"/>
        </w:trPr>
        <w:tc>
          <w:tcPr>
            <w:tcW w:w="140" w:type="dxa"/>
            <w:vAlign w:val="bottom"/>
          </w:tcPr>
          <w:p>
            <w:pPr>
              <w:spacing w:after="0"/>
              <w:rPr>
                <w:sz w:val="14"/>
                <w:szCs w:val="14"/>
                <w:color w:val="auto"/>
              </w:rPr>
            </w:pPr>
          </w:p>
        </w:tc>
        <w:tc>
          <w:tcPr>
            <w:tcW w:w="3920" w:type="dxa"/>
            <w:vAlign w:val="bottom"/>
            <w:gridSpan w:val="8"/>
          </w:tcPr>
          <w:p>
            <w:pPr>
              <w:spacing w:after="0" w:line="161" w:lineRule="exact"/>
              <w:rPr>
                <w:sz w:val="20"/>
                <w:szCs w:val="20"/>
                <w:color w:val="auto"/>
              </w:rPr>
            </w:pPr>
            <w:r>
              <w:rPr>
                <w:rFonts w:ascii="Arial" w:cs="Arial" w:eastAsia="Arial" w:hAnsi="Arial"/>
                <w:sz w:val="15"/>
                <w:szCs w:val="15"/>
                <w:color w:val="0000EE"/>
              </w:rPr>
              <w:t>Chief Executive Officer Compensation Highlights</w:t>
            </w:r>
          </w:p>
        </w:tc>
        <w:tc>
          <w:tcPr>
            <w:tcW w:w="6500" w:type="dxa"/>
            <w:vAlign w:val="bottom"/>
          </w:tcPr>
          <w:p>
            <w:pPr>
              <w:jc w:val="right"/>
              <w:spacing w:after="0" w:line="161" w:lineRule="exact"/>
              <w:rPr>
                <w:sz w:val="20"/>
                <w:szCs w:val="20"/>
                <w:color w:val="auto"/>
              </w:rPr>
            </w:pPr>
            <w:r>
              <w:rPr>
                <w:rFonts w:ascii="Arial" w:cs="Arial" w:eastAsia="Arial" w:hAnsi="Arial"/>
                <w:sz w:val="15"/>
                <w:szCs w:val="15"/>
                <w:color w:val="auto"/>
              </w:rPr>
              <w:t>6</w:t>
            </w:r>
          </w:p>
        </w:tc>
      </w:tr>
      <w:tr>
        <w:trPr>
          <w:trHeight w:val="20"/>
        </w:trPr>
        <w:tc>
          <w:tcPr>
            <w:tcW w:w="140" w:type="dxa"/>
            <w:vAlign w:val="bottom"/>
          </w:tcPr>
          <w:p>
            <w:pPr>
              <w:spacing w:after="0" w:line="20" w:lineRule="exact"/>
              <w:rPr>
                <w:sz w:val="1"/>
                <w:szCs w:val="1"/>
                <w:color w:val="auto"/>
              </w:rPr>
            </w:pPr>
          </w:p>
        </w:tc>
        <w:tc>
          <w:tcPr>
            <w:tcW w:w="3160" w:type="dxa"/>
            <w:vAlign w:val="bottom"/>
            <w:gridSpan w:val="7"/>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161"/>
        </w:trPr>
        <w:tc>
          <w:tcPr>
            <w:tcW w:w="140" w:type="dxa"/>
            <w:vAlign w:val="bottom"/>
          </w:tcPr>
          <w:p>
            <w:pPr>
              <w:spacing w:after="0"/>
              <w:rPr>
                <w:sz w:val="14"/>
                <w:szCs w:val="14"/>
                <w:color w:val="auto"/>
              </w:rPr>
            </w:pPr>
          </w:p>
        </w:tc>
        <w:tc>
          <w:tcPr>
            <w:tcW w:w="3920" w:type="dxa"/>
            <w:vAlign w:val="bottom"/>
            <w:tcBorders>
              <w:bottom w:val="single" w:sz="8" w:color="0000EE"/>
            </w:tcBorders>
            <w:gridSpan w:val="8"/>
          </w:tcPr>
          <w:p>
            <w:pPr>
              <w:spacing w:after="0" w:line="161" w:lineRule="exact"/>
              <w:rPr>
                <w:sz w:val="20"/>
                <w:szCs w:val="20"/>
                <w:color w:val="auto"/>
              </w:rPr>
            </w:pPr>
            <w:r>
              <w:rPr>
                <w:rFonts w:ascii="Arial" w:cs="Arial" w:eastAsia="Arial" w:hAnsi="Arial"/>
                <w:sz w:val="15"/>
                <w:szCs w:val="15"/>
                <w:color w:val="0000EE"/>
                <w:w w:val="97"/>
              </w:rPr>
              <w:t>Summary of Voting Proposals and Board Recommendations</w:t>
            </w:r>
          </w:p>
        </w:tc>
        <w:tc>
          <w:tcPr>
            <w:tcW w:w="6500" w:type="dxa"/>
            <w:vAlign w:val="bottom"/>
          </w:tcPr>
          <w:p>
            <w:pPr>
              <w:jc w:val="right"/>
              <w:spacing w:after="0" w:line="161" w:lineRule="exact"/>
              <w:rPr>
                <w:sz w:val="20"/>
                <w:szCs w:val="20"/>
                <w:color w:val="auto"/>
              </w:rPr>
            </w:pPr>
            <w:r>
              <w:rPr>
                <w:rFonts w:ascii="Arial" w:cs="Arial" w:eastAsia="Arial" w:hAnsi="Arial"/>
                <w:sz w:val="15"/>
                <w:szCs w:val="15"/>
                <w:color w:val="auto"/>
              </w:rPr>
              <w:t>7</w:t>
            </w:r>
          </w:p>
        </w:tc>
      </w:tr>
    </w:tbl>
    <w:p>
      <w:pPr>
        <w:spacing w:after="0" w:line="101"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10240" w:type="dxa"/>
            <w:vAlign w:val="bottom"/>
            <w:gridSpan w:val="24"/>
          </w:tcPr>
          <w:p>
            <w:pPr>
              <w:spacing w:after="0"/>
              <w:rPr>
                <w:sz w:val="20"/>
                <w:szCs w:val="20"/>
                <w:color w:val="auto"/>
              </w:rPr>
            </w:pPr>
            <w:r>
              <w:rPr>
                <w:rFonts w:ascii="Arial" w:cs="Arial" w:eastAsia="Arial" w:hAnsi="Arial"/>
                <w:sz w:val="16"/>
                <w:szCs w:val="16"/>
                <w:b w:val="1"/>
                <w:bCs w:val="1"/>
                <w:color w:val="0000EE"/>
              </w:rPr>
              <w:t>GENERAL INFORMATION</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60" w:type="dxa"/>
            <w:vAlign w:val="bottom"/>
          </w:tcPr>
          <w:p>
            <w:pPr>
              <w:spacing w:after="0"/>
              <w:rPr>
                <w:sz w:val="11"/>
                <w:szCs w:val="11"/>
                <w:color w:val="auto"/>
              </w:rPr>
            </w:pPr>
          </w:p>
        </w:tc>
        <w:tc>
          <w:tcPr>
            <w:tcW w:w="2540" w:type="dxa"/>
            <w:vAlign w:val="bottom"/>
            <w:tcBorders>
              <w:bottom w:val="single" w:sz="8" w:color="0000EE"/>
            </w:tcBorders>
            <w:gridSpan w:val="11"/>
          </w:tcPr>
          <w:p>
            <w:pPr>
              <w:spacing w:after="0" w:line="134" w:lineRule="exact"/>
              <w:rPr>
                <w:sz w:val="20"/>
                <w:szCs w:val="20"/>
                <w:color w:val="auto"/>
              </w:rPr>
            </w:pPr>
            <w:r>
              <w:rPr>
                <w:rFonts w:ascii="Arial" w:cs="Arial" w:eastAsia="Arial" w:hAnsi="Arial"/>
                <w:sz w:val="15"/>
                <w:szCs w:val="15"/>
                <w:color w:val="0000EE"/>
                <w:w w:val="96"/>
              </w:rPr>
              <w:t>Proxy Voting and Solicitation of Proxies</w:t>
            </w:r>
          </w:p>
        </w:tc>
        <w:tc>
          <w:tcPr>
            <w:tcW w:w="7540" w:type="dxa"/>
            <w:vAlign w:val="bottom"/>
            <w:gridSpan w:val="12"/>
          </w:tcPr>
          <w:p>
            <w:pPr>
              <w:spacing w:after="0"/>
              <w:rPr>
                <w:sz w:val="11"/>
                <w:szCs w:val="11"/>
                <w:color w:val="auto"/>
              </w:rPr>
            </w:pPr>
          </w:p>
        </w:tc>
        <w:tc>
          <w:tcPr>
            <w:tcW w:w="320" w:type="dxa"/>
            <w:vAlign w:val="bottom"/>
          </w:tcPr>
          <w:p>
            <w:pPr>
              <w:jc w:val="right"/>
              <w:spacing w:after="0" w:line="134"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10080" w:type="dxa"/>
            <w:vAlign w:val="bottom"/>
            <w:gridSpan w:val="23"/>
          </w:tcPr>
          <w:p>
            <w:pPr>
              <w:spacing w:after="0" w:line="161" w:lineRule="exact"/>
              <w:rPr>
                <w:sz w:val="20"/>
                <w:szCs w:val="20"/>
                <w:color w:val="auto"/>
              </w:rPr>
            </w:pPr>
            <w:r>
              <w:rPr>
                <w:rFonts w:ascii="Arial" w:cs="Arial" w:eastAsia="Arial" w:hAnsi="Arial"/>
                <w:sz w:val="15"/>
                <w:szCs w:val="15"/>
                <w:color w:val="0000EE"/>
              </w:rPr>
              <w:t>Voting and Annual Meeting Attendance</w:t>
            </w:r>
          </w:p>
        </w:tc>
        <w:tc>
          <w:tcPr>
            <w:tcW w:w="320" w:type="dxa"/>
            <w:vAlign w:val="bottom"/>
          </w:tcPr>
          <w:p>
            <w:pPr>
              <w:jc w:val="right"/>
              <w:spacing w:after="0" w:line="161"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2140" w:type="dxa"/>
            <w:vAlign w:val="bottom"/>
            <w:tcBorders>
              <w:top w:val="single" w:sz="8" w:color="0000EE"/>
              <w:bottom w:val="single" w:sz="8" w:color="0000EE"/>
            </w:tcBorders>
            <w:gridSpan w:val="8"/>
          </w:tcPr>
          <w:p>
            <w:pPr>
              <w:spacing w:after="0" w:line="161" w:lineRule="exact"/>
              <w:rPr>
                <w:sz w:val="20"/>
                <w:szCs w:val="20"/>
                <w:color w:val="auto"/>
              </w:rPr>
            </w:pPr>
            <w:r>
              <w:rPr>
                <w:rFonts w:ascii="Arial" w:cs="Arial" w:eastAsia="Arial" w:hAnsi="Arial"/>
                <w:sz w:val="15"/>
                <w:szCs w:val="15"/>
                <w:color w:val="0000EE"/>
                <w:w w:val="96"/>
              </w:rPr>
              <w:t>Redomiciliation and Combination</w:t>
            </w:r>
          </w:p>
        </w:tc>
        <w:tc>
          <w:tcPr>
            <w:tcW w:w="380" w:type="dxa"/>
            <w:vAlign w:val="bottom"/>
            <w:tcBorders>
              <w:top w:val="single" w:sz="8" w:color="0000EE"/>
            </w:tcBorders>
            <w:gridSpan w:val="2"/>
          </w:tcPr>
          <w:p>
            <w:pPr>
              <w:spacing w:after="0"/>
              <w:rPr>
                <w:sz w:val="14"/>
                <w:szCs w:val="14"/>
                <w:color w:val="auto"/>
              </w:rPr>
            </w:pPr>
          </w:p>
        </w:tc>
        <w:tc>
          <w:tcPr>
            <w:tcW w:w="7560" w:type="dxa"/>
            <w:vAlign w:val="bottom"/>
            <w:gridSpan w:val="13"/>
          </w:tcPr>
          <w:p>
            <w:pPr>
              <w:spacing w:after="0"/>
              <w:rPr>
                <w:sz w:val="14"/>
                <w:szCs w:val="14"/>
                <w:color w:val="auto"/>
              </w:rPr>
            </w:pPr>
          </w:p>
        </w:tc>
        <w:tc>
          <w:tcPr>
            <w:tcW w:w="320" w:type="dxa"/>
            <w:vAlign w:val="bottom"/>
          </w:tcPr>
          <w:p>
            <w:pPr>
              <w:jc w:val="right"/>
              <w:spacing w:after="0" w:line="161"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2280" w:type="dxa"/>
            <w:vAlign w:val="bottom"/>
            <w:tcBorders>
              <w:bottom w:val="single" w:sz="8" w:color="0000EE"/>
            </w:tcBorders>
            <w:gridSpan w:val="9"/>
          </w:tcPr>
          <w:p>
            <w:pPr>
              <w:spacing w:after="0" w:line="161" w:lineRule="exact"/>
              <w:rPr>
                <w:sz w:val="20"/>
                <w:szCs w:val="20"/>
                <w:color w:val="auto"/>
              </w:rPr>
            </w:pPr>
            <w:r>
              <w:rPr>
                <w:rFonts w:ascii="Arial" w:cs="Arial" w:eastAsia="Arial" w:hAnsi="Arial"/>
                <w:sz w:val="15"/>
                <w:szCs w:val="15"/>
                <w:color w:val="0000EE"/>
                <w:w w:val="96"/>
              </w:rPr>
              <w:t>Votes Required to Adopt Proposals</w:t>
            </w:r>
          </w:p>
        </w:tc>
        <w:tc>
          <w:tcPr>
            <w:tcW w:w="7800" w:type="dxa"/>
            <w:vAlign w:val="bottom"/>
            <w:gridSpan w:val="14"/>
          </w:tcPr>
          <w:p>
            <w:pPr>
              <w:spacing w:after="0"/>
              <w:rPr>
                <w:sz w:val="14"/>
                <w:szCs w:val="14"/>
                <w:color w:val="auto"/>
              </w:rPr>
            </w:pPr>
          </w:p>
        </w:tc>
        <w:tc>
          <w:tcPr>
            <w:tcW w:w="320" w:type="dxa"/>
            <w:vAlign w:val="bottom"/>
          </w:tcPr>
          <w:p>
            <w:pPr>
              <w:jc w:val="right"/>
              <w:spacing w:after="0" w:line="161"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1840" w:type="dxa"/>
            <w:vAlign w:val="bottom"/>
            <w:tcBorders>
              <w:bottom w:val="single" w:sz="8" w:color="0000EE"/>
            </w:tcBorders>
            <w:gridSpan w:val="5"/>
          </w:tcPr>
          <w:p>
            <w:pPr>
              <w:spacing w:after="0" w:line="161" w:lineRule="exact"/>
              <w:rPr>
                <w:sz w:val="20"/>
                <w:szCs w:val="20"/>
                <w:color w:val="auto"/>
              </w:rPr>
            </w:pPr>
            <w:r>
              <w:rPr>
                <w:rFonts w:ascii="Arial" w:cs="Arial" w:eastAsia="Arial" w:hAnsi="Arial"/>
                <w:sz w:val="15"/>
                <w:szCs w:val="15"/>
                <w:color w:val="0000EE"/>
                <w:w w:val="96"/>
              </w:rPr>
              <w:t>Purposes of Annual Meeting</w:t>
            </w:r>
          </w:p>
        </w:tc>
        <w:tc>
          <w:tcPr>
            <w:tcW w:w="8240" w:type="dxa"/>
            <w:vAlign w:val="bottom"/>
            <w:gridSpan w:val="18"/>
          </w:tcPr>
          <w:p>
            <w:pPr>
              <w:spacing w:after="0"/>
              <w:rPr>
                <w:sz w:val="14"/>
                <w:szCs w:val="14"/>
                <w:color w:val="auto"/>
              </w:rPr>
            </w:pPr>
          </w:p>
        </w:tc>
        <w:tc>
          <w:tcPr>
            <w:tcW w:w="320" w:type="dxa"/>
            <w:vAlign w:val="bottom"/>
          </w:tcPr>
          <w:p>
            <w:pPr>
              <w:jc w:val="right"/>
              <w:spacing w:after="0" w:line="161"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78"/>
        </w:trPr>
        <w:tc>
          <w:tcPr>
            <w:tcW w:w="10240" w:type="dxa"/>
            <w:vAlign w:val="bottom"/>
            <w:gridSpan w:val="24"/>
          </w:tcPr>
          <w:p>
            <w:pPr>
              <w:spacing w:after="0"/>
              <w:rPr>
                <w:sz w:val="20"/>
                <w:szCs w:val="20"/>
                <w:color w:val="auto"/>
              </w:rPr>
            </w:pPr>
            <w:r>
              <w:rPr>
                <w:rFonts w:ascii="Arial" w:cs="Arial" w:eastAsia="Arial" w:hAnsi="Arial"/>
                <w:sz w:val="16"/>
                <w:szCs w:val="16"/>
                <w:b w:val="1"/>
                <w:bCs w:val="1"/>
                <w:color w:val="0000EE"/>
              </w:rPr>
              <w:t>PROPOSAL 1—RESOLUTIONS REGARDING THE ELECTION OF DIRECTORS</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240" w:type="dxa"/>
            <w:vAlign w:val="bottom"/>
            <w:gridSpan w:val="24"/>
          </w:tcPr>
          <w:p>
            <w:pPr>
              <w:spacing w:after="0"/>
              <w:rPr>
                <w:sz w:val="20"/>
                <w:szCs w:val="20"/>
                <w:color w:val="auto"/>
              </w:rPr>
            </w:pPr>
            <w:r>
              <w:rPr>
                <w:rFonts w:ascii="Arial" w:cs="Arial" w:eastAsia="Arial" w:hAnsi="Arial"/>
                <w:sz w:val="16"/>
                <w:szCs w:val="16"/>
                <w:b w:val="1"/>
                <w:bCs w:val="1"/>
                <w:color w:val="0000EE"/>
                <w:w w:val="99"/>
              </w:rPr>
              <w:t>PROPOSAL 2—RESOLUTION REGARDING RATIFICATION OF APPOINTMENT OF INDEPENDENT REGISTERED PUBLIC ACCOUNTING</w:t>
            </w: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161"/>
        </w:trPr>
        <w:tc>
          <w:tcPr>
            <w:tcW w:w="160" w:type="dxa"/>
            <w:vAlign w:val="bottom"/>
            <w:tcBorders>
              <w:top w:val="single" w:sz="8" w:color="0000EE"/>
            </w:tcBorders>
          </w:tcPr>
          <w:p>
            <w:pPr>
              <w:spacing w:after="0"/>
              <w:rPr>
                <w:sz w:val="14"/>
                <w:szCs w:val="14"/>
                <w:color w:val="auto"/>
              </w:rPr>
            </w:pPr>
          </w:p>
        </w:tc>
        <w:tc>
          <w:tcPr>
            <w:tcW w:w="9740" w:type="dxa"/>
            <w:vAlign w:val="bottom"/>
            <w:tcBorders>
              <w:top w:val="single" w:sz="8" w:color="0000EE"/>
            </w:tcBorders>
            <w:gridSpan w:val="21"/>
          </w:tcPr>
          <w:p>
            <w:pPr>
              <w:spacing w:after="0" w:line="161" w:lineRule="exact"/>
              <w:rPr>
                <w:sz w:val="20"/>
                <w:szCs w:val="20"/>
                <w:color w:val="auto"/>
              </w:rPr>
            </w:pPr>
            <w:r>
              <w:rPr>
                <w:rFonts w:ascii="Arial" w:cs="Arial" w:eastAsia="Arial" w:hAnsi="Arial"/>
                <w:sz w:val="16"/>
                <w:szCs w:val="16"/>
                <w:b w:val="1"/>
                <w:bCs w:val="1"/>
                <w:color w:val="0000EE"/>
              </w:rPr>
              <w:t>FIRM</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240" w:type="dxa"/>
            <w:vAlign w:val="bottom"/>
            <w:gridSpan w:val="24"/>
          </w:tcPr>
          <w:p>
            <w:pPr>
              <w:spacing w:after="0"/>
              <w:rPr>
                <w:sz w:val="20"/>
                <w:szCs w:val="20"/>
                <w:color w:val="auto"/>
              </w:rPr>
            </w:pPr>
            <w:r>
              <w:rPr>
                <w:rFonts w:ascii="Arial" w:cs="Arial" w:eastAsia="Arial" w:hAnsi="Arial"/>
                <w:sz w:val="16"/>
                <w:szCs w:val="16"/>
                <w:b w:val="1"/>
                <w:bCs w:val="1"/>
                <w:color w:val="0000EE"/>
              </w:rPr>
              <w:t>PROPOSAL 3—RESOLUTION APPOINTING ERNST &amp; YOUNG CHARTERED ACCOUNTANTS AS THE COMPANY’S IRISH STATUTORY</w:t>
            </w: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161"/>
        </w:trPr>
        <w:tc>
          <w:tcPr>
            <w:tcW w:w="160" w:type="dxa"/>
            <w:vAlign w:val="bottom"/>
            <w:tcBorders>
              <w:top w:val="single" w:sz="8" w:color="0000EE"/>
            </w:tcBorders>
          </w:tcPr>
          <w:p>
            <w:pPr>
              <w:spacing w:after="0"/>
              <w:rPr>
                <w:sz w:val="14"/>
                <w:szCs w:val="14"/>
                <w:color w:val="auto"/>
              </w:rPr>
            </w:pPr>
          </w:p>
        </w:tc>
        <w:tc>
          <w:tcPr>
            <w:tcW w:w="9620" w:type="dxa"/>
            <w:vAlign w:val="bottom"/>
            <w:tcBorders>
              <w:top w:val="single" w:sz="8" w:color="0000EE"/>
            </w:tcBorders>
            <w:gridSpan w:val="20"/>
          </w:tcPr>
          <w:p>
            <w:pPr>
              <w:spacing w:after="0" w:line="161" w:lineRule="exact"/>
              <w:rPr>
                <w:sz w:val="20"/>
                <w:szCs w:val="20"/>
                <w:color w:val="auto"/>
              </w:rPr>
            </w:pPr>
            <w:r>
              <w:rPr>
                <w:rFonts w:ascii="Arial" w:cs="Arial" w:eastAsia="Arial" w:hAnsi="Arial"/>
                <w:sz w:val="16"/>
                <w:szCs w:val="16"/>
                <w:b w:val="1"/>
                <w:bCs w:val="1"/>
                <w:color w:val="0000EE"/>
              </w:rPr>
              <w:t>AUDITOR</w:t>
            </w:r>
          </w:p>
        </w:tc>
        <w:tc>
          <w:tcPr>
            <w:tcW w:w="3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240" w:type="dxa"/>
            <w:vAlign w:val="bottom"/>
            <w:gridSpan w:val="24"/>
          </w:tcPr>
          <w:p>
            <w:pPr>
              <w:spacing w:after="0"/>
              <w:rPr>
                <w:sz w:val="20"/>
                <w:szCs w:val="20"/>
                <w:color w:val="auto"/>
              </w:rPr>
            </w:pPr>
            <w:r>
              <w:rPr>
                <w:rFonts w:ascii="Arial" w:cs="Arial" w:eastAsia="Arial" w:hAnsi="Arial"/>
                <w:sz w:val="16"/>
                <w:szCs w:val="16"/>
                <w:b w:val="1"/>
                <w:bCs w:val="1"/>
                <w:color w:val="0000EE"/>
                <w:w w:val="97"/>
              </w:rPr>
              <w:t>PROPOSAL 4—RESOLUTION TO AUTHORIZE THE BOARD OF DIRECTORS OR THE AUDIT COMMITTEE OF THE BOARD TO DETERMINE</w:t>
            </w: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161"/>
        </w:trPr>
        <w:tc>
          <w:tcPr>
            <w:tcW w:w="160" w:type="dxa"/>
            <w:vAlign w:val="bottom"/>
            <w:tcBorders>
              <w:top w:val="single" w:sz="8" w:color="0000EE"/>
            </w:tcBorders>
          </w:tcPr>
          <w:p>
            <w:pPr>
              <w:spacing w:after="0"/>
              <w:rPr>
                <w:sz w:val="14"/>
                <w:szCs w:val="14"/>
                <w:color w:val="auto"/>
              </w:rPr>
            </w:pPr>
          </w:p>
        </w:tc>
        <w:tc>
          <w:tcPr>
            <w:tcW w:w="9960" w:type="dxa"/>
            <w:vAlign w:val="bottom"/>
            <w:tcBorders>
              <w:top w:val="single" w:sz="8" w:color="0000EE"/>
            </w:tcBorders>
            <w:gridSpan w:val="22"/>
          </w:tcPr>
          <w:p>
            <w:pPr>
              <w:spacing w:after="0" w:line="161" w:lineRule="exact"/>
              <w:rPr>
                <w:sz w:val="20"/>
                <w:szCs w:val="20"/>
                <w:color w:val="auto"/>
              </w:rPr>
            </w:pPr>
            <w:r>
              <w:rPr>
                <w:rFonts w:ascii="Arial" w:cs="Arial" w:eastAsia="Arial" w:hAnsi="Arial"/>
                <w:sz w:val="16"/>
                <w:szCs w:val="16"/>
                <w:b w:val="1"/>
                <w:bCs w:val="1"/>
                <w:color w:val="0000EE"/>
              </w:rPr>
              <w:t>THE REMUNERATION OF ERNST &amp; YOUNG CHARTERED ACCOUNTANTS AS THE COMPANY’S IRISH STATUTORY AUDITOR</w:t>
            </w: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240" w:type="dxa"/>
            <w:vAlign w:val="bottom"/>
            <w:gridSpan w:val="24"/>
          </w:tcPr>
          <w:p>
            <w:pPr>
              <w:spacing w:after="0"/>
              <w:rPr>
                <w:sz w:val="20"/>
                <w:szCs w:val="20"/>
                <w:color w:val="auto"/>
              </w:rPr>
            </w:pPr>
            <w:r>
              <w:rPr>
                <w:rFonts w:ascii="Arial" w:cs="Arial" w:eastAsia="Arial" w:hAnsi="Arial"/>
                <w:sz w:val="16"/>
                <w:szCs w:val="16"/>
                <w:b w:val="1"/>
                <w:bCs w:val="1"/>
                <w:color w:val="0000EE"/>
              </w:rPr>
              <w:t>PROPOSAL 5—ADVISORY RESOLUTION ON NAMED EXECUTIVE OFFICER COMPENSATION</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240" w:type="dxa"/>
            <w:vAlign w:val="bottom"/>
            <w:gridSpan w:val="24"/>
          </w:tcPr>
          <w:p>
            <w:pPr>
              <w:spacing w:after="0"/>
              <w:rPr>
                <w:sz w:val="20"/>
                <w:szCs w:val="20"/>
                <w:color w:val="auto"/>
              </w:rPr>
            </w:pPr>
            <w:r>
              <w:rPr>
                <w:rFonts w:ascii="Arial" w:cs="Arial" w:eastAsia="Arial" w:hAnsi="Arial"/>
                <w:sz w:val="16"/>
                <w:szCs w:val="16"/>
                <w:b w:val="1"/>
                <w:bCs w:val="1"/>
                <w:color w:val="0000EE"/>
              </w:rPr>
              <w:t>PROPOSAL 6—RENEWAL OF THE BOARD’S AUTHORITY TO ISSUE SHARES UNDER IRISH LAW</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240" w:type="dxa"/>
            <w:vAlign w:val="bottom"/>
            <w:gridSpan w:val="24"/>
          </w:tcPr>
          <w:p>
            <w:pPr>
              <w:spacing w:after="0"/>
              <w:rPr>
                <w:sz w:val="20"/>
                <w:szCs w:val="20"/>
                <w:color w:val="auto"/>
              </w:rPr>
            </w:pPr>
            <w:r>
              <w:rPr>
                <w:rFonts w:ascii="Arial" w:cs="Arial" w:eastAsia="Arial" w:hAnsi="Arial"/>
                <w:sz w:val="16"/>
                <w:szCs w:val="16"/>
                <w:b w:val="1"/>
                <w:bCs w:val="1"/>
                <w:color w:val="0000EE"/>
              </w:rPr>
              <w:t>PROPOSAL 7—RENEWAL OF THE BOARD’S AUTHORITY TO OPT-OUT OF STATUTORY PRE-EMPTION RIGHTS UNDER IRISH LAW</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240" w:type="dxa"/>
            <w:vAlign w:val="bottom"/>
            <w:gridSpan w:val="24"/>
          </w:tcPr>
          <w:p>
            <w:pPr>
              <w:spacing w:after="0"/>
              <w:rPr>
                <w:sz w:val="20"/>
                <w:szCs w:val="20"/>
                <w:color w:val="auto"/>
              </w:rPr>
            </w:pPr>
            <w:r>
              <w:rPr>
                <w:rFonts w:ascii="Arial" w:cs="Arial" w:eastAsia="Arial" w:hAnsi="Arial"/>
                <w:sz w:val="16"/>
                <w:szCs w:val="16"/>
                <w:b w:val="1"/>
                <w:bCs w:val="1"/>
                <w:color w:val="0000EE"/>
              </w:rPr>
              <w:t>PROPOSAL 8—RESOLUTION TO TRANSACT SUCH OTHER BUSINESS AS MAY COME BEFORE THE MEETING</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42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240" w:type="dxa"/>
            <w:vAlign w:val="bottom"/>
            <w:gridSpan w:val="24"/>
          </w:tcPr>
          <w:p>
            <w:pPr>
              <w:spacing w:after="0"/>
              <w:rPr>
                <w:sz w:val="20"/>
                <w:szCs w:val="20"/>
                <w:color w:val="auto"/>
              </w:rPr>
            </w:pPr>
            <w:r>
              <w:rPr>
                <w:rFonts w:ascii="Arial" w:cs="Arial" w:eastAsia="Arial" w:hAnsi="Arial"/>
                <w:sz w:val="16"/>
                <w:szCs w:val="16"/>
                <w:b w:val="1"/>
                <w:bCs w:val="1"/>
                <w:color w:val="0000EE"/>
              </w:rPr>
              <w:t>BOARD OF DIRECTORS INFORMATION</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20"/>
        </w:trPr>
        <w:tc>
          <w:tcPr>
            <w:tcW w:w="1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60" w:type="dxa"/>
            <w:vAlign w:val="bottom"/>
          </w:tcPr>
          <w:p>
            <w:pPr>
              <w:spacing w:after="0"/>
              <w:rPr>
                <w:sz w:val="11"/>
                <w:szCs w:val="11"/>
                <w:color w:val="auto"/>
              </w:rPr>
            </w:pPr>
          </w:p>
        </w:tc>
        <w:tc>
          <w:tcPr>
            <w:tcW w:w="10080" w:type="dxa"/>
            <w:vAlign w:val="bottom"/>
            <w:gridSpan w:val="23"/>
          </w:tcPr>
          <w:p>
            <w:pPr>
              <w:spacing w:after="0" w:line="134" w:lineRule="exact"/>
              <w:rPr>
                <w:sz w:val="20"/>
                <w:szCs w:val="20"/>
                <w:color w:val="auto"/>
              </w:rPr>
            </w:pPr>
            <w:r>
              <w:rPr>
                <w:rFonts w:ascii="Arial" w:cs="Arial" w:eastAsia="Arial" w:hAnsi="Arial"/>
                <w:sz w:val="15"/>
                <w:szCs w:val="15"/>
                <w:color w:val="0000EE"/>
              </w:rPr>
              <w:t>Board Meetings and Committees</w:t>
            </w:r>
          </w:p>
        </w:tc>
        <w:tc>
          <w:tcPr>
            <w:tcW w:w="320" w:type="dxa"/>
            <w:vAlign w:val="bottom"/>
          </w:tcPr>
          <w:p>
            <w:pPr>
              <w:jc w:val="right"/>
              <w:spacing w:after="0" w:line="134" w:lineRule="exact"/>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1460" w:type="dxa"/>
            <w:vAlign w:val="bottom"/>
            <w:tcBorders>
              <w:top w:val="single" w:sz="8" w:color="0000EE"/>
              <w:bottom w:val="single" w:sz="8" w:color="0000EE"/>
            </w:tcBorders>
            <w:gridSpan w:val="3"/>
          </w:tcPr>
          <w:p>
            <w:pPr>
              <w:spacing w:after="0" w:line="161" w:lineRule="exact"/>
              <w:rPr>
                <w:sz w:val="20"/>
                <w:szCs w:val="20"/>
                <w:color w:val="auto"/>
              </w:rPr>
            </w:pPr>
            <w:r>
              <w:rPr>
                <w:rFonts w:ascii="Arial" w:cs="Arial" w:eastAsia="Arial" w:hAnsi="Arial"/>
                <w:sz w:val="15"/>
                <w:szCs w:val="15"/>
                <w:color w:val="0000EE"/>
                <w:w w:val="95"/>
              </w:rPr>
              <w:t>Governance Generally</w:t>
            </w:r>
          </w:p>
        </w:tc>
        <w:tc>
          <w:tcPr>
            <w:tcW w:w="660" w:type="dxa"/>
            <w:vAlign w:val="bottom"/>
            <w:tcBorders>
              <w:top w:val="single" w:sz="8" w:color="0000EE"/>
            </w:tcBorders>
            <w:gridSpan w:val="4"/>
          </w:tcPr>
          <w:p>
            <w:pPr>
              <w:spacing w:after="0"/>
              <w:rPr>
                <w:sz w:val="14"/>
                <w:szCs w:val="14"/>
                <w:color w:val="auto"/>
              </w:rPr>
            </w:pPr>
          </w:p>
        </w:tc>
        <w:tc>
          <w:tcPr>
            <w:tcW w:w="7960" w:type="dxa"/>
            <w:vAlign w:val="bottom"/>
            <w:gridSpan w:val="16"/>
          </w:tcPr>
          <w:p>
            <w:pPr>
              <w:spacing w:after="0"/>
              <w:rPr>
                <w:sz w:val="14"/>
                <w:szCs w:val="14"/>
                <w:color w:val="auto"/>
              </w:rPr>
            </w:pPr>
          </w:p>
        </w:tc>
        <w:tc>
          <w:tcPr>
            <w:tcW w:w="320" w:type="dxa"/>
            <w:vAlign w:val="bottom"/>
          </w:tcPr>
          <w:p>
            <w:pPr>
              <w:jc w:val="right"/>
              <w:spacing w:after="0" w:line="161" w:lineRule="exact"/>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3100" w:type="dxa"/>
            <w:vAlign w:val="bottom"/>
            <w:tcBorders>
              <w:bottom w:val="single" w:sz="8" w:color="0000EE"/>
            </w:tcBorders>
            <w:gridSpan w:val="13"/>
          </w:tcPr>
          <w:p>
            <w:pPr>
              <w:spacing w:after="0" w:line="161" w:lineRule="exact"/>
              <w:rPr>
                <w:sz w:val="20"/>
                <w:szCs w:val="20"/>
                <w:color w:val="auto"/>
              </w:rPr>
            </w:pPr>
            <w:r>
              <w:rPr>
                <w:rFonts w:ascii="Arial" w:cs="Arial" w:eastAsia="Arial" w:hAnsi="Arial"/>
                <w:sz w:val="15"/>
                <w:szCs w:val="15"/>
                <w:color w:val="0000EE"/>
                <w:w w:val="96"/>
              </w:rPr>
              <w:t>Independent Registered Public Accounting Firm</w:t>
            </w:r>
          </w:p>
        </w:tc>
        <w:tc>
          <w:tcPr>
            <w:tcW w:w="6980" w:type="dxa"/>
            <w:vAlign w:val="bottom"/>
            <w:gridSpan w:val="10"/>
          </w:tcPr>
          <w:p>
            <w:pPr>
              <w:spacing w:after="0"/>
              <w:rPr>
                <w:sz w:val="14"/>
                <w:szCs w:val="14"/>
                <w:color w:val="auto"/>
              </w:rPr>
            </w:pPr>
          </w:p>
        </w:tc>
        <w:tc>
          <w:tcPr>
            <w:tcW w:w="320" w:type="dxa"/>
            <w:vAlign w:val="bottom"/>
          </w:tcPr>
          <w:p>
            <w:pPr>
              <w:jc w:val="right"/>
              <w:spacing w:after="0" w:line="161" w:lineRule="exact"/>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10080" w:type="dxa"/>
            <w:vAlign w:val="bottom"/>
            <w:gridSpan w:val="23"/>
          </w:tcPr>
          <w:p>
            <w:pPr>
              <w:spacing w:after="0" w:line="161" w:lineRule="exact"/>
              <w:rPr>
                <w:sz w:val="20"/>
                <w:szCs w:val="20"/>
                <w:color w:val="auto"/>
              </w:rPr>
            </w:pPr>
            <w:r>
              <w:rPr>
                <w:rFonts w:ascii="Arial" w:cs="Arial" w:eastAsia="Arial" w:hAnsi="Arial"/>
                <w:sz w:val="15"/>
                <w:szCs w:val="15"/>
                <w:color w:val="0000EE"/>
              </w:rPr>
              <w:t>Report of the Audit Committee</w:t>
            </w:r>
          </w:p>
        </w:tc>
        <w:tc>
          <w:tcPr>
            <w:tcW w:w="320" w:type="dxa"/>
            <w:vAlign w:val="bottom"/>
          </w:tcPr>
          <w:p>
            <w:pPr>
              <w:jc w:val="right"/>
              <w:spacing w:after="0" w:line="161" w:lineRule="exact"/>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i</w:t>
      </w:r>
    </w:p>
    <w:p>
      <w:pPr>
        <w:sectPr>
          <w:pgSz w:w="11900" w:h="16838" w:orient="portrait"/>
          <w:cols w:equalWidth="0" w:num="1">
            <w:col w:w="10900"/>
          </w:cols>
          <w:pgMar w:left="320" w:top="469" w:right="6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8080" w:type="dxa"/>
            <w:vAlign w:val="bottom"/>
            <w:gridSpan w:val="22"/>
          </w:tcPr>
          <w:p>
            <w:pPr>
              <w:spacing w:after="0"/>
              <w:rPr>
                <w:sz w:val="20"/>
                <w:szCs w:val="20"/>
                <w:color w:val="auto"/>
              </w:rPr>
            </w:pPr>
            <w:r>
              <w:rPr>
                <w:rFonts w:ascii="Arial" w:cs="Arial" w:eastAsia="Arial" w:hAnsi="Arial"/>
                <w:sz w:val="17"/>
                <w:szCs w:val="17"/>
                <w:b w:val="1"/>
                <w:bCs w:val="1"/>
                <w:color w:val="auto"/>
              </w:rPr>
              <w:t> </w:t>
            </w:r>
          </w:p>
        </w:tc>
        <w:tc>
          <w:tcPr>
            <w:tcW w:w="2480" w:type="dxa"/>
            <w:vAlign w:val="bottom"/>
          </w:tcPr>
          <w:p>
            <w:pPr>
              <w:jc w:val="right"/>
              <w:spacing w:after="0"/>
              <w:rPr>
                <w:sz w:val="20"/>
                <w:szCs w:val="20"/>
                <w:color w:val="auto"/>
              </w:rPr>
            </w:pPr>
            <w:r>
              <w:rPr>
                <w:rFonts w:ascii="Arial" w:cs="Arial" w:eastAsia="Arial" w:hAnsi="Arial"/>
                <w:sz w:val="16"/>
                <w:szCs w:val="16"/>
                <w:b w:val="1"/>
                <w:bCs w:val="1"/>
                <w:color w:val="3E8EDE"/>
              </w:rPr>
              <w:t>Table of Contents</w:t>
            </w:r>
          </w:p>
        </w:tc>
      </w:tr>
      <w:tr>
        <w:trPr>
          <w:trHeight w:val="27"/>
        </w:trPr>
        <w:tc>
          <w:tcPr>
            <w:tcW w:w="140" w:type="dxa"/>
            <w:vAlign w:val="bottom"/>
            <w:tcBorders>
              <w:bottom w:val="single" w:sz="8" w:color="3E8EDE"/>
            </w:tcBorders>
          </w:tcPr>
          <w:p>
            <w:pPr>
              <w:spacing w:after="0"/>
              <w:rPr>
                <w:sz w:val="2"/>
                <w:szCs w:val="2"/>
                <w:color w:val="auto"/>
              </w:rPr>
            </w:pPr>
          </w:p>
        </w:tc>
        <w:tc>
          <w:tcPr>
            <w:tcW w:w="820" w:type="dxa"/>
            <w:vAlign w:val="bottom"/>
            <w:tcBorders>
              <w:bottom w:val="single" w:sz="8" w:color="3E8EDE"/>
            </w:tcBorders>
          </w:tcPr>
          <w:p>
            <w:pPr>
              <w:spacing w:after="0"/>
              <w:rPr>
                <w:sz w:val="2"/>
                <w:szCs w:val="2"/>
                <w:color w:val="auto"/>
              </w:rPr>
            </w:pPr>
          </w:p>
        </w:tc>
        <w:tc>
          <w:tcPr>
            <w:tcW w:w="180" w:type="dxa"/>
            <w:vAlign w:val="bottom"/>
            <w:tcBorders>
              <w:bottom w:val="single" w:sz="8" w:color="3E8EDE"/>
            </w:tcBorders>
          </w:tcPr>
          <w:p>
            <w:pPr>
              <w:spacing w:after="0"/>
              <w:rPr>
                <w:sz w:val="2"/>
                <w:szCs w:val="2"/>
                <w:color w:val="auto"/>
              </w:rPr>
            </w:pPr>
          </w:p>
        </w:tc>
        <w:tc>
          <w:tcPr>
            <w:tcW w:w="200" w:type="dxa"/>
            <w:vAlign w:val="bottom"/>
            <w:tcBorders>
              <w:bottom w:val="single" w:sz="8" w:color="3E8EDE"/>
            </w:tcBorders>
          </w:tcPr>
          <w:p>
            <w:pPr>
              <w:spacing w:after="0"/>
              <w:rPr>
                <w:sz w:val="2"/>
                <w:szCs w:val="2"/>
                <w:color w:val="auto"/>
              </w:rPr>
            </w:pPr>
          </w:p>
        </w:tc>
        <w:tc>
          <w:tcPr>
            <w:tcW w:w="420" w:type="dxa"/>
            <w:vAlign w:val="bottom"/>
            <w:tcBorders>
              <w:bottom w:val="single" w:sz="8" w:color="3E8EDE"/>
            </w:tcBorders>
          </w:tcPr>
          <w:p>
            <w:pPr>
              <w:spacing w:after="0"/>
              <w:rPr>
                <w:sz w:val="2"/>
                <w:szCs w:val="2"/>
                <w:color w:val="auto"/>
              </w:rPr>
            </w:pPr>
          </w:p>
        </w:tc>
        <w:tc>
          <w:tcPr>
            <w:tcW w:w="360" w:type="dxa"/>
            <w:vAlign w:val="bottom"/>
            <w:tcBorders>
              <w:bottom w:val="single" w:sz="8" w:color="3E8EDE"/>
            </w:tcBorders>
          </w:tcPr>
          <w:p>
            <w:pPr>
              <w:spacing w:after="0"/>
              <w:rPr>
                <w:sz w:val="2"/>
                <w:szCs w:val="2"/>
                <w:color w:val="auto"/>
              </w:rPr>
            </w:pPr>
          </w:p>
        </w:tc>
        <w:tc>
          <w:tcPr>
            <w:tcW w:w="60" w:type="dxa"/>
            <w:vAlign w:val="bottom"/>
            <w:tcBorders>
              <w:bottom w:val="single" w:sz="8" w:color="3E8EDE"/>
            </w:tcBorders>
          </w:tcPr>
          <w:p>
            <w:pPr>
              <w:spacing w:after="0"/>
              <w:rPr>
                <w:sz w:val="2"/>
                <w:szCs w:val="2"/>
                <w:color w:val="auto"/>
              </w:rPr>
            </w:pPr>
          </w:p>
        </w:tc>
        <w:tc>
          <w:tcPr>
            <w:tcW w:w="40" w:type="dxa"/>
            <w:vAlign w:val="bottom"/>
            <w:tcBorders>
              <w:bottom w:val="single" w:sz="8" w:color="3E8EDE"/>
            </w:tcBorders>
          </w:tcPr>
          <w:p>
            <w:pPr>
              <w:spacing w:after="0"/>
              <w:rPr>
                <w:sz w:val="2"/>
                <w:szCs w:val="2"/>
                <w:color w:val="auto"/>
              </w:rPr>
            </w:pPr>
          </w:p>
        </w:tc>
        <w:tc>
          <w:tcPr>
            <w:tcW w:w="100" w:type="dxa"/>
            <w:vAlign w:val="bottom"/>
            <w:tcBorders>
              <w:bottom w:val="single" w:sz="8" w:color="3E8EDE"/>
            </w:tcBorders>
          </w:tcPr>
          <w:p>
            <w:pPr>
              <w:spacing w:after="0"/>
              <w:rPr>
                <w:sz w:val="2"/>
                <w:szCs w:val="2"/>
                <w:color w:val="auto"/>
              </w:rPr>
            </w:pPr>
          </w:p>
        </w:tc>
        <w:tc>
          <w:tcPr>
            <w:tcW w:w="400" w:type="dxa"/>
            <w:vAlign w:val="bottom"/>
            <w:tcBorders>
              <w:bottom w:val="single" w:sz="8" w:color="3E8EDE"/>
            </w:tcBorders>
          </w:tcPr>
          <w:p>
            <w:pPr>
              <w:spacing w:after="0"/>
              <w:rPr>
                <w:sz w:val="2"/>
                <w:szCs w:val="2"/>
                <w:color w:val="auto"/>
              </w:rPr>
            </w:pPr>
          </w:p>
        </w:tc>
        <w:tc>
          <w:tcPr>
            <w:tcW w:w="120" w:type="dxa"/>
            <w:vAlign w:val="bottom"/>
            <w:tcBorders>
              <w:bottom w:val="single" w:sz="8" w:color="3E8EDE"/>
            </w:tcBorders>
          </w:tcPr>
          <w:p>
            <w:pPr>
              <w:spacing w:after="0"/>
              <w:rPr>
                <w:sz w:val="2"/>
                <w:szCs w:val="2"/>
                <w:color w:val="auto"/>
              </w:rPr>
            </w:pPr>
          </w:p>
        </w:tc>
        <w:tc>
          <w:tcPr>
            <w:tcW w:w="40" w:type="dxa"/>
            <w:vAlign w:val="bottom"/>
            <w:tcBorders>
              <w:bottom w:val="single" w:sz="8" w:color="3E8EDE"/>
            </w:tcBorders>
          </w:tcPr>
          <w:p>
            <w:pPr>
              <w:spacing w:after="0"/>
              <w:rPr>
                <w:sz w:val="2"/>
                <w:szCs w:val="2"/>
                <w:color w:val="auto"/>
              </w:rPr>
            </w:pPr>
          </w:p>
        </w:tc>
        <w:tc>
          <w:tcPr>
            <w:tcW w:w="160" w:type="dxa"/>
            <w:vAlign w:val="bottom"/>
            <w:tcBorders>
              <w:bottom w:val="single" w:sz="8" w:color="3E8EDE"/>
            </w:tcBorders>
          </w:tcPr>
          <w:p>
            <w:pPr>
              <w:spacing w:after="0"/>
              <w:rPr>
                <w:sz w:val="2"/>
                <w:szCs w:val="2"/>
                <w:color w:val="auto"/>
              </w:rPr>
            </w:pPr>
          </w:p>
        </w:tc>
        <w:tc>
          <w:tcPr>
            <w:tcW w:w="380" w:type="dxa"/>
            <w:vAlign w:val="bottom"/>
            <w:tcBorders>
              <w:bottom w:val="single" w:sz="8" w:color="3E8EDE"/>
            </w:tcBorders>
          </w:tcPr>
          <w:p>
            <w:pPr>
              <w:spacing w:after="0"/>
              <w:rPr>
                <w:sz w:val="2"/>
                <w:szCs w:val="2"/>
                <w:color w:val="auto"/>
              </w:rPr>
            </w:pPr>
          </w:p>
        </w:tc>
        <w:tc>
          <w:tcPr>
            <w:tcW w:w="140" w:type="dxa"/>
            <w:vAlign w:val="bottom"/>
            <w:tcBorders>
              <w:bottom w:val="single" w:sz="8" w:color="3E8EDE"/>
            </w:tcBorders>
          </w:tcPr>
          <w:p>
            <w:pPr>
              <w:spacing w:after="0"/>
              <w:rPr>
                <w:sz w:val="2"/>
                <w:szCs w:val="2"/>
                <w:color w:val="auto"/>
              </w:rPr>
            </w:pPr>
          </w:p>
        </w:tc>
        <w:tc>
          <w:tcPr>
            <w:tcW w:w="20" w:type="dxa"/>
            <w:vAlign w:val="bottom"/>
            <w:tcBorders>
              <w:bottom w:val="single" w:sz="8" w:color="3E8EDE"/>
            </w:tcBorders>
          </w:tcPr>
          <w:p>
            <w:pPr>
              <w:spacing w:after="0"/>
              <w:rPr>
                <w:sz w:val="2"/>
                <w:szCs w:val="2"/>
                <w:color w:val="auto"/>
              </w:rPr>
            </w:pPr>
          </w:p>
        </w:tc>
        <w:tc>
          <w:tcPr>
            <w:tcW w:w="140" w:type="dxa"/>
            <w:vAlign w:val="bottom"/>
            <w:tcBorders>
              <w:bottom w:val="single" w:sz="8" w:color="3E8EDE"/>
            </w:tcBorders>
          </w:tcPr>
          <w:p>
            <w:pPr>
              <w:spacing w:after="0"/>
              <w:rPr>
                <w:sz w:val="2"/>
                <w:szCs w:val="2"/>
                <w:color w:val="auto"/>
              </w:rPr>
            </w:pPr>
          </w:p>
        </w:tc>
        <w:tc>
          <w:tcPr>
            <w:tcW w:w="980" w:type="dxa"/>
            <w:vAlign w:val="bottom"/>
            <w:tcBorders>
              <w:bottom w:val="single" w:sz="8" w:color="3E8EDE"/>
            </w:tcBorders>
          </w:tcPr>
          <w:p>
            <w:pPr>
              <w:spacing w:after="0"/>
              <w:rPr>
                <w:sz w:val="2"/>
                <w:szCs w:val="2"/>
                <w:color w:val="auto"/>
              </w:rPr>
            </w:pPr>
          </w:p>
        </w:tc>
        <w:tc>
          <w:tcPr>
            <w:tcW w:w="780" w:type="dxa"/>
            <w:vAlign w:val="bottom"/>
            <w:tcBorders>
              <w:bottom w:val="single" w:sz="8" w:color="3E8EDE"/>
            </w:tcBorders>
          </w:tcPr>
          <w:p>
            <w:pPr>
              <w:spacing w:after="0"/>
              <w:rPr>
                <w:sz w:val="2"/>
                <w:szCs w:val="2"/>
                <w:color w:val="auto"/>
              </w:rPr>
            </w:pPr>
          </w:p>
        </w:tc>
        <w:tc>
          <w:tcPr>
            <w:tcW w:w="700" w:type="dxa"/>
            <w:vAlign w:val="bottom"/>
            <w:tcBorders>
              <w:bottom w:val="single" w:sz="8" w:color="3E8EDE"/>
            </w:tcBorders>
          </w:tcPr>
          <w:p>
            <w:pPr>
              <w:spacing w:after="0"/>
              <w:rPr>
                <w:sz w:val="2"/>
                <w:szCs w:val="2"/>
                <w:color w:val="auto"/>
              </w:rPr>
            </w:pPr>
          </w:p>
        </w:tc>
        <w:tc>
          <w:tcPr>
            <w:tcW w:w="740" w:type="dxa"/>
            <w:vAlign w:val="bottom"/>
            <w:tcBorders>
              <w:bottom w:val="single" w:sz="8" w:color="3E8EDE"/>
            </w:tcBorders>
          </w:tcPr>
          <w:p>
            <w:pPr>
              <w:spacing w:after="0"/>
              <w:rPr>
                <w:sz w:val="2"/>
                <w:szCs w:val="2"/>
                <w:color w:val="auto"/>
              </w:rPr>
            </w:pPr>
          </w:p>
        </w:tc>
        <w:tc>
          <w:tcPr>
            <w:tcW w:w="1160" w:type="dxa"/>
            <w:vAlign w:val="bottom"/>
            <w:tcBorders>
              <w:bottom w:val="single" w:sz="8" w:color="3E8EDE"/>
            </w:tcBorders>
          </w:tcPr>
          <w:p>
            <w:pPr>
              <w:spacing w:after="0"/>
              <w:rPr>
                <w:sz w:val="2"/>
                <w:szCs w:val="2"/>
                <w:color w:val="auto"/>
              </w:rPr>
            </w:pPr>
          </w:p>
        </w:tc>
        <w:tc>
          <w:tcPr>
            <w:tcW w:w="2480" w:type="dxa"/>
            <w:vAlign w:val="bottom"/>
            <w:tcBorders>
              <w:bottom w:val="single" w:sz="8" w:color="3E8EDE"/>
            </w:tcBorders>
          </w:tcPr>
          <w:p>
            <w:pPr>
              <w:spacing w:after="0"/>
              <w:rPr>
                <w:sz w:val="2"/>
                <w:szCs w:val="2"/>
                <w:color w:val="auto"/>
              </w:rPr>
            </w:pPr>
          </w:p>
        </w:tc>
      </w:tr>
      <w:tr>
        <w:trPr>
          <w:trHeight w:val="330"/>
        </w:trPr>
        <w:tc>
          <w:tcPr>
            <w:tcW w:w="8080" w:type="dxa"/>
            <w:vAlign w:val="bottom"/>
            <w:gridSpan w:val="22"/>
          </w:tcPr>
          <w:p>
            <w:pPr>
              <w:spacing w:after="0"/>
              <w:rPr>
                <w:sz w:val="20"/>
                <w:szCs w:val="20"/>
                <w:color w:val="auto"/>
              </w:rPr>
            </w:pPr>
            <w:r>
              <w:rPr>
                <w:rFonts w:ascii="Arial" w:cs="Arial" w:eastAsia="Arial" w:hAnsi="Arial"/>
                <w:sz w:val="16"/>
                <w:szCs w:val="16"/>
                <w:b w:val="1"/>
                <w:bCs w:val="1"/>
                <w:color w:val="0000EE"/>
              </w:rPr>
              <w:t>EXECUTIVE COMPENSATION</w:t>
            </w: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42</w:t>
            </w:r>
          </w:p>
        </w:tc>
      </w:tr>
      <w:tr>
        <w:trPr>
          <w:trHeight w:val="20"/>
        </w:trPr>
        <w:tc>
          <w:tcPr>
            <w:tcW w:w="1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134"/>
        </w:trPr>
        <w:tc>
          <w:tcPr>
            <w:tcW w:w="140" w:type="dxa"/>
            <w:vAlign w:val="bottom"/>
          </w:tcPr>
          <w:p>
            <w:pPr>
              <w:spacing w:after="0"/>
              <w:rPr>
                <w:sz w:val="11"/>
                <w:szCs w:val="11"/>
                <w:color w:val="auto"/>
              </w:rPr>
            </w:pPr>
          </w:p>
        </w:tc>
        <w:tc>
          <w:tcPr>
            <w:tcW w:w="2580" w:type="dxa"/>
            <w:vAlign w:val="bottom"/>
            <w:tcBorders>
              <w:bottom w:val="single" w:sz="8" w:color="0000EE"/>
            </w:tcBorders>
            <w:gridSpan w:val="9"/>
          </w:tcPr>
          <w:p>
            <w:pPr>
              <w:spacing w:after="0" w:line="134" w:lineRule="exact"/>
              <w:rPr>
                <w:sz w:val="20"/>
                <w:szCs w:val="20"/>
                <w:color w:val="auto"/>
              </w:rPr>
            </w:pPr>
            <w:r>
              <w:rPr>
                <w:rFonts w:ascii="Arial" w:cs="Arial" w:eastAsia="Arial" w:hAnsi="Arial"/>
                <w:sz w:val="15"/>
                <w:szCs w:val="15"/>
                <w:color w:val="0000EE"/>
                <w:w w:val="97"/>
              </w:rPr>
              <w:t>Compensation Discussion and Analysis</w:t>
            </w:r>
          </w:p>
        </w:tc>
        <w:tc>
          <w:tcPr>
            <w:tcW w:w="5360" w:type="dxa"/>
            <w:vAlign w:val="bottom"/>
            <w:gridSpan w:val="12"/>
          </w:tcPr>
          <w:p>
            <w:pPr>
              <w:spacing w:after="0"/>
              <w:rPr>
                <w:sz w:val="11"/>
                <w:szCs w:val="11"/>
                <w:color w:val="auto"/>
              </w:rPr>
            </w:pPr>
          </w:p>
        </w:tc>
        <w:tc>
          <w:tcPr>
            <w:tcW w:w="2480" w:type="dxa"/>
            <w:vAlign w:val="bottom"/>
          </w:tcPr>
          <w:p>
            <w:pPr>
              <w:jc w:val="right"/>
              <w:spacing w:after="0" w:line="134" w:lineRule="exact"/>
              <w:rPr>
                <w:sz w:val="20"/>
                <w:szCs w:val="20"/>
                <w:color w:val="auto"/>
              </w:rPr>
            </w:pPr>
            <w:r>
              <w:rPr>
                <w:rFonts w:ascii="Arial" w:cs="Arial" w:eastAsia="Arial" w:hAnsi="Arial"/>
                <w:sz w:val="15"/>
                <w:szCs w:val="15"/>
                <w:color w:val="auto"/>
              </w:rPr>
              <w:t>42</w:t>
            </w:r>
          </w:p>
        </w:tc>
      </w:tr>
      <w:tr>
        <w:trPr>
          <w:trHeight w:val="161"/>
        </w:trPr>
        <w:tc>
          <w:tcPr>
            <w:tcW w:w="140" w:type="dxa"/>
            <w:vAlign w:val="bottom"/>
          </w:tcPr>
          <w:p>
            <w:pPr>
              <w:spacing w:after="0"/>
              <w:rPr>
                <w:sz w:val="14"/>
                <w:szCs w:val="14"/>
                <w:color w:val="auto"/>
              </w:rPr>
            </w:pPr>
          </w:p>
        </w:tc>
        <w:tc>
          <w:tcPr>
            <w:tcW w:w="7940" w:type="dxa"/>
            <w:vAlign w:val="bottom"/>
            <w:gridSpan w:val="21"/>
          </w:tcPr>
          <w:p>
            <w:pPr>
              <w:spacing w:after="0" w:line="161" w:lineRule="exact"/>
              <w:rPr>
                <w:sz w:val="20"/>
                <w:szCs w:val="20"/>
                <w:color w:val="auto"/>
              </w:rPr>
            </w:pPr>
            <w:r>
              <w:rPr>
                <w:rFonts w:ascii="Arial" w:cs="Arial" w:eastAsia="Arial" w:hAnsi="Arial"/>
                <w:sz w:val="15"/>
                <w:szCs w:val="15"/>
                <w:color w:val="0000EE"/>
              </w:rPr>
              <w:t>Compensation Committee Report</w:t>
            </w:r>
          </w:p>
        </w:tc>
        <w:tc>
          <w:tcPr>
            <w:tcW w:w="2480" w:type="dxa"/>
            <w:vAlign w:val="bottom"/>
          </w:tcPr>
          <w:p>
            <w:pPr>
              <w:jc w:val="right"/>
              <w:spacing w:after="0" w:line="161" w:lineRule="exact"/>
              <w:rPr>
                <w:sz w:val="20"/>
                <w:szCs w:val="20"/>
                <w:color w:val="auto"/>
              </w:rPr>
            </w:pPr>
            <w:r>
              <w:rPr>
                <w:rFonts w:ascii="Arial" w:cs="Arial" w:eastAsia="Arial" w:hAnsi="Arial"/>
                <w:sz w:val="15"/>
                <w:szCs w:val="15"/>
                <w:color w:val="auto"/>
              </w:rPr>
              <w:t>64</w:t>
            </w:r>
          </w:p>
        </w:tc>
      </w:tr>
      <w:tr>
        <w:trPr>
          <w:trHeight w:val="20"/>
        </w:trPr>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61"/>
        </w:trPr>
        <w:tc>
          <w:tcPr>
            <w:tcW w:w="140" w:type="dxa"/>
            <w:vAlign w:val="bottom"/>
          </w:tcPr>
          <w:p>
            <w:pPr>
              <w:spacing w:after="0"/>
              <w:rPr>
                <w:sz w:val="14"/>
                <w:szCs w:val="14"/>
                <w:color w:val="auto"/>
              </w:rPr>
            </w:pPr>
          </w:p>
        </w:tc>
        <w:tc>
          <w:tcPr>
            <w:tcW w:w="7940" w:type="dxa"/>
            <w:vAlign w:val="bottom"/>
            <w:gridSpan w:val="21"/>
          </w:tcPr>
          <w:p>
            <w:pPr>
              <w:spacing w:after="0" w:line="161" w:lineRule="exact"/>
              <w:rPr>
                <w:sz w:val="20"/>
                <w:szCs w:val="20"/>
                <w:color w:val="auto"/>
              </w:rPr>
            </w:pPr>
            <w:r>
              <w:rPr>
                <w:rFonts w:ascii="Arial" w:cs="Arial" w:eastAsia="Arial" w:hAnsi="Arial"/>
                <w:sz w:val="15"/>
                <w:szCs w:val="15"/>
                <w:color w:val="0000EE"/>
              </w:rPr>
              <w:t>Compensation and Organization Development Committee Interlocks and Insider Participation</w:t>
            </w:r>
          </w:p>
        </w:tc>
        <w:tc>
          <w:tcPr>
            <w:tcW w:w="2480" w:type="dxa"/>
            <w:vAlign w:val="bottom"/>
          </w:tcPr>
          <w:p>
            <w:pPr>
              <w:jc w:val="right"/>
              <w:spacing w:after="0" w:line="161" w:lineRule="exact"/>
              <w:rPr>
                <w:sz w:val="20"/>
                <w:szCs w:val="20"/>
                <w:color w:val="auto"/>
              </w:rPr>
            </w:pPr>
            <w:r>
              <w:rPr>
                <w:rFonts w:ascii="Arial" w:cs="Arial" w:eastAsia="Arial" w:hAnsi="Arial"/>
                <w:sz w:val="15"/>
                <w:szCs w:val="15"/>
                <w:color w:val="auto"/>
              </w:rPr>
              <w:t>64</w:t>
            </w:r>
          </w:p>
        </w:tc>
      </w:tr>
      <w:tr>
        <w:trPr>
          <w:trHeight w:val="161"/>
        </w:trPr>
        <w:tc>
          <w:tcPr>
            <w:tcW w:w="140" w:type="dxa"/>
            <w:vAlign w:val="bottom"/>
          </w:tcPr>
          <w:p>
            <w:pPr>
              <w:spacing w:after="0"/>
              <w:rPr>
                <w:sz w:val="14"/>
                <w:szCs w:val="14"/>
                <w:color w:val="auto"/>
              </w:rPr>
            </w:pPr>
          </w:p>
        </w:tc>
        <w:tc>
          <w:tcPr>
            <w:tcW w:w="3580" w:type="dxa"/>
            <w:vAlign w:val="bottom"/>
            <w:tcBorders>
              <w:top w:val="single" w:sz="8" w:color="0000EE"/>
              <w:bottom w:val="single" w:sz="8" w:color="0000EE"/>
            </w:tcBorders>
            <w:gridSpan w:val="16"/>
          </w:tcPr>
          <w:p>
            <w:pPr>
              <w:spacing w:after="0" w:line="161" w:lineRule="exact"/>
              <w:rPr>
                <w:sz w:val="20"/>
                <w:szCs w:val="20"/>
                <w:color w:val="auto"/>
              </w:rPr>
            </w:pPr>
            <w:r>
              <w:rPr>
                <w:rFonts w:ascii="Arial" w:cs="Arial" w:eastAsia="Arial" w:hAnsi="Arial"/>
                <w:sz w:val="15"/>
                <w:szCs w:val="15"/>
                <w:color w:val="0000EE"/>
                <w:w w:val="97"/>
              </w:rPr>
              <w:t>Tabular and Other Executive Compensation Disclosure</w:t>
            </w:r>
          </w:p>
        </w:tc>
        <w:tc>
          <w:tcPr>
            <w:tcW w:w="2460" w:type="dxa"/>
            <w:vAlign w:val="bottom"/>
            <w:tcBorders>
              <w:top w:val="single" w:sz="8" w:color="0000EE"/>
            </w:tcBorders>
            <w:gridSpan w:val="3"/>
          </w:tcPr>
          <w:p>
            <w:pPr>
              <w:spacing w:after="0"/>
              <w:rPr>
                <w:sz w:val="14"/>
                <w:szCs w:val="14"/>
                <w:color w:val="auto"/>
              </w:rPr>
            </w:pPr>
          </w:p>
        </w:tc>
        <w:tc>
          <w:tcPr>
            <w:tcW w:w="1900" w:type="dxa"/>
            <w:vAlign w:val="bottom"/>
            <w:gridSpan w:val="2"/>
          </w:tcPr>
          <w:p>
            <w:pPr>
              <w:spacing w:after="0"/>
              <w:rPr>
                <w:sz w:val="14"/>
                <w:szCs w:val="14"/>
                <w:color w:val="auto"/>
              </w:rPr>
            </w:pPr>
          </w:p>
        </w:tc>
        <w:tc>
          <w:tcPr>
            <w:tcW w:w="2480" w:type="dxa"/>
            <w:vAlign w:val="bottom"/>
          </w:tcPr>
          <w:p>
            <w:pPr>
              <w:jc w:val="right"/>
              <w:spacing w:after="0" w:line="161" w:lineRule="exact"/>
              <w:rPr>
                <w:sz w:val="20"/>
                <w:szCs w:val="20"/>
                <w:color w:val="auto"/>
              </w:rPr>
            </w:pPr>
            <w:r>
              <w:rPr>
                <w:rFonts w:ascii="Arial" w:cs="Arial" w:eastAsia="Arial" w:hAnsi="Arial"/>
                <w:sz w:val="15"/>
                <w:szCs w:val="15"/>
                <w:color w:val="auto"/>
              </w:rPr>
              <w:t>65</w:t>
            </w:r>
          </w:p>
        </w:tc>
      </w:tr>
      <w:tr>
        <w:trPr>
          <w:trHeight w:val="161"/>
        </w:trPr>
        <w:tc>
          <w:tcPr>
            <w:tcW w:w="140" w:type="dxa"/>
            <w:vAlign w:val="bottom"/>
          </w:tcPr>
          <w:p>
            <w:pPr>
              <w:spacing w:after="0"/>
              <w:rPr>
                <w:sz w:val="14"/>
                <w:szCs w:val="14"/>
                <w:color w:val="auto"/>
              </w:rPr>
            </w:pPr>
          </w:p>
        </w:tc>
        <w:tc>
          <w:tcPr>
            <w:tcW w:w="6780" w:type="dxa"/>
            <w:vAlign w:val="bottom"/>
            <w:tcBorders>
              <w:bottom w:val="single" w:sz="8" w:color="0000EE"/>
            </w:tcBorders>
            <w:gridSpan w:val="20"/>
          </w:tcPr>
          <w:p>
            <w:pPr>
              <w:spacing w:after="0" w:line="161" w:lineRule="exact"/>
              <w:rPr>
                <w:sz w:val="20"/>
                <w:szCs w:val="20"/>
                <w:color w:val="auto"/>
              </w:rPr>
            </w:pPr>
            <w:r>
              <w:rPr>
                <w:rFonts w:ascii="Arial" w:cs="Arial" w:eastAsia="Arial" w:hAnsi="Arial"/>
                <w:sz w:val="15"/>
                <w:szCs w:val="15"/>
                <w:color w:val="0000EE"/>
                <w:w w:val="97"/>
              </w:rPr>
              <w:t>Potential Payments to Named Executive Officers Upon Termination of Employment or Change in Control</w:t>
            </w:r>
          </w:p>
        </w:tc>
        <w:tc>
          <w:tcPr>
            <w:tcW w:w="1160" w:type="dxa"/>
            <w:vAlign w:val="bottom"/>
          </w:tcPr>
          <w:p>
            <w:pPr>
              <w:spacing w:after="0"/>
              <w:rPr>
                <w:sz w:val="14"/>
                <w:szCs w:val="14"/>
                <w:color w:val="auto"/>
              </w:rPr>
            </w:pPr>
          </w:p>
        </w:tc>
        <w:tc>
          <w:tcPr>
            <w:tcW w:w="2480" w:type="dxa"/>
            <w:vAlign w:val="bottom"/>
          </w:tcPr>
          <w:p>
            <w:pPr>
              <w:jc w:val="right"/>
              <w:spacing w:after="0" w:line="161" w:lineRule="exact"/>
              <w:rPr>
                <w:sz w:val="20"/>
                <w:szCs w:val="20"/>
                <w:color w:val="auto"/>
              </w:rPr>
            </w:pPr>
            <w:r>
              <w:rPr>
                <w:rFonts w:ascii="Arial" w:cs="Arial" w:eastAsia="Arial" w:hAnsi="Arial"/>
                <w:sz w:val="15"/>
                <w:szCs w:val="15"/>
                <w:color w:val="auto"/>
              </w:rPr>
              <w:t>74</w:t>
            </w:r>
          </w:p>
        </w:tc>
      </w:tr>
      <w:tr>
        <w:trPr>
          <w:trHeight w:val="161"/>
        </w:trPr>
        <w:tc>
          <w:tcPr>
            <w:tcW w:w="140" w:type="dxa"/>
            <w:vAlign w:val="bottom"/>
          </w:tcPr>
          <w:p>
            <w:pPr>
              <w:spacing w:after="0"/>
              <w:rPr>
                <w:sz w:val="14"/>
                <w:szCs w:val="14"/>
                <w:color w:val="auto"/>
              </w:rPr>
            </w:pPr>
          </w:p>
        </w:tc>
        <w:tc>
          <w:tcPr>
            <w:tcW w:w="7940" w:type="dxa"/>
            <w:vAlign w:val="bottom"/>
            <w:gridSpan w:val="21"/>
          </w:tcPr>
          <w:p>
            <w:pPr>
              <w:spacing w:after="0" w:line="161" w:lineRule="exact"/>
              <w:rPr>
                <w:sz w:val="20"/>
                <w:szCs w:val="20"/>
                <w:color w:val="auto"/>
              </w:rPr>
            </w:pPr>
            <w:r>
              <w:rPr>
                <w:rFonts w:ascii="Arial" w:cs="Arial" w:eastAsia="Arial" w:hAnsi="Arial"/>
                <w:sz w:val="15"/>
                <w:szCs w:val="15"/>
                <w:color w:val="0000EE"/>
              </w:rPr>
              <w:t>CEO Pay Ratio</w:t>
            </w:r>
          </w:p>
        </w:tc>
        <w:tc>
          <w:tcPr>
            <w:tcW w:w="2480" w:type="dxa"/>
            <w:vAlign w:val="bottom"/>
          </w:tcPr>
          <w:p>
            <w:pPr>
              <w:jc w:val="right"/>
              <w:spacing w:after="0" w:line="161" w:lineRule="exact"/>
              <w:rPr>
                <w:sz w:val="20"/>
                <w:szCs w:val="20"/>
                <w:color w:val="auto"/>
              </w:rPr>
            </w:pPr>
            <w:r>
              <w:rPr>
                <w:rFonts w:ascii="Arial" w:cs="Arial" w:eastAsia="Arial" w:hAnsi="Arial"/>
                <w:sz w:val="15"/>
                <w:szCs w:val="15"/>
                <w:color w:val="auto"/>
              </w:rPr>
              <w:t>84</w:t>
            </w:r>
          </w:p>
        </w:tc>
      </w:tr>
      <w:tr>
        <w:trPr>
          <w:trHeight w:val="20"/>
        </w:trPr>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61"/>
        </w:trPr>
        <w:tc>
          <w:tcPr>
            <w:tcW w:w="140" w:type="dxa"/>
            <w:vAlign w:val="bottom"/>
          </w:tcPr>
          <w:p>
            <w:pPr>
              <w:spacing w:after="0"/>
              <w:rPr>
                <w:sz w:val="14"/>
                <w:szCs w:val="14"/>
                <w:color w:val="auto"/>
              </w:rPr>
            </w:pPr>
          </w:p>
        </w:tc>
        <w:tc>
          <w:tcPr>
            <w:tcW w:w="7940" w:type="dxa"/>
            <w:vAlign w:val="bottom"/>
            <w:gridSpan w:val="21"/>
          </w:tcPr>
          <w:p>
            <w:pPr>
              <w:spacing w:after="0" w:line="161" w:lineRule="exact"/>
              <w:rPr>
                <w:sz w:val="20"/>
                <w:szCs w:val="20"/>
                <w:color w:val="auto"/>
              </w:rPr>
            </w:pPr>
            <w:r>
              <w:rPr>
                <w:rFonts w:ascii="Arial" w:cs="Arial" w:eastAsia="Arial" w:hAnsi="Arial"/>
                <w:sz w:val="15"/>
                <w:szCs w:val="15"/>
                <w:color w:val="0000EE"/>
              </w:rPr>
              <w:t>Pay Versus Performance</w:t>
            </w:r>
          </w:p>
        </w:tc>
        <w:tc>
          <w:tcPr>
            <w:tcW w:w="2480" w:type="dxa"/>
            <w:vAlign w:val="bottom"/>
          </w:tcPr>
          <w:p>
            <w:pPr>
              <w:jc w:val="right"/>
              <w:spacing w:after="0" w:line="161" w:lineRule="exact"/>
              <w:rPr>
                <w:sz w:val="20"/>
                <w:szCs w:val="20"/>
                <w:color w:val="auto"/>
              </w:rPr>
            </w:pPr>
            <w:r>
              <w:rPr>
                <w:rFonts w:ascii="Arial" w:cs="Arial" w:eastAsia="Arial" w:hAnsi="Arial"/>
                <w:sz w:val="15"/>
                <w:szCs w:val="15"/>
                <w:color w:val="auto"/>
              </w:rPr>
              <w:t>86</w:t>
            </w:r>
          </w:p>
        </w:tc>
      </w:tr>
      <w:tr>
        <w:trPr>
          <w:trHeight w:val="20"/>
        </w:trPr>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78"/>
        </w:trPr>
        <w:tc>
          <w:tcPr>
            <w:tcW w:w="8080" w:type="dxa"/>
            <w:vAlign w:val="bottom"/>
            <w:gridSpan w:val="22"/>
          </w:tcPr>
          <w:p>
            <w:pPr>
              <w:spacing w:after="0"/>
              <w:rPr>
                <w:sz w:val="20"/>
                <w:szCs w:val="20"/>
                <w:color w:val="auto"/>
              </w:rPr>
            </w:pPr>
            <w:r>
              <w:rPr>
                <w:rFonts w:ascii="Arial" w:cs="Arial" w:eastAsia="Arial" w:hAnsi="Arial"/>
                <w:sz w:val="16"/>
                <w:szCs w:val="16"/>
                <w:b w:val="1"/>
                <w:bCs w:val="1"/>
                <w:color w:val="0000EE"/>
              </w:rPr>
              <w:t>NON-EMPLOYEE DIRECTOR COMPENSATION</w:t>
            </w: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90</w:t>
            </w:r>
          </w:p>
        </w:tc>
      </w:tr>
      <w:tr>
        <w:trPr>
          <w:trHeight w:val="20"/>
        </w:trPr>
        <w:tc>
          <w:tcPr>
            <w:tcW w:w="1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134"/>
        </w:trPr>
        <w:tc>
          <w:tcPr>
            <w:tcW w:w="140" w:type="dxa"/>
            <w:vAlign w:val="bottom"/>
          </w:tcPr>
          <w:p>
            <w:pPr>
              <w:spacing w:after="0"/>
              <w:rPr>
                <w:sz w:val="11"/>
                <w:szCs w:val="11"/>
                <w:color w:val="auto"/>
              </w:rPr>
            </w:pPr>
          </w:p>
        </w:tc>
        <w:tc>
          <w:tcPr>
            <w:tcW w:w="7940" w:type="dxa"/>
            <w:vAlign w:val="bottom"/>
            <w:gridSpan w:val="21"/>
          </w:tcPr>
          <w:p>
            <w:pPr>
              <w:spacing w:after="0" w:line="134" w:lineRule="exact"/>
              <w:rPr>
                <w:sz w:val="20"/>
                <w:szCs w:val="20"/>
                <w:color w:val="auto"/>
              </w:rPr>
            </w:pPr>
            <w:r>
              <w:rPr>
                <w:rFonts w:ascii="Arial" w:cs="Arial" w:eastAsia="Arial" w:hAnsi="Arial"/>
                <w:sz w:val="15"/>
                <w:szCs w:val="15"/>
                <w:color w:val="0000EE"/>
              </w:rPr>
              <w:t>Description of Director Compensation for Fiscal 2026</w:t>
            </w:r>
          </w:p>
        </w:tc>
        <w:tc>
          <w:tcPr>
            <w:tcW w:w="2480" w:type="dxa"/>
            <w:vAlign w:val="bottom"/>
          </w:tcPr>
          <w:p>
            <w:pPr>
              <w:jc w:val="right"/>
              <w:spacing w:after="0" w:line="134" w:lineRule="exact"/>
              <w:rPr>
                <w:sz w:val="20"/>
                <w:szCs w:val="20"/>
                <w:color w:val="auto"/>
              </w:rPr>
            </w:pPr>
            <w:r>
              <w:rPr>
                <w:rFonts w:ascii="Arial" w:cs="Arial" w:eastAsia="Arial" w:hAnsi="Arial"/>
                <w:sz w:val="15"/>
                <w:szCs w:val="15"/>
                <w:color w:val="auto"/>
              </w:rPr>
              <w:t>90</w:t>
            </w:r>
          </w:p>
        </w:tc>
      </w:tr>
      <w:tr>
        <w:trPr>
          <w:trHeight w:val="161"/>
        </w:trPr>
        <w:tc>
          <w:tcPr>
            <w:tcW w:w="140" w:type="dxa"/>
            <w:vAlign w:val="bottom"/>
          </w:tcPr>
          <w:p>
            <w:pPr>
              <w:spacing w:after="0"/>
              <w:rPr>
                <w:sz w:val="14"/>
                <w:szCs w:val="14"/>
                <w:color w:val="auto"/>
              </w:rPr>
            </w:pPr>
          </w:p>
        </w:tc>
        <w:tc>
          <w:tcPr>
            <w:tcW w:w="3440" w:type="dxa"/>
            <w:vAlign w:val="bottom"/>
            <w:tcBorders>
              <w:top w:val="single" w:sz="8" w:color="0000EE"/>
            </w:tcBorders>
            <w:gridSpan w:val="15"/>
          </w:tcPr>
          <w:p>
            <w:pPr>
              <w:spacing w:after="0" w:line="161" w:lineRule="exact"/>
              <w:rPr>
                <w:sz w:val="20"/>
                <w:szCs w:val="20"/>
                <w:color w:val="auto"/>
              </w:rPr>
            </w:pPr>
            <w:r>
              <w:rPr>
                <w:rFonts w:ascii="Arial" w:cs="Arial" w:eastAsia="Arial" w:hAnsi="Arial"/>
                <w:sz w:val="15"/>
                <w:szCs w:val="15"/>
                <w:color w:val="0000EE"/>
              </w:rPr>
              <w:t>Director Compensation Table for Fiscal 2026</w:t>
            </w:r>
          </w:p>
        </w:tc>
        <w:tc>
          <w:tcPr>
            <w:tcW w:w="4500" w:type="dxa"/>
            <w:vAlign w:val="bottom"/>
            <w:gridSpan w:val="6"/>
          </w:tcPr>
          <w:p>
            <w:pPr>
              <w:spacing w:after="0"/>
              <w:rPr>
                <w:sz w:val="14"/>
                <w:szCs w:val="14"/>
                <w:color w:val="auto"/>
              </w:rPr>
            </w:pPr>
          </w:p>
        </w:tc>
        <w:tc>
          <w:tcPr>
            <w:tcW w:w="2480" w:type="dxa"/>
            <w:vAlign w:val="bottom"/>
          </w:tcPr>
          <w:p>
            <w:pPr>
              <w:jc w:val="right"/>
              <w:spacing w:after="0" w:line="161" w:lineRule="exact"/>
              <w:rPr>
                <w:sz w:val="20"/>
                <w:szCs w:val="20"/>
                <w:color w:val="auto"/>
              </w:rPr>
            </w:pPr>
            <w:r>
              <w:rPr>
                <w:rFonts w:ascii="Arial" w:cs="Arial" w:eastAsia="Arial" w:hAnsi="Arial"/>
                <w:sz w:val="15"/>
                <w:szCs w:val="15"/>
                <w:color w:val="auto"/>
              </w:rPr>
              <w:t>91</w:t>
            </w:r>
          </w:p>
        </w:tc>
      </w:tr>
      <w:tr>
        <w:trPr>
          <w:trHeight w:val="20"/>
        </w:trPr>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78"/>
        </w:trPr>
        <w:tc>
          <w:tcPr>
            <w:tcW w:w="8080" w:type="dxa"/>
            <w:vAlign w:val="bottom"/>
            <w:gridSpan w:val="22"/>
          </w:tcPr>
          <w:p>
            <w:pPr>
              <w:spacing w:after="0"/>
              <w:rPr>
                <w:sz w:val="20"/>
                <w:szCs w:val="20"/>
                <w:color w:val="auto"/>
              </w:rPr>
            </w:pPr>
            <w:r>
              <w:rPr>
                <w:rFonts w:ascii="Arial" w:cs="Arial" w:eastAsia="Arial" w:hAnsi="Arial"/>
                <w:sz w:val="16"/>
                <w:szCs w:val="16"/>
                <w:b w:val="1"/>
                <w:bCs w:val="1"/>
                <w:color w:val="0000EE"/>
              </w:rPr>
              <w:t>NON-EMPLOYEE DIRECTOR STOCK OWNERSHIP GUIDELINES</w:t>
            </w: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92</w:t>
            </w:r>
          </w:p>
        </w:tc>
      </w:tr>
      <w:tr>
        <w:trPr>
          <w:trHeight w:val="20"/>
        </w:trPr>
        <w:tc>
          <w:tcPr>
            <w:tcW w:w="1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251"/>
        </w:trPr>
        <w:tc>
          <w:tcPr>
            <w:tcW w:w="8080" w:type="dxa"/>
            <w:vAlign w:val="bottom"/>
            <w:gridSpan w:val="22"/>
          </w:tcPr>
          <w:p>
            <w:pPr>
              <w:spacing w:after="0"/>
              <w:rPr>
                <w:sz w:val="20"/>
                <w:szCs w:val="20"/>
                <w:color w:val="auto"/>
              </w:rPr>
            </w:pPr>
            <w:r>
              <w:rPr>
                <w:rFonts w:ascii="Arial" w:cs="Arial" w:eastAsia="Arial" w:hAnsi="Arial"/>
                <w:sz w:val="16"/>
                <w:szCs w:val="16"/>
                <w:b w:val="1"/>
                <w:bCs w:val="1"/>
                <w:color w:val="0000EE"/>
              </w:rPr>
              <w:t>OWNERSHIP OF VOTING SECURITIES</w:t>
            </w: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93</w:t>
            </w:r>
          </w:p>
        </w:tc>
      </w:tr>
      <w:tr>
        <w:trPr>
          <w:trHeight w:val="20"/>
        </w:trPr>
        <w:tc>
          <w:tcPr>
            <w:tcW w:w="1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134"/>
        </w:trPr>
        <w:tc>
          <w:tcPr>
            <w:tcW w:w="140" w:type="dxa"/>
            <w:vAlign w:val="bottom"/>
          </w:tcPr>
          <w:p>
            <w:pPr>
              <w:spacing w:after="0"/>
              <w:rPr>
                <w:sz w:val="11"/>
                <w:szCs w:val="11"/>
                <w:color w:val="auto"/>
              </w:rPr>
            </w:pPr>
          </w:p>
        </w:tc>
        <w:tc>
          <w:tcPr>
            <w:tcW w:w="7940" w:type="dxa"/>
            <w:vAlign w:val="bottom"/>
            <w:gridSpan w:val="21"/>
          </w:tcPr>
          <w:p>
            <w:pPr>
              <w:spacing w:after="0" w:line="134" w:lineRule="exact"/>
              <w:rPr>
                <w:sz w:val="20"/>
                <w:szCs w:val="20"/>
                <w:color w:val="auto"/>
              </w:rPr>
            </w:pPr>
            <w:r>
              <w:rPr>
                <w:rFonts w:ascii="Arial" w:cs="Arial" w:eastAsia="Arial" w:hAnsi="Arial"/>
                <w:sz w:val="15"/>
                <w:szCs w:val="15"/>
                <w:color w:val="0000EE"/>
              </w:rPr>
              <w:t>Greater than 5% Owners</w:t>
            </w:r>
          </w:p>
        </w:tc>
        <w:tc>
          <w:tcPr>
            <w:tcW w:w="2480" w:type="dxa"/>
            <w:vAlign w:val="bottom"/>
          </w:tcPr>
          <w:p>
            <w:pPr>
              <w:jc w:val="right"/>
              <w:spacing w:after="0" w:line="134" w:lineRule="exact"/>
              <w:rPr>
                <w:sz w:val="20"/>
                <w:szCs w:val="20"/>
                <w:color w:val="auto"/>
              </w:rPr>
            </w:pPr>
            <w:r>
              <w:rPr>
                <w:rFonts w:ascii="Arial" w:cs="Arial" w:eastAsia="Arial" w:hAnsi="Arial"/>
                <w:sz w:val="15"/>
                <w:szCs w:val="15"/>
                <w:color w:val="auto"/>
              </w:rPr>
              <w:t>93</w:t>
            </w:r>
          </w:p>
        </w:tc>
      </w:tr>
      <w:tr>
        <w:trPr>
          <w:trHeight w:val="20"/>
        </w:trPr>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61"/>
        </w:trPr>
        <w:tc>
          <w:tcPr>
            <w:tcW w:w="140" w:type="dxa"/>
            <w:vAlign w:val="bottom"/>
          </w:tcPr>
          <w:p>
            <w:pPr>
              <w:spacing w:after="0"/>
              <w:rPr>
                <w:sz w:val="14"/>
                <w:szCs w:val="14"/>
                <w:color w:val="auto"/>
              </w:rPr>
            </w:pPr>
          </w:p>
        </w:tc>
        <w:tc>
          <w:tcPr>
            <w:tcW w:w="3420" w:type="dxa"/>
            <w:vAlign w:val="bottom"/>
            <w:tcBorders>
              <w:bottom w:val="single" w:sz="8" w:color="0000EE"/>
            </w:tcBorders>
            <w:gridSpan w:val="14"/>
          </w:tcPr>
          <w:p>
            <w:pPr>
              <w:spacing w:after="0" w:line="161" w:lineRule="exact"/>
              <w:rPr>
                <w:sz w:val="20"/>
                <w:szCs w:val="20"/>
                <w:color w:val="auto"/>
              </w:rPr>
            </w:pPr>
            <w:r>
              <w:rPr>
                <w:rFonts w:ascii="Arial" w:cs="Arial" w:eastAsia="Arial" w:hAnsi="Arial"/>
                <w:sz w:val="15"/>
                <w:szCs w:val="15"/>
                <w:color w:val="0000EE"/>
                <w:w w:val="97"/>
              </w:rPr>
              <w:t>Stock Ownership of Directors and Executive Officers</w:t>
            </w:r>
          </w:p>
        </w:tc>
        <w:tc>
          <w:tcPr>
            <w:tcW w:w="4520" w:type="dxa"/>
            <w:vAlign w:val="bottom"/>
            <w:gridSpan w:val="7"/>
          </w:tcPr>
          <w:p>
            <w:pPr>
              <w:spacing w:after="0"/>
              <w:rPr>
                <w:sz w:val="14"/>
                <w:szCs w:val="14"/>
                <w:color w:val="auto"/>
              </w:rPr>
            </w:pPr>
          </w:p>
        </w:tc>
        <w:tc>
          <w:tcPr>
            <w:tcW w:w="2480" w:type="dxa"/>
            <w:vAlign w:val="bottom"/>
          </w:tcPr>
          <w:p>
            <w:pPr>
              <w:jc w:val="right"/>
              <w:spacing w:after="0" w:line="161" w:lineRule="exact"/>
              <w:rPr>
                <w:sz w:val="20"/>
                <w:szCs w:val="20"/>
                <w:color w:val="auto"/>
              </w:rPr>
            </w:pPr>
            <w:r>
              <w:rPr>
                <w:rFonts w:ascii="Arial" w:cs="Arial" w:eastAsia="Arial" w:hAnsi="Arial"/>
                <w:sz w:val="15"/>
                <w:szCs w:val="15"/>
                <w:color w:val="auto"/>
              </w:rPr>
              <w:t>94</w:t>
            </w:r>
          </w:p>
        </w:tc>
      </w:tr>
      <w:tr>
        <w:trPr>
          <w:trHeight w:val="161"/>
        </w:trPr>
        <w:tc>
          <w:tcPr>
            <w:tcW w:w="140" w:type="dxa"/>
            <w:vAlign w:val="bottom"/>
          </w:tcPr>
          <w:p>
            <w:pPr>
              <w:spacing w:after="0"/>
              <w:rPr>
                <w:sz w:val="14"/>
                <w:szCs w:val="14"/>
                <w:color w:val="auto"/>
              </w:rPr>
            </w:pPr>
          </w:p>
        </w:tc>
        <w:tc>
          <w:tcPr>
            <w:tcW w:w="2740" w:type="dxa"/>
            <w:vAlign w:val="bottom"/>
            <w:tcBorders>
              <w:bottom w:val="single" w:sz="8" w:color="0000EE"/>
            </w:tcBorders>
            <w:gridSpan w:val="11"/>
          </w:tcPr>
          <w:p>
            <w:pPr>
              <w:spacing w:after="0" w:line="161" w:lineRule="exact"/>
              <w:rPr>
                <w:sz w:val="20"/>
                <w:szCs w:val="20"/>
                <w:color w:val="auto"/>
              </w:rPr>
            </w:pPr>
            <w:r>
              <w:rPr>
                <w:rFonts w:ascii="Arial" w:cs="Arial" w:eastAsia="Arial" w:hAnsi="Arial"/>
                <w:sz w:val="15"/>
                <w:szCs w:val="15"/>
                <w:color w:val="0000EE"/>
                <w:w w:val="97"/>
              </w:rPr>
              <w:t>Shares and Career Restricted Stock Units</w:t>
            </w:r>
          </w:p>
        </w:tc>
        <w:tc>
          <w:tcPr>
            <w:tcW w:w="5200" w:type="dxa"/>
            <w:vAlign w:val="bottom"/>
            <w:gridSpan w:val="10"/>
          </w:tcPr>
          <w:p>
            <w:pPr>
              <w:spacing w:after="0"/>
              <w:rPr>
                <w:sz w:val="14"/>
                <w:szCs w:val="14"/>
                <w:color w:val="auto"/>
              </w:rPr>
            </w:pPr>
          </w:p>
        </w:tc>
        <w:tc>
          <w:tcPr>
            <w:tcW w:w="2480" w:type="dxa"/>
            <w:vAlign w:val="bottom"/>
          </w:tcPr>
          <w:p>
            <w:pPr>
              <w:jc w:val="right"/>
              <w:spacing w:after="0" w:line="161" w:lineRule="exact"/>
              <w:rPr>
                <w:sz w:val="20"/>
                <w:szCs w:val="20"/>
                <w:color w:val="auto"/>
              </w:rPr>
            </w:pPr>
            <w:r>
              <w:rPr>
                <w:rFonts w:ascii="Arial" w:cs="Arial" w:eastAsia="Arial" w:hAnsi="Arial"/>
                <w:sz w:val="15"/>
                <w:szCs w:val="15"/>
                <w:color w:val="auto"/>
              </w:rPr>
              <w:t>95</w:t>
            </w:r>
          </w:p>
        </w:tc>
      </w:tr>
      <w:tr>
        <w:trPr>
          <w:trHeight w:val="278"/>
        </w:trPr>
        <w:tc>
          <w:tcPr>
            <w:tcW w:w="8080" w:type="dxa"/>
            <w:vAlign w:val="bottom"/>
            <w:gridSpan w:val="22"/>
          </w:tcPr>
          <w:p>
            <w:pPr>
              <w:spacing w:after="0"/>
              <w:rPr>
                <w:sz w:val="20"/>
                <w:szCs w:val="20"/>
                <w:color w:val="auto"/>
              </w:rPr>
            </w:pPr>
            <w:r>
              <w:rPr>
                <w:rFonts w:ascii="Arial" w:cs="Arial" w:eastAsia="Arial" w:hAnsi="Arial"/>
                <w:sz w:val="16"/>
                <w:szCs w:val="16"/>
                <w:b w:val="1"/>
                <w:bCs w:val="1"/>
                <w:color w:val="0000EE"/>
              </w:rPr>
              <w:t>SHAREHOLDER NOMINATIONS OF DIRECTORS AND NOMINEE CRITERIA</w:t>
            </w: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96</w:t>
            </w:r>
          </w:p>
        </w:tc>
      </w:tr>
      <w:tr>
        <w:trPr>
          <w:trHeight w:val="20"/>
        </w:trPr>
        <w:tc>
          <w:tcPr>
            <w:tcW w:w="1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251"/>
        </w:trPr>
        <w:tc>
          <w:tcPr>
            <w:tcW w:w="8080" w:type="dxa"/>
            <w:vAlign w:val="bottom"/>
            <w:gridSpan w:val="22"/>
          </w:tcPr>
          <w:p>
            <w:pPr>
              <w:spacing w:after="0"/>
              <w:rPr>
                <w:sz w:val="20"/>
                <w:szCs w:val="20"/>
                <w:color w:val="auto"/>
              </w:rPr>
            </w:pPr>
            <w:r>
              <w:rPr>
                <w:rFonts w:ascii="Arial" w:cs="Arial" w:eastAsia="Arial" w:hAnsi="Arial"/>
                <w:sz w:val="16"/>
                <w:szCs w:val="16"/>
                <w:b w:val="1"/>
                <w:bCs w:val="1"/>
                <w:color w:val="0000EE"/>
              </w:rPr>
              <w:t>SHAREHOLDER PROPOSALS</w:t>
            </w: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99</w:t>
            </w:r>
          </w:p>
        </w:tc>
      </w:tr>
      <w:tr>
        <w:trPr>
          <w:trHeight w:val="20"/>
        </w:trPr>
        <w:tc>
          <w:tcPr>
            <w:tcW w:w="1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251"/>
        </w:trPr>
        <w:tc>
          <w:tcPr>
            <w:tcW w:w="8080" w:type="dxa"/>
            <w:vAlign w:val="bottom"/>
            <w:gridSpan w:val="22"/>
          </w:tcPr>
          <w:p>
            <w:pPr>
              <w:spacing w:after="0"/>
              <w:rPr>
                <w:sz w:val="20"/>
                <w:szCs w:val="20"/>
                <w:color w:val="auto"/>
              </w:rPr>
            </w:pPr>
            <w:r>
              <w:rPr>
                <w:rFonts w:ascii="Arial" w:cs="Arial" w:eastAsia="Arial" w:hAnsi="Arial"/>
                <w:sz w:val="16"/>
                <w:szCs w:val="16"/>
                <w:b w:val="1"/>
                <w:bCs w:val="1"/>
                <w:color w:val="0000EE"/>
              </w:rPr>
              <w:t>MISCELLANEOUS MATTERS</w:t>
            </w: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101</w:t>
            </w:r>
          </w:p>
        </w:tc>
      </w:tr>
      <w:tr>
        <w:trPr>
          <w:trHeight w:val="20"/>
        </w:trPr>
        <w:tc>
          <w:tcPr>
            <w:tcW w:w="1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251"/>
        </w:trPr>
        <w:tc>
          <w:tcPr>
            <w:tcW w:w="8080" w:type="dxa"/>
            <w:vAlign w:val="bottom"/>
            <w:gridSpan w:val="22"/>
          </w:tcPr>
          <w:p>
            <w:pPr>
              <w:spacing w:after="0"/>
              <w:rPr>
                <w:sz w:val="20"/>
                <w:szCs w:val="20"/>
                <w:color w:val="auto"/>
              </w:rPr>
            </w:pPr>
            <w:r>
              <w:rPr>
                <w:rFonts w:ascii="Arial" w:cs="Arial" w:eastAsia="Arial" w:hAnsi="Arial"/>
                <w:sz w:val="16"/>
                <w:szCs w:val="16"/>
                <w:b w:val="1"/>
                <w:bCs w:val="1"/>
                <w:color w:val="0000EE"/>
              </w:rPr>
              <w:t>ANNUAL REPORT</w:t>
            </w: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102</w:t>
            </w:r>
          </w:p>
        </w:tc>
      </w:tr>
      <w:tr>
        <w:trPr>
          <w:trHeight w:val="20"/>
        </w:trPr>
        <w:tc>
          <w:tcPr>
            <w:tcW w:w="1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251"/>
        </w:trPr>
        <w:tc>
          <w:tcPr>
            <w:tcW w:w="8080" w:type="dxa"/>
            <w:vAlign w:val="bottom"/>
            <w:gridSpan w:val="22"/>
          </w:tcPr>
          <w:p>
            <w:pPr>
              <w:spacing w:after="0"/>
              <w:rPr>
                <w:sz w:val="20"/>
                <w:szCs w:val="20"/>
                <w:color w:val="auto"/>
              </w:rPr>
            </w:pPr>
            <w:r>
              <w:rPr>
                <w:rFonts w:ascii="Arial" w:cs="Arial" w:eastAsia="Arial" w:hAnsi="Arial"/>
                <w:sz w:val="16"/>
                <w:szCs w:val="16"/>
                <w:b w:val="1"/>
                <w:bCs w:val="1"/>
                <w:color w:val="0000EE"/>
              </w:rPr>
              <w:t>APPENDIX A</w:t>
            </w: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A-1</w:t>
            </w:r>
          </w:p>
        </w:tc>
      </w:tr>
      <w:tr>
        <w:trPr>
          <w:trHeight w:val="20"/>
        </w:trPr>
        <w:tc>
          <w:tcPr>
            <w:tcW w:w="1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322"/>
        </w:trPr>
        <w:tc>
          <w:tcPr>
            <w:tcW w:w="8080" w:type="dxa"/>
            <w:vAlign w:val="bottom"/>
            <w:gridSpan w:val="22"/>
          </w:tcPr>
          <w:p>
            <w:pPr>
              <w:spacing w:after="0"/>
              <w:rPr>
                <w:sz w:val="20"/>
                <w:szCs w:val="20"/>
                <w:color w:val="auto"/>
              </w:rPr>
            </w:pPr>
            <w:r>
              <w:rPr>
                <w:rFonts w:ascii="Arial" w:cs="Arial" w:eastAsia="Arial" w:hAnsi="Arial"/>
                <w:sz w:val="16"/>
                <w:szCs w:val="16"/>
                <w:color w:val="auto"/>
              </w:rPr>
              <w:t xml:space="preserve">ii 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tc>
        <w:tc>
          <w:tcPr>
            <w:tcW w:w="2480" w:type="dxa"/>
            <w:vAlign w:val="bottom"/>
          </w:tcPr>
          <w:p>
            <w:pPr>
              <w:spacing w:after="0"/>
              <w:rPr>
                <w:sz w:val="24"/>
                <w:szCs w:val="24"/>
                <w:color w:val="auto"/>
              </w:rPr>
            </w:pPr>
          </w:p>
        </w:tc>
      </w:tr>
    </w:tbl>
    <w:p>
      <w:pPr>
        <w:sectPr>
          <w:pgSz w:w="11900" w:h="16838" w:orient="portrait"/>
          <w:cols w:equalWidth="0" w:num="1">
            <w:col w:w="10900"/>
          </w:cols>
          <w:pgMar w:left="320" w:top="469" w:right="6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287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10045" cy="2876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3E8EDE"/>
        </w:rPr>
        <w:t>PROXY SUMMARY</w:t>
      </w:r>
    </w:p>
    <w:p>
      <w:pPr>
        <w:spacing w:after="0" w:line="100" w:lineRule="exact"/>
        <w:rPr>
          <w:sz w:val="20"/>
          <w:szCs w:val="20"/>
          <w:color w:val="auto"/>
        </w:rPr>
      </w:pPr>
    </w:p>
    <w:p>
      <w:pPr>
        <w:ind w:left="340"/>
        <w:spacing w:after="0" w:line="265" w:lineRule="auto"/>
        <w:rPr>
          <w:sz w:val="20"/>
          <w:szCs w:val="20"/>
          <w:color w:val="auto"/>
        </w:rPr>
      </w:pPr>
      <w:r>
        <w:rPr>
          <w:rFonts w:ascii="Arial" w:cs="Arial" w:eastAsia="Arial" w:hAnsi="Arial"/>
          <w:sz w:val="18"/>
          <w:szCs w:val="18"/>
          <w:color w:val="auto"/>
        </w:rPr>
        <w:t>This summary highlights certain information contained elsewhere in this Proxy Statement or in the other documents being distributed or made available to shareholders in conjunction with this Proxy Statement, but does not contain all the information you should consider prior to casting your vote. Therefore, you should read this entire Proxy Statement carefully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-429260</wp:posOffset>
            </wp:positionV>
            <wp:extent cx="67100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General Information</w:t>
      </w:r>
    </w:p>
    <w:p>
      <w:pPr>
        <w:spacing w:after="0" w:line="265" w:lineRule="exact"/>
        <w:rPr>
          <w:sz w:val="20"/>
          <w:szCs w:val="20"/>
          <w:color w:val="auto"/>
        </w:rPr>
      </w:pPr>
    </w:p>
    <w:tbl>
      <w:tblPr>
        <w:tblLayout w:type="fixed"/>
        <w:tblInd w:w="340" w:type="dxa"/>
        <w:tblCellMar>
          <w:top w:w="0" w:type="dxa"/>
          <w:left w:w="0" w:type="dxa"/>
          <w:bottom w:w="0" w:type="dxa"/>
          <w:right w:w="0" w:type="dxa"/>
        </w:tblCellMar>
      </w:tblPr>
      <w:tr>
        <w:trPr>
          <w:trHeight w:val="285"/>
        </w:trPr>
        <w:tc>
          <w:tcPr>
            <w:tcW w:w="6240" w:type="dxa"/>
            <w:vAlign w:val="bottom"/>
            <w:shd w:val="clear" w:color="auto" w:fill="CEE2F6"/>
          </w:tcPr>
          <w:p>
            <w:pPr>
              <w:ind w:left="80"/>
              <w:spacing w:after="0"/>
              <w:rPr>
                <w:sz w:val="20"/>
                <w:szCs w:val="20"/>
                <w:color w:val="auto"/>
              </w:rPr>
            </w:pPr>
            <w:r>
              <w:rPr>
                <w:rFonts w:ascii="Arial" w:cs="Arial" w:eastAsia="Arial" w:hAnsi="Arial"/>
                <w:sz w:val="19"/>
                <w:szCs w:val="19"/>
                <w:color w:val="auto"/>
              </w:rPr>
              <w:t>Meeting Date:</w:t>
            </w:r>
          </w:p>
        </w:tc>
        <w:tc>
          <w:tcPr>
            <w:tcW w:w="4320" w:type="dxa"/>
            <w:vAlign w:val="bottom"/>
            <w:shd w:val="clear" w:color="auto" w:fill="CEE2F6"/>
          </w:tcPr>
          <w:p>
            <w:pPr>
              <w:ind w:left="200"/>
              <w:spacing w:after="0"/>
              <w:rPr>
                <w:sz w:val="20"/>
                <w:szCs w:val="20"/>
                <w:color w:val="auto"/>
              </w:rPr>
            </w:pPr>
            <w:r>
              <w:rPr>
                <w:rFonts w:ascii="Arial" w:cs="Arial" w:eastAsia="Arial" w:hAnsi="Arial"/>
                <w:sz w:val="19"/>
                <w:szCs w:val="19"/>
                <w:color w:val="auto"/>
              </w:rPr>
              <w:t>July 31, 2026</w:t>
            </w:r>
          </w:p>
        </w:tc>
      </w:tr>
      <w:tr>
        <w:trPr>
          <w:trHeight w:val="238"/>
        </w:trPr>
        <w:tc>
          <w:tcPr>
            <w:tcW w:w="6240" w:type="dxa"/>
            <w:vAlign w:val="bottom"/>
          </w:tcPr>
          <w:p>
            <w:pPr>
              <w:ind w:left="80"/>
              <w:spacing w:after="0"/>
              <w:rPr>
                <w:sz w:val="20"/>
                <w:szCs w:val="20"/>
                <w:color w:val="auto"/>
              </w:rPr>
            </w:pPr>
            <w:r>
              <w:rPr>
                <w:rFonts w:ascii="Arial" w:cs="Arial" w:eastAsia="Arial" w:hAnsi="Arial"/>
                <w:sz w:val="19"/>
                <w:szCs w:val="19"/>
                <w:color w:val="auto"/>
              </w:rPr>
              <w:t>Meeting Time:</w:t>
            </w:r>
          </w:p>
        </w:tc>
        <w:tc>
          <w:tcPr>
            <w:tcW w:w="4320" w:type="dxa"/>
            <w:vAlign w:val="bottom"/>
          </w:tcPr>
          <w:p>
            <w:pPr>
              <w:ind w:left="200"/>
              <w:spacing w:after="0"/>
              <w:rPr>
                <w:sz w:val="20"/>
                <w:szCs w:val="20"/>
                <w:color w:val="auto"/>
              </w:rPr>
            </w:pPr>
            <w:r>
              <w:rPr>
                <w:rFonts w:ascii="Arial" w:cs="Arial" w:eastAsia="Arial" w:hAnsi="Arial"/>
                <w:sz w:val="19"/>
                <w:szCs w:val="19"/>
                <w:color w:val="auto"/>
              </w:rPr>
              <w:t>9:00 a.m. Irish Standard Time (4:00 a.m.</w:t>
            </w:r>
          </w:p>
        </w:tc>
      </w:tr>
      <w:tr>
        <w:trPr>
          <w:trHeight w:val="252"/>
        </w:trPr>
        <w:tc>
          <w:tcPr>
            <w:tcW w:w="6240" w:type="dxa"/>
            <w:vAlign w:val="bottom"/>
          </w:tcPr>
          <w:p>
            <w:pPr>
              <w:spacing w:after="0"/>
              <w:rPr>
                <w:sz w:val="21"/>
                <w:szCs w:val="21"/>
                <w:color w:val="auto"/>
              </w:rPr>
            </w:pPr>
          </w:p>
        </w:tc>
        <w:tc>
          <w:tcPr>
            <w:tcW w:w="4320" w:type="dxa"/>
            <w:vAlign w:val="bottom"/>
          </w:tcPr>
          <w:p>
            <w:pPr>
              <w:ind w:left="200"/>
              <w:spacing w:after="0"/>
              <w:rPr>
                <w:sz w:val="20"/>
                <w:szCs w:val="20"/>
                <w:color w:val="auto"/>
              </w:rPr>
            </w:pPr>
            <w:r>
              <w:rPr>
                <w:rFonts w:ascii="Arial" w:cs="Arial" w:eastAsia="Arial" w:hAnsi="Arial"/>
                <w:sz w:val="19"/>
                <w:szCs w:val="19"/>
                <w:color w:val="auto"/>
              </w:rPr>
              <w:t>Eastern Daylight Time)</w:t>
            </w:r>
          </w:p>
        </w:tc>
      </w:tr>
      <w:tr>
        <w:trPr>
          <w:trHeight w:val="240"/>
        </w:trPr>
        <w:tc>
          <w:tcPr>
            <w:tcW w:w="6240" w:type="dxa"/>
            <w:vAlign w:val="bottom"/>
            <w:shd w:val="clear" w:color="auto" w:fill="CEE2F6"/>
          </w:tcPr>
          <w:p>
            <w:pPr>
              <w:ind w:left="80"/>
              <w:spacing w:after="0"/>
              <w:rPr>
                <w:sz w:val="20"/>
                <w:szCs w:val="20"/>
                <w:color w:val="auto"/>
              </w:rPr>
            </w:pPr>
            <w:r>
              <w:rPr>
                <w:rFonts w:ascii="Arial" w:cs="Arial" w:eastAsia="Arial" w:hAnsi="Arial"/>
                <w:sz w:val="19"/>
                <w:szCs w:val="19"/>
                <w:color w:val="auto"/>
              </w:rPr>
              <w:t>Meeting Location:</w:t>
            </w:r>
          </w:p>
        </w:tc>
        <w:tc>
          <w:tcPr>
            <w:tcW w:w="4320" w:type="dxa"/>
            <w:vAlign w:val="bottom"/>
            <w:shd w:val="clear" w:color="auto" w:fill="CEE2F6"/>
          </w:tcPr>
          <w:p>
            <w:pPr>
              <w:ind w:left="200"/>
              <w:spacing w:after="0"/>
              <w:rPr>
                <w:sz w:val="20"/>
                <w:szCs w:val="20"/>
                <w:color w:val="auto"/>
              </w:rPr>
            </w:pPr>
            <w:r>
              <w:rPr>
                <w:rFonts w:ascii="Arial" w:cs="Arial" w:eastAsia="Arial" w:hAnsi="Arial"/>
                <w:sz w:val="19"/>
                <w:szCs w:val="19"/>
                <w:color w:val="auto"/>
              </w:rPr>
              <w:t>70 Sir John Rogerson’s Quay</w:t>
            </w:r>
          </w:p>
        </w:tc>
      </w:tr>
      <w:tr>
        <w:trPr>
          <w:trHeight w:val="255"/>
        </w:trPr>
        <w:tc>
          <w:tcPr>
            <w:tcW w:w="6240" w:type="dxa"/>
            <w:vAlign w:val="bottom"/>
            <w:shd w:val="clear" w:color="auto" w:fill="CEE2F6"/>
          </w:tcPr>
          <w:p>
            <w:pPr>
              <w:spacing w:after="0"/>
              <w:rPr>
                <w:sz w:val="22"/>
                <w:szCs w:val="22"/>
                <w:color w:val="auto"/>
              </w:rPr>
            </w:pPr>
          </w:p>
        </w:tc>
        <w:tc>
          <w:tcPr>
            <w:tcW w:w="4320" w:type="dxa"/>
            <w:vAlign w:val="bottom"/>
            <w:shd w:val="clear" w:color="auto" w:fill="CEE2F6"/>
          </w:tcPr>
          <w:p>
            <w:pPr>
              <w:ind w:left="200"/>
              <w:spacing w:after="0"/>
              <w:rPr>
                <w:sz w:val="20"/>
                <w:szCs w:val="20"/>
                <w:color w:val="auto"/>
              </w:rPr>
            </w:pPr>
            <w:r>
              <w:rPr>
                <w:rFonts w:ascii="Arial" w:cs="Arial" w:eastAsia="Arial" w:hAnsi="Arial"/>
                <w:sz w:val="19"/>
                <w:szCs w:val="19"/>
                <w:color w:val="auto"/>
              </w:rPr>
              <w:t>Dublin 2, D02 R296, Ireland</w:t>
            </w:r>
          </w:p>
        </w:tc>
      </w:tr>
      <w:tr>
        <w:trPr>
          <w:trHeight w:val="238"/>
        </w:trPr>
        <w:tc>
          <w:tcPr>
            <w:tcW w:w="6240" w:type="dxa"/>
            <w:vAlign w:val="bottom"/>
          </w:tcPr>
          <w:p>
            <w:pPr>
              <w:ind w:left="80"/>
              <w:spacing w:after="0"/>
              <w:rPr>
                <w:sz w:val="20"/>
                <w:szCs w:val="20"/>
                <w:color w:val="auto"/>
              </w:rPr>
            </w:pPr>
            <w:r>
              <w:rPr>
                <w:rFonts w:ascii="Arial" w:cs="Arial" w:eastAsia="Arial" w:hAnsi="Arial"/>
                <w:sz w:val="19"/>
                <w:szCs w:val="19"/>
                <w:color w:val="auto"/>
              </w:rPr>
              <w:t>Record Date:</w:t>
            </w:r>
          </w:p>
        </w:tc>
        <w:tc>
          <w:tcPr>
            <w:tcW w:w="4320" w:type="dxa"/>
            <w:vAlign w:val="bottom"/>
          </w:tcPr>
          <w:p>
            <w:pPr>
              <w:ind w:left="200"/>
              <w:spacing w:after="0"/>
              <w:rPr>
                <w:sz w:val="20"/>
                <w:szCs w:val="20"/>
                <w:color w:val="auto"/>
              </w:rPr>
            </w:pPr>
            <w:r>
              <w:rPr>
                <w:rFonts w:ascii="Arial" w:cs="Arial" w:eastAsia="Arial" w:hAnsi="Arial"/>
                <w:sz w:val="19"/>
                <w:szCs w:val="19"/>
                <w:color w:val="auto"/>
              </w:rPr>
              <w:t>Close of business in New York</w:t>
            </w:r>
          </w:p>
        </w:tc>
      </w:tr>
      <w:tr>
        <w:trPr>
          <w:trHeight w:val="250"/>
        </w:trPr>
        <w:tc>
          <w:tcPr>
            <w:tcW w:w="6240" w:type="dxa"/>
            <w:vAlign w:val="bottom"/>
          </w:tcPr>
          <w:p>
            <w:pPr>
              <w:spacing w:after="0"/>
              <w:rPr>
                <w:sz w:val="21"/>
                <w:szCs w:val="21"/>
                <w:color w:val="auto"/>
              </w:rPr>
            </w:pPr>
          </w:p>
        </w:tc>
        <w:tc>
          <w:tcPr>
            <w:tcW w:w="4320" w:type="dxa"/>
            <w:vAlign w:val="bottom"/>
          </w:tcPr>
          <w:p>
            <w:pPr>
              <w:ind w:left="200"/>
              <w:spacing w:after="0"/>
              <w:rPr>
                <w:sz w:val="20"/>
                <w:szCs w:val="20"/>
                <w:color w:val="auto"/>
              </w:rPr>
            </w:pPr>
            <w:r>
              <w:rPr>
                <w:rFonts w:ascii="Arial" w:cs="Arial" w:eastAsia="Arial" w:hAnsi="Arial"/>
                <w:sz w:val="19"/>
                <w:szCs w:val="19"/>
                <w:color w:val="auto"/>
              </w:rPr>
              <w:t>June 2,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3175</wp:posOffset>
            </wp:positionV>
            <wp:extent cx="6710045" cy="180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10045" cy="180975"/>
                    </a:xfrm>
                    <a:prstGeom prst="rect">
                      <a:avLst/>
                    </a:prstGeom>
                    <a:noFill/>
                  </pic:spPr>
                </pic:pic>
              </a:graphicData>
            </a:graphic>
          </wp:anchor>
        </w:drawing>
      </w:r>
    </w:p>
    <w:p>
      <w:pPr>
        <w:sectPr>
          <w:pgSz w:w="11900" w:h="16838" w:orient="portrait"/>
          <w:cols w:equalWidth="0" w:num="1">
            <w:col w:w="10900"/>
          </w:cols>
          <w:pgMar w:left="320" w:top="469" w:right="679" w:bottom="1440" w:gutter="0" w:footer="0" w:header="0"/>
        </w:sectPr>
      </w:pPr>
    </w:p>
    <w:p>
      <w:pPr>
        <w:spacing w:after="0" w:line="35" w:lineRule="exact"/>
        <w:rPr>
          <w:sz w:val="20"/>
          <w:szCs w:val="20"/>
          <w:color w:val="auto"/>
        </w:rPr>
      </w:pPr>
    </w:p>
    <w:p>
      <w:pPr>
        <w:ind w:left="420"/>
        <w:spacing w:after="0"/>
        <w:rPr>
          <w:sz w:val="20"/>
          <w:szCs w:val="20"/>
          <w:color w:val="auto"/>
        </w:rPr>
      </w:pPr>
      <w:r>
        <w:rPr>
          <w:rFonts w:ascii="Arial" w:cs="Arial" w:eastAsia="Arial" w:hAnsi="Arial"/>
          <w:sz w:val="19"/>
          <w:szCs w:val="19"/>
          <w:color w:val="auto"/>
        </w:rPr>
        <w:t>Stock Symbol:</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9"/>
          <w:szCs w:val="19"/>
          <w:color w:val="auto"/>
        </w:rPr>
        <w:t>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22860</wp:posOffset>
            </wp:positionV>
            <wp:extent cx="3963670" cy="180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63670" cy="180975"/>
                    </a:xfrm>
                    <a:prstGeom prst="rect">
                      <a:avLst/>
                    </a:prstGeom>
                    <a:noFill/>
                  </pic:spPr>
                </pic:pic>
              </a:graphicData>
            </a:graphic>
          </wp:anchor>
        </w:drawing>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9"/>
          <w:szCs w:val="19"/>
          <w:color w:val="auto"/>
        </w:rPr>
        <w:t>Shares Outstanding on Record Date:</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9"/>
          <w:szCs w:val="19"/>
          <w:color w:val="auto"/>
        </w:rPr>
        <w:t>Registrar 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47625</wp:posOffset>
            </wp:positionV>
            <wp:extent cx="3963670" cy="180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63670" cy="180975"/>
                    </a:xfrm>
                    <a:prstGeom prst="rect">
                      <a:avLst/>
                    </a:prstGeom>
                    <a:noFill/>
                  </pic:spPr>
                </pic:pic>
              </a:graphicData>
            </a:graphic>
          </wp:anchor>
        </w:drawing>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9"/>
          <w:szCs w:val="19"/>
          <w:color w:val="auto"/>
        </w:rPr>
        <w:t>Jurisdiction of Formation:</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9"/>
          <w:szCs w:val="19"/>
          <w:color w:val="auto"/>
        </w:rPr>
        <w:t>Year of Incorporation:</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-124460</wp:posOffset>
            </wp:positionV>
            <wp:extent cx="2746375" cy="147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46375" cy="14795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22860</wp:posOffset>
            </wp:positionV>
            <wp:extent cx="274637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46375" cy="3302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97,457,680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-124460</wp:posOffset>
            </wp:positionV>
            <wp:extent cx="2746375" cy="147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46375" cy="14795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Computershare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47625</wp:posOffset>
            </wp:positionV>
            <wp:extent cx="274637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46375" cy="3302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-124460</wp:posOffset>
            </wp:positionV>
            <wp:extent cx="2746375" cy="147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46375" cy="14795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2016 (Predecessors, 2014 and 1985,</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respectively)</w:t>
      </w:r>
    </w:p>
    <w:p>
      <w:pPr>
        <w:spacing w:after="0" w:line="33" w:lineRule="exact"/>
        <w:rPr>
          <w:sz w:val="20"/>
          <w:szCs w:val="20"/>
          <w:color w:val="auto"/>
        </w:rPr>
      </w:pPr>
    </w:p>
    <w:p>
      <w:pPr>
        <w:sectPr>
          <w:pgSz w:w="11900" w:h="16838" w:orient="portrait"/>
          <w:cols w:equalWidth="0" w:num="2">
            <w:col w:w="6060" w:space="720"/>
            <w:col w:w="4120"/>
          </w:cols>
          <w:pgMar w:left="320" w:top="469" w:right="679" w:bottom="1440" w:gutter="0" w:footer="0" w:header="0"/>
          <w:type w:val="continuous"/>
        </w:sectPr>
      </w:pPr>
    </w:p>
    <w:tbl>
      <w:tblPr>
        <w:tblLayout w:type="fixed"/>
        <w:tblInd w:w="340" w:type="dxa"/>
        <w:tblCellMar>
          <w:top w:w="0" w:type="dxa"/>
          <w:left w:w="0" w:type="dxa"/>
          <w:bottom w:w="0" w:type="dxa"/>
          <w:right w:w="0" w:type="dxa"/>
        </w:tblCellMar>
      </w:tblPr>
      <w:tr>
        <w:trPr>
          <w:trHeight w:val="222"/>
        </w:trPr>
        <w:tc>
          <w:tcPr>
            <w:tcW w:w="4980" w:type="dxa"/>
            <w:vAlign w:val="bottom"/>
            <w:shd w:val="clear" w:color="auto" w:fill="CEE2F6"/>
          </w:tcPr>
          <w:p>
            <w:pPr>
              <w:ind w:left="80"/>
              <w:spacing w:after="0"/>
              <w:rPr>
                <w:sz w:val="20"/>
                <w:szCs w:val="20"/>
                <w:color w:val="auto"/>
              </w:rPr>
            </w:pPr>
            <w:r>
              <w:rPr>
                <w:rFonts w:ascii="Arial" w:cs="Arial" w:eastAsia="Arial" w:hAnsi="Arial"/>
                <w:sz w:val="19"/>
                <w:szCs w:val="19"/>
                <w:color w:val="auto"/>
              </w:rPr>
              <w:t>Public Company Since:</w:t>
            </w:r>
          </w:p>
        </w:tc>
        <w:tc>
          <w:tcPr>
            <w:tcW w:w="5580" w:type="dxa"/>
            <w:vAlign w:val="bottom"/>
            <w:shd w:val="clear" w:color="auto" w:fill="CEE2F6"/>
          </w:tcPr>
          <w:p>
            <w:pPr>
              <w:ind w:left="1460"/>
              <w:spacing w:after="0"/>
              <w:rPr>
                <w:sz w:val="20"/>
                <w:szCs w:val="20"/>
                <w:color w:val="auto"/>
              </w:rPr>
            </w:pPr>
            <w:r>
              <w:rPr>
                <w:rFonts w:ascii="Arial" w:cs="Arial" w:eastAsia="Arial" w:hAnsi="Arial"/>
                <w:sz w:val="19"/>
                <w:szCs w:val="19"/>
                <w:color w:val="auto"/>
              </w:rPr>
              <w:t>2019 (Predecessors, 2015 and 1992,</w:t>
            </w:r>
          </w:p>
        </w:tc>
      </w:tr>
      <w:tr>
        <w:trPr>
          <w:trHeight w:val="255"/>
        </w:trPr>
        <w:tc>
          <w:tcPr>
            <w:tcW w:w="4980" w:type="dxa"/>
            <w:vAlign w:val="bottom"/>
            <w:shd w:val="clear" w:color="auto" w:fill="CEE2F6"/>
          </w:tcPr>
          <w:p>
            <w:pPr>
              <w:spacing w:after="0"/>
              <w:rPr>
                <w:sz w:val="22"/>
                <w:szCs w:val="22"/>
                <w:color w:val="auto"/>
              </w:rPr>
            </w:pPr>
          </w:p>
        </w:tc>
        <w:tc>
          <w:tcPr>
            <w:tcW w:w="5580" w:type="dxa"/>
            <w:vAlign w:val="bottom"/>
            <w:shd w:val="clear" w:color="auto" w:fill="CEE2F6"/>
          </w:tcPr>
          <w:p>
            <w:pPr>
              <w:ind w:left="1460"/>
              <w:spacing w:after="0"/>
              <w:rPr>
                <w:sz w:val="20"/>
                <w:szCs w:val="20"/>
                <w:color w:val="auto"/>
              </w:rPr>
            </w:pPr>
            <w:r>
              <w:rPr>
                <w:rFonts w:ascii="Arial" w:cs="Arial" w:eastAsia="Arial" w:hAnsi="Arial"/>
                <w:sz w:val="19"/>
                <w:szCs w:val="19"/>
                <w:color w:val="auto"/>
              </w:rPr>
              <w:t>respectively)</w:t>
            </w:r>
          </w:p>
        </w:tc>
      </w:tr>
      <w:tr>
        <w:trPr>
          <w:trHeight w:val="283"/>
        </w:trPr>
        <w:tc>
          <w:tcPr>
            <w:tcW w:w="4980" w:type="dxa"/>
            <w:vAlign w:val="bottom"/>
          </w:tcPr>
          <w:p>
            <w:pPr>
              <w:ind w:left="80"/>
              <w:spacing w:after="0"/>
              <w:rPr>
                <w:sz w:val="20"/>
                <w:szCs w:val="20"/>
                <w:color w:val="auto"/>
              </w:rPr>
            </w:pPr>
            <w:r>
              <w:rPr>
                <w:rFonts w:ascii="Arial" w:cs="Arial" w:eastAsia="Arial" w:hAnsi="Arial"/>
                <w:sz w:val="19"/>
                <w:szCs w:val="19"/>
                <w:color w:val="auto"/>
              </w:rPr>
              <w:t>Corporate Website:</w:t>
            </w:r>
          </w:p>
        </w:tc>
        <w:tc>
          <w:tcPr>
            <w:tcW w:w="5580" w:type="dxa"/>
            <w:vAlign w:val="bottom"/>
          </w:tcPr>
          <w:p>
            <w:pPr>
              <w:ind w:left="1460"/>
              <w:spacing w:after="0"/>
              <w:rPr>
                <w:sz w:val="20"/>
                <w:szCs w:val="20"/>
                <w:color w:val="auto"/>
              </w:rPr>
            </w:pPr>
            <w:r>
              <w:rPr>
                <w:rFonts w:ascii="Arial" w:cs="Arial" w:eastAsia="Arial" w:hAnsi="Arial"/>
                <w:sz w:val="19"/>
                <w:szCs w:val="19"/>
                <w:color w:val="auto"/>
              </w:rPr>
              <w:t>www.steris.com</w:t>
            </w:r>
          </w:p>
        </w:tc>
      </w:tr>
      <w:tr>
        <w:trPr>
          <w:trHeight w:val="287"/>
        </w:trPr>
        <w:tc>
          <w:tcPr>
            <w:tcW w:w="4980" w:type="dxa"/>
            <w:vAlign w:val="bottom"/>
            <w:shd w:val="clear" w:color="auto" w:fill="CEE2F6"/>
          </w:tcPr>
          <w:p>
            <w:pPr>
              <w:ind w:left="80"/>
              <w:spacing w:after="0"/>
              <w:rPr>
                <w:sz w:val="20"/>
                <w:szCs w:val="20"/>
                <w:color w:val="auto"/>
              </w:rPr>
            </w:pPr>
            <w:r>
              <w:rPr>
                <w:rFonts w:ascii="Arial" w:cs="Arial" w:eastAsia="Arial" w:hAnsi="Arial"/>
                <w:sz w:val="19"/>
                <w:szCs w:val="19"/>
                <w:color w:val="auto"/>
              </w:rPr>
              <w:t>Date Proxy Materials First Furnished to Shareholders:</w:t>
            </w:r>
          </w:p>
        </w:tc>
        <w:tc>
          <w:tcPr>
            <w:tcW w:w="5580" w:type="dxa"/>
            <w:vAlign w:val="bottom"/>
            <w:shd w:val="clear" w:color="auto" w:fill="CEE2F6"/>
          </w:tcPr>
          <w:p>
            <w:pPr>
              <w:ind w:left="1460"/>
              <w:spacing w:after="0"/>
              <w:rPr>
                <w:sz w:val="20"/>
                <w:szCs w:val="20"/>
                <w:color w:val="auto"/>
              </w:rPr>
            </w:pPr>
            <w:r>
              <w:rPr>
                <w:rFonts w:ascii="Arial" w:cs="Arial" w:eastAsia="Arial" w:hAnsi="Arial"/>
                <w:sz w:val="19"/>
                <w:szCs w:val="19"/>
                <w:color w:val="auto"/>
              </w:rPr>
              <w:t>On or about June 11, 2026</w:t>
            </w:r>
          </w:p>
        </w:tc>
      </w:tr>
      <w:tr>
        <w:trPr>
          <w:trHeight w:val="343"/>
        </w:trPr>
        <w:tc>
          <w:tcPr>
            <w:tcW w:w="4980" w:type="dxa"/>
            <w:vAlign w:val="bottom"/>
          </w:tcPr>
          <w:p>
            <w:pPr>
              <w:spacing w:after="0"/>
              <w:rPr>
                <w:sz w:val="24"/>
                <w:szCs w:val="24"/>
                <w:color w:val="auto"/>
              </w:rPr>
            </w:pPr>
          </w:p>
        </w:tc>
        <w:tc>
          <w:tcPr>
            <w:tcW w:w="5580" w:type="dxa"/>
            <w:vAlign w:val="bottom"/>
          </w:tcPr>
          <w:p>
            <w:pPr>
              <w:ind w:left="380"/>
              <w:spacing w:after="0"/>
              <w:rPr>
                <w:sz w:val="20"/>
                <w:szCs w:val="20"/>
                <w:color w:val="auto"/>
              </w:rPr>
            </w:pPr>
            <w:r>
              <w:rPr>
                <w:rFonts w:ascii="Arial" w:cs="Arial" w:eastAsia="Arial" w:hAnsi="Arial"/>
                <w:sz w:val="16"/>
                <w:szCs w:val="16"/>
                <w:b w:val="1"/>
                <w:bCs w:val="1"/>
                <w:color w:val="3E8EDE"/>
                <w:w w:val="94"/>
              </w:rPr>
              <w:t xml:space="preserve">Notice of Annual Meeting of Shareholders </w:t>
            </w:r>
            <w:r>
              <w:rPr>
                <w:rFonts w:ascii="Arial" w:cs="Arial" w:eastAsia="Arial" w:hAnsi="Arial"/>
                <w:sz w:val="16"/>
                <w:szCs w:val="16"/>
                <w:color w:val="000000"/>
                <w:w w:val="94"/>
              </w:rPr>
              <w:t>and 2026 Proxy Statement   1</w:t>
            </w:r>
          </w:p>
        </w:tc>
      </w:tr>
    </w:tbl>
    <w:p>
      <w:pPr>
        <w:sectPr>
          <w:pgSz w:w="11900" w:h="16838" w:orient="portrait"/>
          <w:cols w:equalWidth="0" w:num="1">
            <w:col w:w="10900"/>
          </w:cols>
          <w:pgMar w:left="320" w:top="469" w:right="6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704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Proxy Summary: </w:t>
      </w:r>
      <w:r>
        <w:rPr>
          <w:rFonts w:ascii="Arial" w:cs="Arial" w:eastAsia="Arial" w:hAnsi="Arial"/>
          <w:sz w:val="15"/>
          <w:szCs w:val="15"/>
          <w:b w:val="1"/>
          <w:bCs w:val="1"/>
          <w:color w:val="000000"/>
        </w:rPr>
        <w:t>Financial and Operating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Financial and Operating Highlights</w:t>
      </w:r>
    </w:p>
    <w:p>
      <w:pPr>
        <w:spacing w:after="0" w:line="217" w:lineRule="exact"/>
        <w:rPr>
          <w:sz w:val="20"/>
          <w:szCs w:val="20"/>
          <w:color w:val="auto"/>
        </w:rPr>
      </w:pPr>
    </w:p>
    <w:p>
      <w:pPr>
        <w:ind w:left="340" w:right="120"/>
        <w:spacing w:after="0" w:line="239" w:lineRule="auto"/>
        <w:rPr>
          <w:sz w:val="20"/>
          <w:szCs w:val="20"/>
          <w:color w:val="auto"/>
        </w:rPr>
      </w:pPr>
      <w:r>
        <w:rPr>
          <w:rFonts w:ascii="Arial" w:cs="Arial" w:eastAsia="Arial" w:hAnsi="Arial"/>
          <w:sz w:val="19"/>
          <w:szCs w:val="19"/>
          <w:color w:val="auto"/>
        </w:rPr>
        <w:t>Fiscal 2026 was a record year for STERIS, reflecting strong execution against our strategic priorities and continued momentum across the business. We delivered broad-based growth across all segments, supported by sustained demand for our products and services and continued market share gains driven by the strength of our portfolio and commercial capabilities.</w:t>
      </w:r>
    </w:p>
    <w:p>
      <w:pPr>
        <w:spacing w:after="0" w:line="166" w:lineRule="exact"/>
        <w:rPr>
          <w:sz w:val="20"/>
          <w:szCs w:val="20"/>
          <w:color w:val="auto"/>
        </w:rPr>
      </w:pPr>
    </w:p>
    <w:p>
      <w:pPr>
        <w:ind w:left="340" w:right="400"/>
        <w:spacing w:after="0" w:line="262" w:lineRule="auto"/>
        <w:rPr>
          <w:sz w:val="20"/>
          <w:szCs w:val="20"/>
          <w:color w:val="auto"/>
        </w:rPr>
      </w:pPr>
      <w:r>
        <w:rPr>
          <w:rFonts w:ascii="Arial" w:cs="Arial" w:eastAsia="Arial" w:hAnsi="Arial"/>
          <w:sz w:val="19"/>
          <w:szCs w:val="19"/>
          <w:color w:val="auto"/>
        </w:rPr>
        <w:t>We remained focused on disciplined execution, balancing pricing actions, cost management, and targeted investments to navigate a challenging operating environment.</w:t>
      </w:r>
    </w:p>
    <w:p>
      <w:pPr>
        <w:spacing w:after="0" w:line="145" w:lineRule="exact"/>
        <w:rPr>
          <w:sz w:val="20"/>
          <w:szCs w:val="20"/>
          <w:color w:val="auto"/>
        </w:rPr>
      </w:pPr>
    </w:p>
    <w:p>
      <w:pPr>
        <w:ind w:left="340" w:right="260"/>
        <w:spacing w:after="0" w:line="239" w:lineRule="auto"/>
        <w:rPr>
          <w:sz w:val="20"/>
          <w:szCs w:val="20"/>
          <w:color w:val="auto"/>
        </w:rPr>
      </w:pPr>
      <w:r>
        <w:rPr>
          <w:rFonts w:ascii="Arial" w:cs="Arial" w:eastAsia="Arial" w:hAnsi="Arial"/>
          <w:sz w:val="19"/>
          <w:szCs w:val="19"/>
          <w:color w:val="auto"/>
        </w:rPr>
        <w:t>We also maintained a consistent and balanced approach to capital allocation, increasing our dividend, reinvesting in the business, completing targeted acquisitions, and returning capital to shareholders through share buybacks, while preserving balance sheet strength. These actions position STERIS to build on its performance and continue delivering long-term value through focused execution and strategic investment.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Other fiscal 2026 highlights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80645</wp:posOffset>
            </wp:positionV>
            <wp:extent cx="6710045" cy="180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10045" cy="180975"/>
                    </a:xfrm>
                    <a:prstGeom prst="rect">
                      <a:avLst/>
                    </a:prstGeom>
                    <a:noFill/>
                  </pic:spPr>
                </pic:pic>
              </a:graphicData>
            </a:graphic>
          </wp:anchor>
        </w:drawing>
      </w:r>
    </w:p>
    <w:p>
      <w:pPr>
        <w:spacing w:after="0" w:line="137" w:lineRule="exact"/>
        <w:rPr>
          <w:sz w:val="20"/>
          <w:szCs w:val="20"/>
          <w:color w:val="auto"/>
        </w:rPr>
      </w:pPr>
    </w:p>
    <w:p>
      <w:pPr>
        <w:ind w:left="720" w:hanging="285"/>
        <w:spacing w:after="0"/>
        <w:tabs>
          <w:tab w:leader="none" w:pos="7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As reported full year revenues increased 8.7% to $5,935.9 million, compared with $5,459.5 million in fiscal 2025.</w:t>
      </w:r>
    </w:p>
    <w:p>
      <w:pPr>
        <w:spacing w:after="0" w:line="66" w:lineRule="exact"/>
        <w:rPr>
          <w:rFonts w:ascii="Arial" w:cs="Arial" w:eastAsia="Arial" w:hAnsi="Arial"/>
          <w:sz w:val="19"/>
          <w:szCs w:val="19"/>
          <w:color w:val="auto"/>
        </w:rPr>
      </w:pPr>
    </w:p>
    <w:p>
      <w:pPr>
        <w:ind w:left="720" w:right="80" w:hanging="285"/>
        <w:spacing w:after="0" w:line="239" w:lineRule="auto"/>
        <w:tabs>
          <w:tab w:leader="none" w:pos="7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As reported full year net income increased to $782.3 million, or $7.93 per diluted share, compared with $614.6 million, or $6.20 per diluted share, in the prior year. Fiscal 2026 net income reflected higher income from operations, driven by increased pricing, volume, and lower restructuring and litigation costs, which were partially offset by unfavorable impacts from tariffs, inflation and increased taxes.</w:t>
      </w:r>
    </w:p>
    <w:p>
      <w:pPr>
        <w:spacing w:after="0" w:line="36" w:lineRule="exact"/>
        <w:rPr>
          <w:rFonts w:ascii="Arial" w:cs="Arial" w:eastAsia="Arial" w:hAnsi="Arial"/>
          <w:sz w:val="19"/>
          <w:szCs w:val="19"/>
          <w:color w:val="auto"/>
        </w:rPr>
      </w:pPr>
    </w:p>
    <w:p>
      <w:pPr>
        <w:ind w:left="720" w:right="800" w:hanging="285"/>
        <w:spacing w:after="0" w:line="226" w:lineRule="auto"/>
        <w:tabs>
          <w:tab w:leader="none" w:pos="7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Full year adjusted net income (see Appendix A) increased 8.6% to $1,003.4 million, or $10.17 per diluted share, compared with $924.3 million, or $9.33 per diluted share, in fiscal 2025.</w:t>
      </w:r>
      <w:r>
        <w:rPr>
          <w:rFonts w:ascii="Arial" w:cs="Arial" w:eastAsia="Arial" w:hAnsi="Arial"/>
          <w:sz w:val="28"/>
          <w:szCs w:val="28"/>
          <w:color w:val="auto"/>
          <w:vertAlign w:val="superscript"/>
        </w:rPr>
        <w:t>(1)</w:t>
      </w:r>
    </w:p>
    <w:p>
      <w:pPr>
        <w:spacing w:after="0" w:line="1" w:lineRule="exact"/>
        <w:rPr>
          <w:rFonts w:ascii="Arial" w:cs="Arial" w:eastAsia="Arial" w:hAnsi="Arial"/>
          <w:sz w:val="19"/>
          <w:szCs w:val="19"/>
          <w:color w:val="auto"/>
        </w:rPr>
      </w:pPr>
    </w:p>
    <w:p>
      <w:pPr>
        <w:ind w:left="720" w:right="60" w:hanging="285"/>
        <w:spacing w:after="0" w:line="242" w:lineRule="auto"/>
        <w:tabs>
          <w:tab w:leader="none" w:pos="7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Cash flows provided by operations for fiscal 2026 increased 16.8% to $1,341.4 million, compared with $1,148.1 million in fiscal 2025.</w:t>
      </w:r>
    </w:p>
    <w:p>
      <w:pPr>
        <w:spacing w:after="0" w:line="33" w:lineRule="exact"/>
        <w:rPr>
          <w:rFonts w:ascii="Arial" w:cs="Arial" w:eastAsia="Arial" w:hAnsi="Arial"/>
          <w:sz w:val="19"/>
          <w:szCs w:val="19"/>
          <w:color w:val="auto"/>
        </w:rPr>
      </w:pPr>
    </w:p>
    <w:p>
      <w:pPr>
        <w:ind w:left="720" w:right="220" w:hanging="285"/>
        <w:spacing w:after="0" w:line="226" w:lineRule="auto"/>
        <w:tabs>
          <w:tab w:leader="none" w:pos="7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Free cash flow (see Appendix A) for fiscal 2026 increased 24.9% to $982.9 million, compared with $787.2 million in the prior year.</w:t>
      </w:r>
      <w:r>
        <w:rPr>
          <w:rFonts w:ascii="Arial" w:cs="Arial" w:eastAsia="Arial" w:hAnsi="Arial"/>
          <w:sz w:val="28"/>
          <w:szCs w:val="28"/>
          <w:color w:val="auto"/>
          <w:vertAlign w:val="superscript"/>
        </w:rPr>
        <w:t>(1)</w:t>
      </w:r>
    </w:p>
    <w:p>
      <w:pPr>
        <w:spacing w:after="0" w:line="1" w:lineRule="exact"/>
        <w:rPr>
          <w:rFonts w:ascii="Arial" w:cs="Arial" w:eastAsia="Arial" w:hAnsi="Arial"/>
          <w:sz w:val="19"/>
          <w:szCs w:val="19"/>
          <w:color w:val="auto"/>
        </w:rPr>
      </w:pPr>
    </w:p>
    <w:p>
      <w:pPr>
        <w:ind w:left="720" w:right="740" w:hanging="285"/>
        <w:spacing w:after="0" w:line="242" w:lineRule="auto"/>
        <w:tabs>
          <w:tab w:leader="none" w:pos="7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We have paid quarterly dividends each year since 2005 and have increased the dividend each consecutive year, including an increase during fiscal 2026 to $0.63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-1247140</wp:posOffset>
            </wp:positionV>
            <wp:extent cx="6710045" cy="3124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10045" cy="31242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-622300</wp:posOffset>
            </wp:positionV>
            <wp:extent cx="6710045" cy="312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10045" cy="31242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1905</wp:posOffset>
            </wp:positionV>
            <wp:extent cx="67100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117" w:lineRule="exact"/>
        <w:rPr>
          <w:sz w:val="20"/>
          <w:szCs w:val="20"/>
          <w:color w:val="auto"/>
        </w:rPr>
      </w:pPr>
    </w:p>
    <w:p>
      <w:pPr>
        <w:ind w:left="860" w:right="40" w:hanging="520"/>
        <w:spacing w:after="0" w:line="213" w:lineRule="auto"/>
        <w:tabs>
          <w:tab w:leader="none" w:pos="860" w:val="left"/>
        </w:tabs>
        <w:numPr>
          <w:ilvl w:val="0"/>
          <w:numId w:val="16"/>
        </w:numPr>
        <w:rPr>
          <w:rFonts w:ascii="Arial" w:cs="Arial" w:eastAsia="Arial" w:hAnsi="Arial"/>
          <w:sz w:val="28"/>
          <w:szCs w:val="28"/>
          <w:color w:val="auto"/>
          <w:vertAlign w:val="superscript"/>
        </w:rPr>
      </w:pPr>
      <w:r>
        <w:rPr>
          <w:rFonts w:ascii="Arial" w:cs="Arial" w:eastAsia="Arial" w:hAnsi="Arial"/>
          <w:sz w:val="19"/>
          <w:szCs w:val="19"/>
          <w:color w:val="auto"/>
        </w:rPr>
        <w:t>Adjusted Net Income, Free Cash Flow and Adjusted Diluted Earnings per Share, which are referenced in this Proxy Summary, are financial measures not prepared in accordance with Accounting Principles Generally Accepted in the United States (“GAAP”). For a discussion of these non-GAAP financial measures refer to Appendix A for definitions and the reconciliation to the most directly comparable GAAP measures.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752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Proxy Summary: </w:t>
      </w:r>
      <w:r>
        <w:rPr>
          <w:rFonts w:ascii="Arial" w:cs="Arial" w:eastAsia="Arial" w:hAnsi="Arial"/>
          <w:sz w:val="15"/>
          <w:szCs w:val="15"/>
          <w:b w:val="1"/>
          <w:bCs w:val="1"/>
          <w:color w:val="000000"/>
        </w:rPr>
        <w:t>Director Nominee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Director Nominee Highlights</w:t>
      </w:r>
    </w:p>
    <w:p>
      <w:pPr>
        <w:spacing w:after="0" w:line="114" w:lineRule="exact"/>
        <w:rPr>
          <w:sz w:val="20"/>
          <w:szCs w:val="20"/>
          <w:color w:val="auto"/>
        </w:rPr>
      </w:pPr>
    </w:p>
    <w:p>
      <w:pPr>
        <w:ind w:left="340" w:right="800"/>
        <w:spacing w:after="0" w:line="244" w:lineRule="auto"/>
        <w:rPr>
          <w:sz w:val="20"/>
          <w:szCs w:val="20"/>
          <w:color w:val="auto"/>
        </w:rPr>
      </w:pPr>
      <w:r>
        <w:rPr>
          <w:rFonts w:ascii="Arial" w:cs="Arial" w:eastAsia="Arial" w:hAnsi="Arial"/>
          <w:sz w:val="19"/>
          <w:szCs w:val="19"/>
          <w:color w:val="auto"/>
        </w:rPr>
        <w:t>Directors are elected annually by a majority of votes cast for terms expiring at the next annual general meeting of shareholders. Select information regarding each director nominee is specified below. For more information about our nominees, see “Proposal 1-Resolutions Regarding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133350</wp:posOffset>
            </wp:positionV>
            <wp:extent cx="6718300" cy="674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18300" cy="674370"/>
                    </a:xfrm>
                    <a:prstGeom prst="rect">
                      <a:avLst/>
                    </a:prstGeom>
                    <a:noFill/>
                  </pic:spPr>
                </pic:pic>
              </a:graphicData>
            </a:graphic>
          </wp:anchor>
        </w:drawing>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8"/>
        </w:trPr>
        <w:tc>
          <w:tcPr>
            <w:tcW w:w="1580" w:type="dxa"/>
            <w:vAlign w:val="bottom"/>
            <w:tcBorders>
              <w:right w:val="single" w:sz="8" w:color="3E8EDE"/>
            </w:tcBorders>
            <w:shd w:val="clear" w:color="auto" w:fill="3E8EDE"/>
          </w:tcPr>
          <w:p>
            <w:pPr>
              <w:spacing w:after="0"/>
              <w:rPr>
                <w:sz w:val="14"/>
                <w:szCs w:val="14"/>
                <w:color w:val="auto"/>
              </w:rPr>
            </w:pPr>
          </w:p>
        </w:tc>
        <w:tc>
          <w:tcPr>
            <w:tcW w:w="540" w:type="dxa"/>
            <w:vAlign w:val="bottom"/>
            <w:shd w:val="clear" w:color="auto" w:fill="3E8EDE"/>
          </w:tcPr>
          <w:p>
            <w:pPr>
              <w:spacing w:after="0"/>
              <w:rPr>
                <w:sz w:val="14"/>
                <w:szCs w:val="14"/>
                <w:color w:val="auto"/>
              </w:rPr>
            </w:pPr>
          </w:p>
        </w:tc>
        <w:tc>
          <w:tcPr>
            <w:tcW w:w="380" w:type="dxa"/>
            <w:vAlign w:val="bottom"/>
            <w:tcBorders>
              <w:right w:val="single" w:sz="8" w:color="3E8EDE"/>
            </w:tcBorders>
            <w:shd w:val="clear" w:color="auto" w:fill="3E8EDE"/>
          </w:tcPr>
          <w:p>
            <w:pPr>
              <w:spacing w:after="0"/>
              <w:rPr>
                <w:sz w:val="14"/>
                <w:szCs w:val="14"/>
                <w:color w:val="auto"/>
              </w:rPr>
            </w:pPr>
          </w:p>
        </w:tc>
        <w:tc>
          <w:tcPr>
            <w:tcW w:w="740" w:type="dxa"/>
            <w:vAlign w:val="bottom"/>
            <w:shd w:val="clear" w:color="auto" w:fill="3E8EDE"/>
          </w:tcPr>
          <w:p>
            <w:pPr>
              <w:spacing w:after="0"/>
              <w:rPr>
                <w:sz w:val="14"/>
                <w:szCs w:val="14"/>
                <w:color w:val="auto"/>
              </w:rPr>
            </w:pPr>
          </w:p>
        </w:tc>
        <w:tc>
          <w:tcPr>
            <w:tcW w:w="320" w:type="dxa"/>
            <w:vAlign w:val="bottom"/>
            <w:tcBorders>
              <w:right w:val="single" w:sz="8" w:color="3E8EDE"/>
            </w:tcBorders>
            <w:shd w:val="clear" w:color="auto" w:fill="3E8EDE"/>
          </w:tcPr>
          <w:p>
            <w:pPr>
              <w:spacing w:after="0"/>
              <w:rPr>
                <w:sz w:val="14"/>
                <w:szCs w:val="14"/>
                <w:color w:val="auto"/>
              </w:rPr>
            </w:pPr>
          </w:p>
        </w:tc>
        <w:tc>
          <w:tcPr>
            <w:tcW w:w="620" w:type="dxa"/>
            <w:vAlign w:val="bottom"/>
            <w:shd w:val="clear" w:color="auto" w:fill="3E8EDE"/>
          </w:tcPr>
          <w:p>
            <w:pPr>
              <w:spacing w:after="0"/>
              <w:rPr>
                <w:sz w:val="14"/>
                <w:szCs w:val="14"/>
                <w:color w:val="auto"/>
              </w:rPr>
            </w:pPr>
          </w:p>
        </w:tc>
        <w:tc>
          <w:tcPr>
            <w:tcW w:w="400" w:type="dxa"/>
            <w:vAlign w:val="bottom"/>
            <w:tcBorders>
              <w:right w:val="single" w:sz="8" w:color="3E8EDE"/>
            </w:tcBorders>
            <w:shd w:val="clear" w:color="auto" w:fill="3E8EDE"/>
          </w:tcPr>
          <w:p>
            <w:pPr>
              <w:spacing w:after="0"/>
              <w:rPr>
                <w:sz w:val="14"/>
                <w:szCs w:val="14"/>
                <w:color w:val="auto"/>
              </w:rPr>
            </w:pPr>
          </w:p>
        </w:tc>
        <w:tc>
          <w:tcPr>
            <w:tcW w:w="540" w:type="dxa"/>
            <w:vAlign w:val="bottom"/>
            <w:shd w:val="clear" w:color="auto" w:fill="3E8EDE"/>
          </w:tcPr>
          <w:p>
            <w:pPr>
              <w:spacing w:after="0"/>
              <w:rPr>
                <w:sz w:val="14"/>
                <w:szCs w:val="14"/>
                <w:color w:val="auto"/>
              </w:rPr>
            </w:pPr>
          </w:p>
        </w:tc>
        <w:tc>
          <w:tcPr>
            <w:tcW w:w="220" w:type="dxa"/>
            <w:vAlign w:val="bottom"/>
            <w:shd w:val="clear" w:color="auto" w:fill="3E8EDE"/>
          </w:tcPr>
          <w:p>
            <w:pPr>
              <w:spacing w:after="0"/>
              <w:rPr>
                <w:sz w:val="14"/>
                <w:szCs w:val="14"/>
                <w:color w:val="auto"/>
              </w:rPr>
            </w:pPr>
          </w:p>
        </w:tc>
        <w:tc>
          <w:tcPr>
            <w:tcW w:w="3180" w:type="dxa"/>
            <w:vAlign w:val="bottom"/>
            <w:gridSpan w:val="8"/>
            <w:shd w:val="clear" w:color="auto" w:fill="3E8EDE"/>
          </w:tcPr>
          <w:p>
            <w:pPr>
              <w:ind w:left="20"/>
              <w:spacing w:after="0"/>
              <w:rPr>
                <w:sz w:val="20"/>
                <w:szCs w:val="20"/>
                <w:color w:val="auto"/>
              </w:rPr>
            </w:pPr>
            <w:r>
              <w:rPr>
                <w:rFonts w:ascii="Arial" w:cs="Arial" w:eastAsia="Arial" w:hAnsi="Arial"/>
                <w:sz w:val="14"/>
                <w:szCs w:val="14"/>
                <w:b w:val="1"/>
                <w:bCs w:val="1"/>
                <w:color w:val="FFFFFF"/>
              </w:rPr>
              <w:t>Board Committee Memberships at 3/31/26</w:t>
            </w:r>
          </w:p>
        </w:tc>
        <w:tc>
          <w:tcPr>
            <w:tcW w:w="320" w:type="dxa"/>
            <w:vAlign w:val="bottom"/>
            <w:shd w:val="clear" w:color="auto" w:fill="3E8EDE"/>
          </w:tcPr>
          <w:p>
            <w:pPr>
              <w:spacing w:after="0"/>
              <w:rPr>
                <w:sz w:val="14"/>
                <w:szCs w:val="14"/>
                <w:color w:val="auto"/>
              </w:rPr>
            </w:pPr>
          </w:p>
        </w:tc>
        <w:tc>
          <w:tcPr>
            <w:tcW w:w="100" w:type="dxa"/>
            <w:vAlign w:val="bottom"/>
            <w:tcBorders>
              <w:right w:val="single" w:sz="8" w:color="3E8EDE"/>
            </w:tcBorders>
            <w:shd w:val="clear" w:color="auto" w:fill="3E8EDE"/>
          </w:tcPr>
          <w:p>
            <w:pPr>
              <w:spacing w:after="0"/>
              <w:rPr>
                <w:sz w:val="14"/>
                <w:szCs w:val="14"/>
                <w:color w:val="auto"/>
              </w:rPr>
            </w:pPr>
          </w:p>
        </w:tc>
        <w:tc>
          <w:tcPr>
            <w:tcW w:w="540" w:type="dxa"/>
            <w:vAlign w:val="bottom"/>
            <w:shd w:val="clear" w:color="auto" w:fill="3E8EDE"/>
          </w:tcPr>
          <w:p>
            <w:pPr>
              <w:spacing w:after="0"/>
              <w:rPr>
                <w:sz w:val="14"/>
                <w:szCs w:val="14"/>
                <w:color w:val="auto"/>
              </w:rPr>
            </w:pPr>
          </w:p>
        </w:tc>
        <w:tc>
          <w:tcPr>
            <w:tcW w:w="200" w:type="dxa"/>
            <w:vAlign w:val="bottom"/>
            <w:shd w:val="clear" w:color="auto" w:fill="3E8EDE"/>
          </w:tcPr>
          <w:p>
            <w:pPr>
              <w:spacing w:after="0"/>
              <w:rPr>
                <w:sz w:val="14"/>
                <w:szCs w:val="14"/>
                <w:color w:val="auto"/>
              </w:rPr>
            </w:pPr>
          </w:p>
        </w:tc>
        <w:tc>
          <w:tcPr>
            <w:tcW w:w="120" w:type="dxa"/>
            <w:vAlign w:val="bottom"/>
            <w:tcBorders>
              <w:right w:val="single" w:sz="8" w:color="3E8EDE"/>
            </w:tcBorders>
            <w:shd w:val="clear" w:color="auto" w:fill="3E8EDE"/>
          </w:tcPr>
          <w:p>
            <w:pPr>
              <w:spacing w:after="0"/>
              <w:rPr>
                <w:sz w:val="14"/>
                <w:szCs w:val="14"/>
                <w:color w:val="auto"/>
              </w:rPr>
            </w:pPr>
          </w:p>
        </w:tc>
        <w:tc>
          <w:tcPr>
            <w:tcW w:w="520" w:type="dxa"/>
            <w:vAlign w:val="bottom"/>
            <w:shd w:val="clear" w:color="auto" w:fill="3E8EDE"/>
          </w:tcPr>
          <w:p>
            <w:pPr>
              <w:spacing w:after="0"/>
              <w:rPr>
                <w:sz w:val="14"/>
                <w:szCs w:val="14"/>
                <w:color w:val="auto"/>
              </w:rPr>
            </w:pPr>
          </w:p>
        </w:tc>
        <w:tc>
          <w:tcPr>
            <w:tcW w:w="240" w:type="dxa"/>
            <w:vAlign w:val="bottom"/>
            <w:shd w:val="clear" w:color="auto" w:fill="3E8EDE"/>
          </w:tcPr>
          <w:p>
            <w:pPr>
              <w:spacing w:after="0"/>
              <w:rPr>
                <w:sz w:val="14"/>
                <w:szCs w:val="14"/>
                <w:color w:val="auto"/>
              </w:rPr>
            </w:pPr>
          </w:p>
        </w:tc>
      </w:tr>
      <w:tr>
        <w:trPr>
          <w:trHeight w:val="198"/>
        </w:trPr>
        <w:tc>
          <w:tcPr>
            <w:tcW w:w="1580" w:type="dxa"/>
            <w:vAlign w:val="bottom"/>
            <w:tcBorders>
              <w:right w:val="single" w:sz="8" w:color="3E8EDE"/>
            </w:tcBorders>
            <w:shd w:val="clear" w:color="auto" w:fill="3E8EDE"/>
          </w:tcPr>
          <w:p>
            <w:pPr>
              <w:spacing w:after="0"/>
              <w:rPr>
                <w:sz w:val="17"/>
                <w:szCs w:val="17"/>
                <w:color w:val="auto"/>
              </w:rPr>
            </w:pPr>
          </w:p>
        </w:tc>
        <w:tc>
          <w:tcPr>
            <w:tcW w:w="540" w:type="dxa"/>
            <w:vAlign w:val="bottom"/>
            <w:shd w:val="clear" w:color="auto" w:fill="3E8EDE"/>
          </w:tcPr>
          <w:p>
            <w:pPr>
              <w:spacing w:after="0"/>
              <w:rPr>
                <w:sz w:val="17"/>
                <w:szCs w:val="17"/>
                <w:color w:val="auto"/>
              </w:rPr>
            </w:pPr>
          </w:p>
        </w:tc>
        <w:tc>
          <w:tcPr>
            <w:tcW w:w="380" w:type="dxa"/>
            <w:vAlign w:val="bottom"/>
            <w:tcBorders>
              <w:right w:val="single" w:sz="8" w:color="3E8EDE"/>
            </w:tcBorders>
            <w:shd w:val="clear" w:color="auto" w:fill="3E8EDE"/>
          </w:tcPr>
          <w:p>
            <w:pPr>
              <w:spacing w:after="0"/>
              <w:rPr>
                <w:sz w:val="17"/>
                <w:szCs w:val="17"/>
                <w:color w:val="auto"/>
              </w:rPr>
            </w:pPr>
          </w:p>
        </w:tc>
        <w:tc>
          <w:tcPr>
            <w:tcW w:w="740" w:type="dxa"/>
            <w:vAlign w:val="bottom"/>
            <w:shd w:val="clear" w:color="auto" w:fill="3E8EDE"/>
          </w:tcPr>
          <w:p>
            <w:pPr>
              <w:spacing w:after="0"/>
              <w:rPr>
                <w:sz w:val="17"/>
                <w:szCs w:val="17"/>
                <w:color w:val="auto"/>
              </w:rPr>
            </w:pPr>
          </w:p>
        </w:tc>
        <w:tc>
          <w:tcPr>
            <w:tcW w:w="320" w:type="dxa"/>
            <w:vAlign w:val="bottom"/>
            <w:tcBorders>
              <w:right w:val="single" w:sz="8" w:color="3E8EDE"/>
            </w:tcBorders>
            <w:shd w:val="clear" w:color="auto" w:fill="3E8EDE"/>
          </w:tcPr>
          <w:p>
            <w:pPr>
              <w:spacing w:after="0"/>
              <w:rPr>
                <w:sz w:val="17"/>
                <w:szCs w:val="17"/>
                <w:color w:val="auto"/>
              </w:rPr>
            </w:pPr>
          </w:p>
        </w:tc>
        <w:tc>
          <w:tcPr>
            <w:tcW w:w="620" w:type="dxa"/>
            <w:vAlign w:val="bottom"/>
            <w:shd w:val="clear" w:color="auto" w:fill="3E8EDE"/>
          </w:tcPr>
          <w:p>
            <w:pPr>
              <w:spacing w:after="0"/>
              <w:rPr>
                <w:sz w:val="17"/>
                <w:szCs w:val="17"/>
                <w:color w:val="auto"/>
              </w:rPr>
            </w:pPr>
          </w:p>
        </w:tc>
        <w:tc>
          <w:tcPr>
            <w:tcW w:w="400" w:type="dxa"/>
            <w:vAlign w:val="bottom"/>
            <w:tcBorders>
              <w:right w:val="single" w:sz="8" w:color="3E8EDE"/>
            </w:tcBorders>
            <w:shd w:val="clear" w:color="auto" w:fill="3E8EDE"/>
          </w:tcPr>
          <w:p>
            <w:pPr>
              <w:spacing w:after="0"/>
              <w:rPr>
                <w:sz w:val="17"/>
                <w:szCs w:val="17"/>
                <w:color w:val="auto"/>
              </w:rPr>
            </w:pPr>
          </w:p>
        </w:tc>
        <w:tc>
          <w:tcPr>
            <w:tcW w:w="540" w:type="dxa"/>
            <w:vAlign w:val="bottom"/>
            <w:shd w:val="clear" w:color="auto" w:fill="3E8EDE"/>
          </w:tcPr>
          <w:p>
            <w:pPr>
              <w:spacing w:after="0"/>
              <w:rPr>
                <w:sz w:val="17"/>
                <w:szCs w:val="17"/>
                <w:color w:val="auto"/>
              </w:rPr>
            </w:pPr>
          </w:p>
        </w:tc>
        <w:tc>
          <w:tcPr>
            <w:tcW w:w="220" w:type="dxa"/>
            <w:vAlign w:val="bottom"/>
            <w:shd w:val="clear" w:color="auto" w:fill="3E8EDE"/>
          </w:tcPr>
          <w:p>
            <w:pPr>
              <w:spacing w:after="0"/>
              <w:rPr>
                <w:sz w:val="17"/>
                <w:szCs w:val="17"/>
                <w:color w:val="auto"/>
              </w:rPr>
            </w:pPr>
          </w:p>
        </w:tc>
        <w:tc>
          <w:tcPr>
            <w:tcW w:w="140" w:type="dxa"/>
            <w:vAlign w:val="bottom"/>
            <w:tcBorders>
              <w:right w:val="single" w:sz="8" w:color="3E8EDE"/>
            </w:tcBorders>
            <w:shd w:val="clear" w:color="auto" w:fill="3E8EDE"/>
          </w:tcPr>
          <w:p>
            <w:pPr>
              <w:spacing w:after="0"/>
              <w:rPr>
                <w:sz w:val="17"/>
                <w:szCs w:val="17"/>
                <w:color w:val="auto"/>
              </w:rPr>
            </w:pPr>
          </w:p>
        </w:tc>
        <w:tc>
          <w:tcPr>
            <w:tcW w:w="660" w:type="dxa"/>
            <w:vAlign w:val="bottom"/>
            <w:shd w:val="clear" w:color="auto" w:fill="3E8EDE"/>
          </w:tcPr>
          <w:p>
            <w:pPr>
              <w:spacing w:after="0"/>
              <w:rPr>
                <w:sz w:val="17"/>
                <w:szCs w:val="17"/>
                <w:color w:val="auto"/>
              </w:rPr>
            </w:pPr>
          </w:p>
        </w:tc>
        <w:tc>
          <w:tcPr>
            <w:tcW w:w="360" w:type="dxa"/>
            <w:vAlign w:val="bottom"/>
            <w:shd w:val="clear" w:color="auto" w:fill="3E8EDE"/>
          </w:tcPr>
          <w:p>
            <w:pPr>
              <w:spacing w:after="0"/>
              <w:rPr>
                <w:sz w:val="17"/>
                <w:szCs w:val="17"/>
                <w:color w:val="auto"/>
              </w:rPr>
            </w:pPr>
          </w:p>
        </w:tc>
        <w:tc>
          <w:tcPr>
            <w:tcW w:w="140" w:type="dxa"/>
            <w:vAlign w:val="bottom"/>
            <w:tcBorders>
              <w:right w:val="single" w:sz="8" w:color="3E8EDE"/>
            </w:tcBorders>
            <w:shd w:val="clear" w:color="auto" w:fill="3E8EDE"/>
          </w:tcPr>
          <w:p>
            <w:pPr>
              <w:spacing w:after="0"/>
              <w:rPr>
                <w:sz w:val="17"/>
                <w:szCs w:val="17"/>
                <w:color w:val="auto"/>
              </w:rPr>
            </w:pPr>
          </w:p>
        </w:tc>
        <w:tc>
          <w:tcPr>
            <w:tcW w:w="720" w:type="dxa"/>
            <w:vAlign w:val="bottom"/>
            <w:shd w:val="clear" w:color="auto" w:fill="3E8EDE"/>
          </w:tcPr>
          <w:p>
            <w:pPr>
              <w:spacing w:after="0"/>
              <w:rPr>
                <w:sz w:val="17"/>
                <w:szCs w:val="17"/>
                <w:color w:val="auto"/>
              </w:rPr>
            </w:pPr>
          </w:p>
        </w:tc>
        <w:tc>
          <w:tcPr>
            <w:tcW w:w="320" w:type="dxa"/>
            <w:vAlign w:val="bottom"/>
            <w:shd w:val="clear" w:color="auto" w:fill="3E8EDE"/>
          </w:tcPr>
          <w:p>
            <w:pPr>
              <w:spacing w:after="0"/>
              <w:rPr>
                <w:sz w:val="17"/>
                <w:szCs w:val="17"/>
                <w:color w:val="auto"/>
              </w:rPr>
            </w:pPr>
          </w:p>
        </w:tc>
        <w:tc>
          <w:tcPr>
            <w:tcW w:w="280" w:type="dxa"/>
            <w:vAlign w:val="bottom"/>
            <w:tcBorders>
              <w:right w:val="single" w:sz="8" w:color="3E8EDE"/>
            </w:tcBorders>
            <w:shd w:val="clear" w:color="auto" w:fill="3E8EDE"/>
          </w:tcPr>
          <w:p>
            <w:pPr>
              <w:spacing w:after="0"/>
              <w:rPr>
                <w:sz w:val="17"/>
                <w:szCs w:val="17"/>
                <w:color w:val="auto"/>
              </w:rPr>
            </w:pPr>
          </w:p>
        </w:tc>
        <w:tc>
          <w:tcPr>
            <w:tcW w:w="560" w:type="dxa"/>
            <w:vAlign w:val="bottom"/>
            <w:shd w:val="clear" w:color="auto" w:fill="3E8EDE"/>
          </w:tcPr>
          <w:p>
            <w:pPr>
              <w:spacing w:after="0"/>
              <w:rPr>
                <w:sz w:val="17"/>
                <w:szCs w:val="17"/>
                <w:color w:val="auto"/>
              </w:rPr>
            </w:pPr>
          </w:p>
        </w:tc>
        <w:tc>
          <w:tcPr>
            <w:tcW w:w="320" w:type="dxa"/>
            <w:vAlign w:val="bottom"/>
            <w:shd w:val="clear" w:color="auto" w:fill="3E8EDE"/>
          </w:tcPr>
          <w:p>
            <w:pPr>
              <w:spacing w:after="0"/>
              <w:rPr>
                <w:sz w:val="17"/>
                <w:szCs w:val="17"/>
                <w:color w:val="auto"/>
              </w:rPr>
            </w:pPr>
          </w:p>
        </w:tc>
        <w:tc>
          <w:tcPr>
            <w:tcW w:w="100" w:type="dxa"/>
            <w:vAlign w:val="bottom"/>
            <w:tcBorders>
              <w:right w:val="single" w:sz="8" w:color="3E8EDE"/>
            </w:tcBorders>
            <w:shd w:val="clear" w:color="auto" w:fill="3E8EDE"/>
          </w:tcPr>
          <w:p>
            <w:pPr>
              <w:spacing w:after="0"/>
              <w:rPr>
                <w:sz w:val="17"/>
                <w:szCs w:val="17"/>
                <w:color w:val="auto"/>
              </w:rPr>
            </w:pPr>
          </w:p>
        </w:tc>
        <w:tc>
          <w:tcPr>
            <w:tcW w:w="740" w:type="dxa"/>
            <w:vAlign w:val="bottom"/>
            <w:gridSpan w:val="2"/>
            <w:shd w:val="clear" w:color="auto" w:fill="3E8EDE"/>
          </w:tcPr>
          <w:p>
            <w:pPr>
              <w:jc w:val="right"/>
              <w:ind w:right="71"/>
              <w:spacing w:after="0"/>
              <w:rPr>
                <w:sz w:val="20"/>
                <w:szCs w:val="20"/>
                <w:color w:val="auto"/>
              </w:rPr>
            </w:pPr>
            <w:r>
              <w:rPr>
                <w:rFonts w:ascii="Arial" w:cs="Arial" w:eastAsia="Arial" w:hAnsi="Arial"/>
                <w:sz w:val="14"/>
                <w:szCs w:val="14"/>
                <w:b w:val="1"/>
                <w:bCs w:val="1"/>
                <w:color w:val="FFFFFF"/>
              </w:rPr>
              <w:t>Other</w:t>
            </w:r>
          </w:p>
        </w:tc>
        <w:tc>
          <w:tcPr>
            <w:tcW w:w="120" w:type="dxa"/>
            <w:vAlign w:val="bottom"/>
            <w:tcBorders>
              <w:right w:val="single" w:sz="8" w:color="3E8EDE"/>
            </w:tcBorders>
            <w:shd w:val="clear" w:color="auto" w:fill="3E8EDE"/>
          </w:tcPr>
          <w:p>
            <w:pPr>
              <w:spacing w:after="0"/>
              <w:rPr>
                <w:sz w:val="17"/>
                <w:szCs w:val="17"/>
                <w:color w:val="auto"/>
              </w:rPr>
            </w:pPr>
          </w:p>
        </w:tc>
        <w:tc>
          <w:tcPr>
            <w:tcW w:w="520" w:type="dxa"/>
            <w:vAlign w:val="bottom"/>
            <w:shd w:val="clear" w:color="auto" w:fill="3E8EDE"/>
          </w:tcPr>
          <w:p>
            <w:pPr>
              <w:spacing w:after="0"/>
              <w:rPr>
                <w:sz w:val="17"/>
                <w:szCs w:val="17"/>
                <w:color w:val="auto"/>
              </w:rPr>
            </w:pPr>
          </w:p>
        </w:tc>
        <w:tc>
          <w:tcPr>
            <w:tcW w:w="240" w:type="dxa"/>
            <w:vAlign w:val="bottom"/>
            <w:shd w:val="clear" w:color="auto" w:fill="3E8EDE"/>
          </w:tcPr>
          <w:p>
            <w:pPr>
              <w:spacing w:after="0"/>
              <w:rPr>
                <w:sz w:val="17"/>
                <w:szCs w:val="17"/>
                <w:color w:val="auto"/>
              </w:rPr>
            </w:pPr>
          </w:p>
        </w:tc>
      </w:tr>
      <w:tr>
        <w:trPr>
          <w:trHeight w:val="155"/>
        </w:trPr>
        <w:tc>
          <w:tcPr>
            <w:tcW w:w="1580" w:type="dxa"/>
            <w:vAlign w:val="bottom"/>
            <w:tcBorders>
              <w:right w:val="single" w:sz="8" w:color="3E8EDE"/>
            </w:tcBorders>
            <w:shd w:val="clear" w:color="auto" w:fill="3E8EDE"/>
          </w:tcPr>
          <w:p>
            <w:pPr>
              <w:spacing w:after="0"/>
              <w:rPr>
                <w:sz w:val="13"/>
                <w:szCs w:val="13"/>
                <w:color w:val="auto"/>
              </w:rPr>
            </w:pPr>
          </w:p>
        </w:tc>
        <w:tc>
          <w:tcPr>
            <w:tcW w:w="540" w:type="dxa"/>
            <w:vAlign w:val="bottom"/>
            <w:shd w:val="clear" w:color="auto" w:fill="3E8EDE"/>
          </w:tcPr>
          <w:p>
            <w:pPr>
              <w:spacing w:after="0"/>
              <w:rPr>
                <w:sz w:val="13"/>
                <w:szCs w:val="13"/>
                <w:color w:val="auto"/>
              </w:rPr>
            </w:pPr>
          </w:p>
        </w:tc>
        <w:tc>
          <w:tcPr>
            <w:tcW w:w="380" w:type="dxa"/>
            <w:vAlign w:val="bottom"/>
            <w:tcBorders>
              <w:right w:val="single" w:sz="8" w:color="3E8EDE"/>
            </w:tcBorders>
            <w:shd w:val="clear" w:color="auto" w:fill="3E8EDE"/>
          </w:tcPr>
          <w:p>
            <w:pPr>
              <w:spacing w:after="0"/>
              <w:rPr>
                <w:sz w:val="13"/>
                <w:szCs w:val="13"/>
                <w:color w:val="auto"/>
              </w:rPr>
            </w:pPr>
          </w:p>
        </w:tc>
        <w:tc>
          <w:tcPr>
            <w:tcW w:w="740" w:type="dxa"/>
            <w:vAlign w:val="bottom"/>
            <w:shd w:val="clear" w:color="auto" w:fill="3E8EDE"/>
          </w:tcPr>
          <w:p>
            <w:pPr>
              <w:spacing w:after="0"/>
              <w:rPr>
                <w:sz w:val="13"/>
                <w:szCs w:val="13"/>
                <w:color w:val="auto"/>
              </w:rPr>
            </w:pPr>
          </w:p>
        </w:tc>
        <w:tc>
          <w:tcPr>
            <w:tcW w:w="320" w:type="dxa"/>
            <w:vAlign w:val="bottom"/>
            <w:tcBorders>
              <w:right w:val="single" w:sz="8" w:color="3E8EDE"/>
            </w:tcBorders>
            <w:shd w:val="clear" w:color="auto" w:fill="3E8EDE"/>
          </w:tcPr>
          <w:p>
            <w:pPr>
              <w:spacing w:after="0"/>
              <w:rPr>
                <w:sz w:val="13"/>
                <w:szCs w:val="13"/>
                <w:color w:val="auto"/>
              </w:rPr>
            </w:pPr>
          </w:p>
        </w:tc>
        <w:tc>
          <w:tcPr>
            <w:tcW w:w="620" w:type="dxa"/>
            <w:vAlign w:val="bottom"/>
            <w:shd w:val="clear" w:color="auto" w:fill="3E8EDE"/>
          </w:tcPr>
          <w:p>
            <w:pPr>
              <w:spacing w:after="0"/>
              <w:rPr>
                <w:sz w:val="13"/>
                <w:szCs w:val="13"/>
                <w:color w:val="auto"/>
              </w:rPr>
            </w:pPr>
          </w:p>
        </w:tc>
        <w:tc>
          <w:tcPr>
            <w:tcW w:w="400" w:type="dxa"/>
            <w:vAlign w:val="bottom"/>
            <w:tcBorders>
              <w:right w:val="single" w:sz="8" w:color="3E8EDE"/>
            </w:tcBorders>
            <w:shd w:val="clear" w:color="auto" w:fill="3E8EDE"/>
          </w:tcPr>
          <w:p>
            <w:pPr>
              <w:spacing w:after="0"/>
              <w:rPr>
                <w:sz w:val="13"/>
                <w:szCs w:val="13"/>
                <w:color w:val="auto"/>
              </w:rPr>
            </w:pPr>
          </w:p>
        </w:tc>
        <w:tc>
          <w:tcPr>
            <w:tcW w:w="540" w:type="dxa"/>
            <w:vAlign w:val="bottom"/>
            <w:shd w:val="clear" w:color="auto" w:fill="3E8EDE"/>
          </w:tcPr>
          <w:p>
            <w:pPr>
              <w:spacing w:after="0"/>
              <w:rPr>
                <w:sz w:val="13"/>
                <w:szCs w:val="13"/>
                <w:color w:val="auto"/>
              </w:rPr>
            </w:pPr>
          </w:p>
        </w:tc>
        <w:tc>
          <w:tcPr>
            <w:tcW w:w="220" w:type="dxa"/>
            <w:vAlign w:val="bottom"/>
            <w:shd w:val="clear" w:color="auto" w:fill="3E8EDE"/>
          </w:tcPr>
          <w:p>
            <w:pPr>
              <w:spacing w:after="0"/>
              <w:rPr>
                <w:sz w:val="13"/>
                <w:szCs w:val="13"/>
                <w:color w:val="auto"/>
              </w:rPr>
            </w:pPr>
          </w:p>
        </w:tc>
        <w:tc>
          <w:tcPr>
            <w:tcW w:w="140" w:type="dxa"/>
            <w:vAlign w:val="bottom"/>
            <w:tcBorders>
              <w:right w:val="single" w:sz="8" w:color="3E8EDE"/>
            </w:tcBorders>
            <w:shd w:val="clear" w:color="auto" w:fill="3E8EDE"/>
          </w:tcPr>
          <w:p>
            <w:pPr>
              <w:spacing w:after="0"/>
              <w:rPr>
                <w:sz w:val="13"/>
                <w:szCs w:val="13"/>
                <w:color w:val="auto"/>
              </w:rPr>
            </w:pPr>
          </w:p>
        </w:tc>
        <w:tc>
          <w:tcPr>
            <w:tcW w:w="102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89"/>
              </w:rPr>
              <w:t>Compensation </w:t>
            </w:r>
          </w:p>
        </w:tc>
        <w:tc>
          <w:tcPr>
            <w:tcW w:w="140" w:type="dxa"/>
            <w:vAlign w:val="bottom"/>
            <w:tcBorders>
              <w:right w:val="single" w:sz="8" w:color="3E8EDE"/>
            </w:tcBorders>
            <w:shd w:val="clear" w:color="auto" w:fill="3E8EDE"/>
          </w:tcPr>
          <w:p>
            <w:pPr>
              <w:ind w:left="80"/>
              <w:spacing w:after="0" w:line="155" w:lineRule="exact"/>
              <w:rPr>
                <w:sz w:val="20"/>
                <w:szCs w:val="20"/>
                <w:color w:val="auto"/>
              </w:rPr>
            </w:pPr>
            <w:r>
              <w:rPr>
                <w:rFonts w:ascii="Arial" w:cs="Arial" w:eastAsia="Arial" w:hAnsi="Arial"/>
                <w:sz w:val="14"/>
                <w:szCs w:val="14"/>
                <w:b w:val="1"/>
                <w:bCs w:val="1"/>
                <w:color w:val="FFFFFF"/>
                <w:w w:val="83"/>
              </w:rPr>
              <w:t> </w:t>
            </w:r>
          </w:p>
        </w:tc>
        <w:tc>
          <w:tcPr>
            <w:tcW w:w="720" w:type="dxa"/>
            <w:vAlign w:val="bottom"/>
            <w:shd w:val="clear" w:color="auto" w:fill="3E8EDE"/>
          </w:tcPr>
          <w:p>
            <w:pPr>
              <w:spacing w:after="0"/>
              <w:rPr>
                <w:sz w:val="13"/>
                <w:szCs w:val="13"/>
                <w:color w:val="auto"/>
              </w:rPr>
            </w:pPr>
          </w:p>
        </w:tc>
        <w:tc>
          <w:tcPr>
            <w:tcW w:w="320" w:type="dxa"/>
            <w:vAlign w:val="bottom"/>
            <w:shd w:val="clear" w:color="auto" w:fill="3E8EDE"/>
          </w:tcPr>
          <w:p>
            <w:pPr>
              <w:spacing w:after="0"/>
              <w:rPr>
                <w:sz w:val="13"/>
                <w:szCs w:val="13"/>
                <w:color w:val="auto"/>
              </w:rPr>
            </w:pPr>
          </w:p>
        </w:tc>
        <w:tc>
          <w:tcPr>
            <w:tcW w:w="280" w:type="dxa"/>
            <w:vAlign w:val="bottom"/>
            <w:tcBorders>
              <w:right w:val="single" w:sz="8" w:color="3E8EDE"/>
            </w:tcBorders>
            <w:shd w:val="clear" w:color="auto" w:fill="3E8EDE"/>
          </w:tcPr>
          <w:p>
            <w:pPr>
              <w:spacing w:after="0"/>
              <w:rPr>
                <w:sz w:val="13"/>
                <w:szCs w:val="13"/>
                <w:color w:val="auto"/>
              </w:rPr>
            </w:pPr>
          </w:p>
        </w:tc>
        <w:tc>
          <w:tcPr>
            <w:tcW w:w="560" w:type="dxa"/>
            <w:vAlign w:val="bottom"/>
            <w:shd w:val="clear" w:color="auto" w:fill="3E8EDE"/>
          </w:tcPr>
          <w:p>
            <w:pPr>
              <w:spacing w:after="0"/>
              <w:rPr>
                <w:sz w:val="13"/>
                <w:szCs w:val="13"/>
                <w:color w:val="auto"/>
              </w:rPr>
            </w:pPr>
          </w:p>
        </w:tc>
        <w:tc>
          <w:tcPr>
            <w:tcW w:w="320" w:type="dxa"/>
            <w:vAlign w:val="bottom"/>
            <w:shd w:val="clear" w:color="auto" w:fill="3E8EDE"/>
          </w:tcPr>
          <w:p>
            <w:pPr>
              <w:spacing w:after="0"/>
              <w:rPr>
                <w:sz w:val="13"/>
                <w:szCs w:val="13"/>
                <w:color w:val="auto"/>
              </w:rPr>
            </w:pPr>
          </w:p>
        </w:tc>
        <w:tc>
          <w:tcPr>
            <w:tcW w:w="100" w:type="dxa"/>
            <w:vAlign w:val="bottom"/>
            <w:tcBorders>
              <w:right w:val="single" w:sz="8" w:color="3E8EDE"/>
            </w:tcBorders>
            <w:shd w:val="clear" w:color="auto" w:fill="3E8EDE"/>
          </w:tcPr>
          <w:p>
            <w:pPr>
              <w:spacing w:after="0"/>
              <w:rPr>
                <w:sz w:val="13"/>
                <w:szCs w:val="13"/>
                <w:color w:val="auto"/>
              </w:rPr>
            </w:pPr>
          </w:p>
        </w:tc>
        <w:tc>
          <w:tcPr>
            <w:tcW w:w="740" w:type="dxa"/>
            <w:vAlign w:val="bottom"/>
            <w:gridSpan w:val="2"/>
            <w:shd w:val="clear" w:color="auto" w:fill="3E8EDE"/>
          </w:tcPr>
          <w:p>
            <w:pPr>
              <w:jc w:val="right"/>
              <w:ind w:right="11"/>
              <w:spacing w:after="0" w:line="155" w:lineRule="exact"/>
              <w:rPr>
                <w:sz w:val="20"/>
                <w:szCs w:val="20"/>
                <w:color w:val="auto"/>
              </w:rPr>
            </w:pPr>
            <w:r>
              <w:rPr>
                <w:rFonts w:ascii="Arial" w:cs="Arial" w:eastAsia="Arial" w:hAnsi="Arial"/>
                <w:sz w:val="14"/>
                <w:szCs w:val="14"/>
                <w:b w:val="1"/>
                <w:bCs w:val="1"/>
                <w:color w:val="FFFFFF"/>
              </w:rPr>
              <w:t>Current</w:t>
            </w:r>
          </w:p>
        </w:tc>
        <w:tc>
          <w:tcPr>
            <w:tcW w:w="120" w:type="dxa"/>
            <w:vAlign w:val="bottom"/>
            <w:tcBorders>
              <w:right w:val="single" w:sz="8" w:color="3E8EDE"/>
            </w:tcBorders>
            <w:shd w:val="clear" w:color="auto" w:fill="3E8EDE"/>
          </w:tcPr>
          <w:p>
            <w:pPr>
              <w:spacing w:after="0"/>
              <w:rPr>
                <w:sz w:val="13"/>
                <w:szCs w:val="13"/>
                <w:color w:val="auto"/>
              </w:rPr>
            </w:pPr>
          </w:p>
        </w:tc>
        <w:tc>
          <w:tcPr>
            <w:tcW w:w="520" w:type="dxa"/>
            <w:vAlign w:val="bottom"/>
            <w:shd w:val="clear" w:color="auto" w:fill="3E8EDE"/>
          </w:tcPr>
          <w:p>
            <w:pPr>
              <w:spacing w:after="0"/>
              <w:rPr>
                <w:sz w:val="13"/>
                <w:szCs w:val="13"/>
                <w:color w:val="auto"/>
              </w:rPr>
            </w:pPr>
          </w:p>
        </w:tc>
        <w:tc>
          <w:tcPr>
            <w:tcW w:w="240" w:type="dxa"/>
            <w:vAlign w:val="bottom"/>
            <w:shd w:val="clear" w:color="auto" w:fill="3E8EDE"/>
          </w:tcPr>
          <w:p>
            <w:pPr>
              <w:spacing w:after="0"/>
              <w:rPr>
                <w:sz w:val="13"/>
                <w:szCs w:val="13"/>
                <w:color w:val="auto"/>
              </w:rPr>
            </w:pPr>
          </w:p>
        </w:tc>
      </w:tr>
      <w:tr>
        <w:trPr>
          <w:trHeight w:val="155"/>
        </w:trPr>
        <w:tc>
          <w:tcPr>
            <w:tcW w:w="1580" w:type="dxa"/>
            <w:vAlign w:val="bottom"/>
            <w:tcBorders>
              <w:right w:val="single" w:sz="8" w:color="3E8EDE"/>
            </w:tcBorders>
            <w:shd w:val="clear" w:color="auto" w:fill="3E8EDE"/>
          </w:tcPr>
          <w:p>
            <w:pPr>
              <w:spacing w:after="0"/>
              <w:rPr>
                <w:sz w:val="13"/>
                <w:szCs w:val="13"/>
                <w:color w:val="auto"/>
              </w:rPr>
            </w:pPr>
          </w:p>
        </w:tc>
        <w:tc>
          <w:tcPr>
            <w:tcW w:w="540" w:type="dxa"/>
            <w:vAlign w:val="bottom"/>
            <w:shd w:val="clear" w:color="auto" w:fill="3E8EDE"/>
          </w:tcPr>
          <w:p>
            <w:pPr>
              <w:spacing w:after="0"/>
              <w:rPr>
                <w:sz w:val="13"/>
                <w:szCs w:val="13"/>
                <w:color w:val="auto"/>
              </w:rPr>
            </w:pPr>
          </w:p>
        </w:tc>
        <w:tc>
          <w:tcPr>
            <w:tcW w:w="380" w:type="dxa"/>
            <w:vAlign w:val="bottom"/>
            <w:tcBorders>
              <w:right w:val="single" w:sz="8" w:color="3E8EDE"/>
            </w:tcBorders>
            <w:shd w:val="clear" w:color="auto" w:fill="3E8EDE"/>
          </w:tcPr>
          <w:p>
            <w:pPr>
              <w:spacing w:after="0"/>
              <w:rPr>
                <w:sz w:val="13"/>
                <w:szCs w:val="13"/>
                <w:color w:val="auto"/>
              </w:rPr>
            </w:pPr>
          </w:p>
        </w:tc>
        <w:tc>
          <w:tcPr>
            <w:tcW w:w="740" w:type="dxa"/>
            <w:vAlign w:val="bottom"/>
            <w:shd w:val="clear" w:color="auto" w:fill="3E8EDE"/>
          </w:tcPr>
          <w:p>
            <w:pPr>
              <w:spacing w:after="0"/>
              <w:rPr>
                <w:sz w:val="13"/>
                <w:szCs w:val="13"/>
                <w:color w:val="auto"/>
              </w:rPr>
            </w:pPr>
          </w:p>
        </w:tc>
        <w:tc>
          <w:tcPr>
            <w:tcW w:w="320" w:type="dxa"/>
            <w:vAlign w:val="bottom"/>
            <w:tcBorders>
              <w:right w:val="single" w:sz="8" w:color="3E8EDE"/>
            </w:tcBorders>
            <w:shd w:val="clear" w:color="auto" w:fill="3E8EDE"/>
          </w:tcPr>
          <w:p>
            <w:pPr>
              <w:spacing w:after="0"/>
              <w:rPr>
                <w:sz w:val="13"/>
                <w:szCs w:val="13"/>
                <w:color w:val="auto"/>
              </w:rPr>
            </w:pPr>
          </w:p>
        </w:tc>
        <w:tc>
          <w:tcPr>
            <w:tcW w:w="620" w:type="dxa"/>
            <w:vAlign w:val="bottom"/>
            <w:shd w:val="clear" w:color="auto" w:fill="3E8EDE"/>
          </w:tcPr>
          <w:p>
            <w:pPr>
              <w:spacing w:after="0"/>
              <w:rPr>
                <w:sz w:val="13"/>
                <w:szCs w:val="13"/>
                <w:color w:val="auto"/>
              </w:rPr>
            </w:pPr>
          </w:p>
        </w:tc>
        <w:tc>
          <w:tcPr>
            <w:tcW w:w="400" w:type="dxa"/>
            <w:vAlign w:val="bottom"/>
            <w:tcBorders>
              <w:right w:val="single" w:sz="8" w:color="3E8EDE"/>
            </w:tcBorders>
            <w:shd w:val="clear" w:color="auto" w:fill="3E8EDE"/>
          </w:tcPr>
          <w:p>
            <w:pPr>
              <w:spacing w:after="0"/>
              <w:rPr>
                <w:sz w:val="13"/>
                <w:szCs w:val="13"/>
                <w:color w:val="auto"/>
              </w:rPr>
            </w:pPr>
          </w:p>
        </w:tc>
        <w:tc>
          <w:tcPr>
            <w:tcW w:w="540" w:type="dxa"/>
            <w:vAlign w:val="bottom"/>
            <w:shd w:val="clear" w:color="auto" w:fill="3E8EDE"/>
          </w:tcPr>
          <w:p>
            <w:pPr>
              <w:spacing w:after="0"/>
              <w:rPr>
                <w:sz w:val="13"/>
                <w:szCs w:val="13"/>
                <w:color w:val="auto"/>
              </w:rPr>
            </w:pPr>
          </w:p>
        </w:tc>
        <w:tc>
          <w:tcPr>
            <w:tcW w:w="220" w:type="dxa"/>
            <w:vAlign w:val="bottom"/>
            <w:shd w:val="clear" w:color="auto" w:fill="3E8EDE"/>
          </w:tcPr>
          <w:p>
            <w:pPr>
              <w:spacing w:after="0"/>
              <w:rPr>
                <w:sz w:val="13"/>
                <w:szCs w:val="13"/>
                <w:color w:val="auto"/>
              </w:rPr>
            </w:pPr>
          </w:p>
        </w:tc>
        <w:tc>
          <w:tcPr>
            <w:tcW w:w="140" w:type="dxa"/>
            <w:vAlign w:val="bottom"/>
            <w:tcBorders>
              <w:right w:val="single" w:sz="8" w:color="3E8EDE"/>
            </w:tcBorders>
            <w:shd w:val="clear" w:color="auto" w:fill="3E8EDE"/>
          </w:tcPr>
          <w:p>
            <w:pPr>
              <w:spacing w:after="0"/>
              <w:rPr>
                <w:sz w:val="13"/>
                <w:szCs w:val="13"/>
                <w:color w:val="auto"/>
              </w:rPr>
            </w:pPr>
          </w:p>
        </w:tc>
        <w:tc>
          <w:tcPr>
            <w:tcW w:w="660" w:type="dxa"/>
            <w:vAlign w:val="bottom"/>
            <w:shd w:val="clear" w:color="auto" w:fill="3E8EDE"/>
          </w:tcPr>
          <w:p>
            <w:pPr>
              <w:jc w:val="center"/>
              <w:ind w:left="278"/>
              <w:spacing w:after="0" w:line="155" w:lineRule="exact"/>
              <w:rPr>
                <w:sz w:val="20"/>
                <w:szCs w:val="20"/>
                <w:color w:val="auto"/>
              </w:rPr>
            </w:pPr>
            <w:r>
              <w:rPr>
                <w:rFonts w:ascii="Arial" w:cs="Arial" w:eastAsia="Arial" w:hAnsi="Arial"/>
                <w:sz w:val="14"/>
                <w:szCs w:val="14"/>
                <w:b w:val="1"/>
                <w:bCs w:val="1"/>
                <w:color w:val="FFFFFF"/>
                <w:w w:val="71"/>
              </w:rPr>
              <w:t>and </w:t>
            </w:r>
          </w:p>
        </w:tc>
        <w:tc>
          <w:tcPr>
            <w:tcW w:w="360" w:type="dxa"/>
            <w:vAlign w:val="bottom"/>
            <w:shd w:val="clear" w:color="auto" w:fill="3E8EDE"/>
          </w:tcPr>
          <w:p>
            <w:pPr>
              <w:ind w:left="80"/>
              <w:spacing w:after="0" w:line="155" w:lineRule="exact"/>
              <w:rPr>
                <w:sz w:val="20"/>
                <w:szCs w:val="20"/>
                <w:color w:val="auto"/>
              </w:rPr>
            </w:pPr>
            <w:r>
              <w:rPr>
                <w:rFonts w:ascii="Arial" w:cs="Arial" w:eastAsia="Arial" w:hAnsi="Arial"/>
                <w:sz w:val="14"/>
                <w:szCs w:val="14"/>
                <w:b w:val="1"/>
                <w:bCs w:val="1"/>
                <w:color w:val="FFFFFF"/>
              </w:rPr>
              <w:t> </w:t>
            </w:r>
          </w:p>
        </w:tc>
        <w:tc>
          <w:tcPr>
            <w:tcW w:w="140" w:type="dxa"/>
            <w:vAlign w:val="bottom"/>
            <w:tcBorders>
              <w:right w:val="single" w:sz="8" w:color="3E8EDE"/>
            </w:tcBorders>
            <w:shd w:val="clear" w:color="auto" w:fill="3E8EDE"/>
          </w:tcPr>
          <w:p>
            <w:pPr>
              <w:spacing w:after="0"/>
              <w:rPr>
                <w:sz w:val="13"/>
                <w:szCs w:val="13"/>
                <w:color w:val="auto"/>
              </w:rPr>
            </w:pPr>
          </w:p>
        </w:tc>
        <w:tc>
          <w:tcPr>
            <w:tcW w:w="1040" w:type="dxa"/>
            <w:vAlign w:val="bottom"/>
            <w:gridSpan w:val="2"/>
            <w:shd w:val="clear" w:color="auto" w:fill="3E8EDE"/>
          </w:tcPr>
          <w:p>
            <w:pPr>
              <w:jc w:val="center"/>
              <w:ind w:left="59"/>
              <w:spacing w:after="0" w:line="155" w:lineRule="exact"/>
              <w:rPr>
                <w:sz w:val="20"/>
                <w:szCs w:val="20"/>
                <w:color w:val="auto"/>
              </w:rPr>
            </w:pPr>
            <w:r>
              <w:rPr>
                <w:rFonts w:ascii="Arial" w:cs="Arial" w:eastAsia="Arial" w:hAnsi="Arial"/>
                <w:sz w:val="14"/>
                <w:szCs w:val="14"/>
                <w:b w:val="1"/>
                <w:bCs w:val="1"/>
                <w:color w:val="FFFFFF"/>
                <w:w w:val="87"/>
              </w:rPr>
              <w:t>Nominating </w:t>
            </w:r>
          </w:p>
        </w:tc>
        <w:tc>
          <w:tcPr>
            <w:tcW w:w="280" w:type="dxa"/>
            <w:vAlign w:val="bottom"/>
            <w:tcBorders>
              <w:right w:val="single" w:sz="8" w:color="3E8EDE"/>
            </w:tcBorders>
            <w:shd w:val="clear" w:color="auto" w:fill="3E8EDE"/>
          </w:tcPr>
          <w:p>
            <w:pPr>
              <w:ind w:left="40"/>
              <w:spacing w:after="0" w:line="155" w:lineRule="exact"/>
              <w:rPr>
                <w:sz w:val="20"/>
                <w:szCs w:val="20"/>
                <w:color w:val="auto"/>
              </w:rPr>
            </w:pPr>
            <w:r>
              <w:rPr>
                <w:rFonts w:ascii="Arial" w:cs="Arial" w:eastAsia="Arial" w:hAnsi="Arial"/>
                <w:sz w:val="14"/>
                <w:szCs w:val="14"/>
                <w:b w:val="1"/>
                <w:bCs w:val="1"/>
                <w:color w:val="FFFFFF"/>
              </w:rPr>
              <w:t> </w:t>
            </w:r>
          </w:p>
        </w:tc>
        <w:tc>
          <w:tcPr>
            <w:tcW w:w="88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87"/>
              </w:rPr>
              <w:t>Compliance </w:t>
            </w:r>
          </w:p>
        </w:tc>
        <w:tc>
          <w:tcPr>
            <w:tcW w:w="840" w:type="dxa"/>
            <w:vAlign w:val="bottom"/>
            <w:gridSpan w:val="3"/>
            <w:shd w:val="clear" w:color="auto" w:fill="3E8EDE"/>
          </w:tcPr>
          <w:p>
            <w:pPr>
              <w:jc w:val="right"/>
              <w:ind w:right="51"/>
              <w:spacing w:after="0" w:line="155" w:lineRule="exact"/>
              <w:rPr>
                <w:sz w:val="20"/>
                <w:szCs w:val="20"/>
                <w:color w:val="auto"/>
              </w:rPr>
            </w:pPr>
            <w:r>
              <w:rPr>
                <w:rFonts w:ascii="Arial" w:cs="Arial" w:eastAsia="Arial" w:hAnsi="Arial"/>
                <w:sz w:val="14"/>
                <w:szCs w:val="14"/>
                <w:b w:val="1"/>
                <w:bCs w:val="1"/>
                <w:color w:val="FFFFFF"/>
              </w:rPr>
              <w:t>    Public</w:t>
            </w:r>
          </w:p>
        </w:tc>
        <w:tc>
          <w:tcPr>
            <w:tcW w:w="120" w:type="dxa"/>
            <w:vAlign w:val="bottom"/>
            <w:tcBorders>
              <w:right w:val="single" w:sz="8" w:color="3E8EDE"/>
            </w:tcBorders>
            <w:shd w:val="clear" w:color="auto" w:fill="3E8EDE"/>
          </w:tcPr>
          <w:p>
            <w:pPr>
              <w:spacing w:after="0"/>
              <w:rPr>
                <w:sz w:val="13"/>
                <w:szCs w:val="13"/>
                <w:color w:val="auto"/>
              </w:rPr>
            </w:pPr>
          </w:p>
        </w:tc>
        <w:tc>
          <w:tcPr>
            <w:tcW w:w="520" w:type="dxa"/>
            <w:vAlign w:val="bottom"/>
            <w:shd w:val="clear" w:color="auto" w:fill="3E8EDE"/>
          </w:tcPr>
          <w:p>
            <w:pPr>
              <w:spacing w:after="0"/>
              <w:rPr>
                <w:sz w:val="13"/>
                <w:szCs w:val="13"/>
                <w:color w:val="auto"/>
              </w:rPr>
            </w:pPr>
          </w:p>
        </w:tc>
        <w:tc>
          <w:tcPr>
            <w:tcW w:w="240" w:type="dxa"/>
            <w:vAlign w:val="bottom"/>
            <w:shd w:val="clear" w:color="auto" w:fill="3E8EDE"/>
          </w:tcPr>
          <w:p>
            <w:pPr>
              <w:spacing w:after="0"/>
              <w:rPr>
                <w:sz w:val="13"/>
                <w:szCs w:val="13"/>
                <w:color w:val="auto"/>
              </w:rPr>
            </w:pPr>
          </w:p>
        </w:tc>
      </w:tr>
      <w:tr>
        <w:trPr>
          <w:trHeight w:val="155"/>
        </w:trPr>
        <w:tc>
          <w:tcPr>
            <w:tcW w:w="1580" w:type="dxa"/>
            <w:vAlign w:val="bottom"/>
            <w:tcBorders>
              <w:right w:val="single" w:sz="8" w:color="3E8EDE"/>
            </w:tcBorders>
            <w:shd w:val="clear" w:color="auto" w:fill="3E8EDE"/>
          </w:tcPr>
          <w:p>
            <w:pPr>
              <w:spacing w:after="0"/>
              <w:rPr>
                <w:sz w:val="13"/>
                <w:szCs w:val="13"/>
                <w:color w:val="auto"/>
              </w:rPr>
            </w:pPr>
          </w:p>
        </w:tc>
        <w:tc>
          <w:tcPr>
            <w:tcW w:w="540" w:type="dxa"/>
            <w:vAlign w:val="bottom"/>
            <w:shd w:val="clear" w:color="auto" w:fill="3E8EDE"/>
          </w:tcPr>
          <w:p>
            <w:pPr>
              <w:spacing w:after="0"/>
              <w:rPr>
                <w:sz w:val="13"/>
                <w:szCs w:val="13"/>
                <w:color w:val="auto"/>
              </w:rPr>
            </w:pPr>
          </w:p>
        </w:tc>
        <w:tc>
          <w:tcPr>
            <w:tcW w:w="380" w:type="dxa"/>
            <w:vAlign w:val="bottom"/>
            <w:tcBorders>
              <w:right w:val="single" w:sz="8" w:color="3E8EDE"/>
            </w:tcBorders>
            <w:shd w:val="clear" w:color="auto" w:fill="3E8EDE"/>
          </w:tcPr>
          <w:p>
            <w:pPr>
              <w:spacing w:after="0"/>
              <w:rPr>
                <w:sz w:val="13"/>
                <w:szCs w:val="13"/>
                <w:color w:val="auto"/>
              </w:rPr>
            </w:pPr>
          </w:p>
        </w:tc>
        <w:tc>
          <w:tcPr>
            <w:tcW w:w="740" w:type="dxa"/>
            <w:vAlign w:val="bottom"/>
            <w:shd w:val="clear" w:color="auto" w:fill="3E8EDE"/>
          </w:tcPr>
          <w:p>
            <w:pPr>
              <w:jc w:val="right"/>
              <w:spacing w:after="0" w:line="155" w:lineRule="exact"/>
              <w:rPr>
                <w:sz w:val="20"/>
                <w:szCs w:val="20"/>
                <w:color w:val="auto"/>
              </w:rPr>
            </w:pPr>
            <w:r>
              <w:rPr>
                <w:rFonts w:ascii="Arial" w:cs="Arial" w:eastAsia="Arial" w:hAnsi="Arial"/>
                <w:sz w:val="14"/>
                <w:szCs w:val="14"/>
                <w:b w:val="1"/>
                <w:bCs w:val="1"/>
                <w:color w:val="FFFFFF"/>
              </w:rPr>
              <w:t>Director </w:t>
            </w:r>
          </w:p>
        </w:tc>
        <w:tc>
          <w:tcPr>
            <w:tcW w:w="320" w:type="dxa"/>
            <w:vAlign w:val="bottom"/>
            <w:tcBorders>
              <w:right w:val="single" w:sz="8" w:color="3E8EDE"/>
            </w:tcBorders>
            <w:shd w:val="clear" w:color="auto" w:fill="3E8EDE"/>
          </w:tcPr>
          <w:p>
            <w:pPr>
              <w:ind w:left="100"/>
              <w:spacing w:after="0" w:line="155" w:lineRule="exact"/>
              <w:rPr>
                <w:sz w:val="20"/>
                <w:szCs w:val="20"/>
                <w:color w:val="auto"/>
              </w:rPr>
            </w:pPr>
            <w:r>
              <w:rPr>
                <w:rFonts w:ascii="Arial" w:cs="Arial" w:eastAsia="Arial" w:hAnsi="Arial"/>
                <w:sz w:val="14"/>
                <w:szCs w:val="14"/>
                <w:b w:val="1"/>
                <w:bCs w:val="1"/>
                <w:color w:val="FFFFFF"/>
              </w:rPr>
              <w:t> </w:t>
            </w:r>
          </w:p>
        </w:tc>
        <w:tc>
          <w:tcPr>
            <w:tcW w:w="620" w:type="dxa"/>
            <w:vAlign w:val="bottom"/>
            <w:shd w:val="clear" w:color="auto" w:fill="3E8EDE"/>
          </w:tcPr>
          <w:p>
            <w:pPr>
              <w:spacing w:after="0"/>
              <w:rPr>
                <w:sz w:val="13"/>
                <w:szCs w:val="13"/>
                <w:color w:val="auto"/>
              </w:rPr>
            </w:pPr>
          </w:p>
        </w:tc>
        <w:tc>
          <w:tcPr>
            <w:tcW w:w="400" w:type="dxa"/>
            <w:vAlign w:val="bottom"/>
            <w:tcBorders>
              <w:right w:val="single" w:sz="8" w:color="3E8EDE"/>
            </w:tcBorders>
            <w:shd w:val="clear" w:color="auto" w:fill="3E8EDE"/>
          </w:tcPr>
          <w:p>
            <w:pPr>
              <w:spacing w:after="0"/>
              <w:rPr>
                <w:sz w:val="13"/>
                <w:szCs w:val="13"/>
                <w:color w:val="auto"/>
              </w:rPr>
            </w:pPr>
          </w:p>
        </w:tc>
        <w:tc>
          <w:tcPr>
            <w:tcW w:w="540" w:type="dxa"/>
            <w:vAlign w:val="bottom"/>
            <w:shd w:val="clear" w:color="auto" w:fill="3E8EDE"/>
          </w:tcPr>
          <w:p>
            <w:pPr>
              <w:spacing w:after="0"/>
              <w:rPr>
                <w:sz w:val="13"/>
                <w:szCs w:val="13"/>
                <w:color w:val="auto"/>
              </w:rPr>
            </w:pPr>
          </w:p>
        </w:tc>
        <w:tc>
          <w:tcPr>
            <w:tcW w:w="220" w:type="dxa"/>
            <w:vAlign w:val="bottom"/>
            <w:shd w:val="clear" w:color="auto" w:fill="3E8EDE"/>
          </w:tcPr>
          <w:p>
            <w:pPr>
              <w:spacing w:after="0"/>
              <w:rPr>
                <w:sz w:val="13"/>
                <w:szCs w:val="13"/>
                <w:color w:val="auto"/>
              </w:rPr>
            </w:pPr>
          </w:p>
        </w:tc>
        <w:tc>
          <w:tcPr>
            <w:tcW w:w="140" w:type="dxa"/>
            <w:vAlign w:val="bottom"/>
            <w:tcBorders>
              <w:right w:val="single" w:sz="8" w:color="3E8EDE"/>
            </w:tcBorders>
            <w:shd w:val="clear" w:color="auto" w:fill="3E8EDE"/>
          </w:tcPr>
          <w:p>
            <w:pPr>
              <w:spacing w:after="0"/>
              <w:rPr>
                <w:sz w:val="13"/>
                <w:szCs w:val="13"/>
                <w:color w:val="auto"/>
              </w:rPr>
            </w:pPr>
          </w:p>
        </w:tc>
        <w:tc>
          <w:tcPr>
            <w:tcW w:w="102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88"/>
              </w:rPr>
              <w:t>Organization </w:t>
            </w:r>
          </w:p>
        </w:tc>
        <w:tc>
          <w:tcPr>
            <w:tcW w:w="140" w:type="dxa"/>
            <w:vAlign w:val="bottom"/>
            <w:tcBorders>
              <w:right w:val="single" w:sz="8" w:color="3E8EDE"/>
            </w:tcBorders>
            <w:shd w:val="clear" w:color="auto" w:fill="3E8EDE"/>
          </w:tcPr>
          <w:p>
            <w:pPr>
              <w:ind w:left="20"/>
              <w:spacing w:after="0" w:line="155" w:lineRule="exact"/>
              <w:rPr>
                <w:sz w:val="20"/>
                <w:szCs w:val="20"/>
                <w:color w:val="auto"/>
              </w:rPr>
            </w:pPr>
            <w:r>
              <w:rPr>
                <w:rFonts w:ascii="Arial" w:cs="Arial" w:eastAsia="Arial" w:hAnsi="Arial"/>
                <w:sz w:val="14"/>
                <w:szCs w:val="14"/>
                <w:b w:val="1"/>
                <w:bCs w:val="1"/>
                <w:color w:val="FFFFFF"/>
              </w:rPr>
              <w:t> </w:t>
            </w:r>
          </w:p>
        </w:tc>
        <w:tc>
          <w:tcPr>
            <w:tcW w:w="720" w:type="dxa"/>
            <w:vAlign w:val="bottom"/>
            <w:shd w:val="clear" w:color="auto" w:fill="3E8EDE"/>
          </w:tcPr>
          <w:p>
            <w:pPr>
              <w:jc w:val="center"/>
              <w:ind w:left="379"/>
              <w:spacing w:after="0" w:line="155" w:lineRule="exact"/>
              <w:rPr>
                <w:sz w:val="20"/>
                <w:szCs w:val="20"/>
                <w:color w:val="auto"/>
              </w:rPr>
            </w:pPr>
            <w:r>
              <w:rPr>
                <w:rFonts w:ascii="Arial" w:cs="Arial" w:eastAsia="Arial" w:hAnsi="Arial"/>
                <w:sz w:val="14"/>
                <w:szCs w:val="14"/>
                <w:b w:val="1"/>
                <w:bCs w:val="1"/>
                <w:color w:val="FFFFFF"/>
                <w:w w:val="71"/>
              </w:rPr>
              <w:t>and </w:t>
            </w:r>
          </w:p>
        </w:tc>
        <w:tc>
          <w:tcPr>
            <w:tcW w:w="320" w:type="dxa"/>
            <w:vAlign w:val="bottom"/>
            <w:shd w:val="clear" w:color="auto" w:fill="3E8EDE"/>
          </w:tcPr>
          <w:p>
            <w:pPr>
              <w:ind w:left="100"/>
              <w:spacing w:after="0" w:line="155" w:lineRule="exact"/>
              <w:rPr>
                <w:sz w:val="20"/>
                <w:szCs w:val="20"/>
                <w:color w:val="auto"/>
              </w:rPr>
            </w:pPr>
            <w:r>
              <w:rPr>
                <w:rFonts w:ascii="Arial" w:cs="Arial" w:eastAsia="Arial" w:hAnsi="Arial"/>
                <w:sz w:val="14"/>
                <w:szCs w:val="14"/>
                <w:b w:val="1"/>
                <w:bCs w:val="1"/>
                <w:color w:val="FFFFFF"/>
              </w:rPr>
              <w:t> </w:t>
            </w:r>
          </w:p>
        </w:tc>
        <w:tc>
          <w:tcPr>
            <w:tcW w:w="280" w:type="dxa"/>
            <w:vAlign w:val="bottom"/>
            <w:tcBorders>
              <w:right w:val="single" w:sz="8" w:color="3E8EDE"/>
            </w:tcBorders>
            <w:shd w:val="clear" w:color="auto" w:fill="3E8EDE"/>
          </w:tcPr>
          <w:p>
            <w:pPr>
              <w:spacing w:after="0"/>
              <w:rPr>
                <w:sz w:val="13"/>
                <w:szCs w:val="13"/>
                <w:color w:val="auto"/>
              </w:rPr>
            </w:pPr>
          </w:p>
        </w:tc>
        <w:tc>
          <w:tcPr>
            <w:tcW w:w="560" w:type="dxa"/>
            <w:vAlign w:val="bottom"/>
            <w:shd w:val="clear" w:color="auto" w:fill="3E8EDE"/>
          </w:tcPr>
          <w:p>
            <w:pPr>
              <w:jc w:val="center"/>
              <w:ind w:left="178"/>
              <w:spacing w:after="0" w:line="155" w:lineRule="exact"/>
              <w:rPr>
                <w:sz w:val="20"/>
                <w:szCs w:val="20"/>
                <w:color w:val="auto"/>
              </w:rPr>
            </w:pPr>
            <w:r>
              <w:rPr>
                <w:rFonts w:ascii="Arial" w:cs="Arial" w:eastAsia="Arial" w:hAnsi="Arial"/>
                <w:sz w:val="14"/>
                <w:szCs w:val="14"/>
                <w:b w:val="1"/>
                <w:bCs w:val="1"/>
                <w:color w:val="FFFFFF"/>
                <w:w w:val="71"/>
              </w:rPr>
              <w:t>and </w:t>
            </w:r>
          </w:p>
        </w:tc>
        <w:tc>
          <w:tcPr>
            <w:tcW w:w="320" w:type="dxa"/>
            <w:vAlign w:val="bottom"/>
            <w:shd w:val="clear" w:color="auto" w:fill="3E8EDE"/>
          </w:tcPr>
          <w:p>
            <w:pPr>
              <w:ind w:left="80"/>
              <w:spacing w:after="0" w:line="155" w:lineRule="exact"/>
              <w:rPr>
                <w:sz w:val="20"/>
                <w:szCs w:val="20"/>
                <w:color w:val="auto"/>
              </w:rPr>
            </w:pPr>
            <w:r>
              <w:rPr>
                <w:rFonts w:ascii="Arial" w:cs="Arial" w:eastAsia="Arial" w:hAnsi="Arial"/>
                <w:sz w:val="14"/>
                <w:szCs w:val="14"/>
                <w:b w:val="1"/>
                <w:bCs w:val="1"/>
                <w:color w:val="FFFFFF"/>
              </w:rPr>
              <w:t> </w:t>
            </w:r>
          </w:p>
        </w:tc>
        <w:tc>
          <w:tcPr>
            <w:tcW w:w="100" w:type="dxa"/>
            <w:vAlign w:val="bottom"/>
            <w:tcBorders>
              <w:right w:val="single" w:sz="8" w:color="3E8EDE"/>
            </w:tcBorders>
            <w:shd w:val="clear" w:color="auto" w:fill="3E8EDE"/>
          </w:tcPr>
          <w:p>
            <w:pPr>
              <w:spacing w:after="0"/>
              <w:rPr>
                <w:sz w:val="13"/>
                <w:szCs w:val="13"/>
                <w:color w:val="auto"/>
              </w:rPr>
            </w:pPr>
          </w:p>
        </w:tc>
        <w:tc>
          <w:tcPr>
            <w:tcW w:w="740" w:type="dxa"/>
            <w:vAlign w:val="bottom"/>
            <w:gridSpan w:val="2"/>
            <w:shd w:val="clear" w:color="auto" w:fill="3E8EDE"/>
          </w:tcPr>
          <w:p>
            <w:pPr>
              <w:jc w:val="right"/>
              <w:spacing w:after="0" w:line="155" w:lineRule="exact"/>
              <w:rPr>
                <w:sz w:val="20"/>
                <w:szCs w:val="20"/>
                <w:color w:val="auto"/>
              </w:rPr>
            </w:pPr>
            <w:r>
              <w:rPr>
                <w:rFonts w:ascii="Arial" w:cs="Arial" w:eastAsia="Arial" w:hAnsi="Arial"/>
                <w:sz w:val="14"/>
                <w:szCs w:val="14"/>
                <w:b w:val="1"/>
                <w:bCs w:val="1"/>
                <w:color w:val="FFFFFF"/>
              </w:rPr>
              <w:t xml:space="preserve"> Company </w:t>
            </w:r>
          </w:p>
        </w:tc>
        <w:tc>
          <w:tcPr>
            <w:tcW w:w="640" w:type="dxa"/>
            <w:vAlign w:val="bottom"/>
            <w:gridSpan w:val="2"/>
            <w:shd w:val="clear" w:color="auto" w:fill="3E8EDE"/>
          </w:tcPr>
          <w:p>
            <w:pPr>
              <w:ind w:left="60"/>
              <w:spacing w:after="0" w:line="155" w:lineRule="exact"/>
              <w:rPr>
                <w:sz w:val="20"/>
                <w:szCs w:val="20"/>
                <w:color w:val="auto"/>
              </w:rPr>
            </w:pPr>
            <w:r>
              <w:rPr>
                <w:rFonts w:ascii="Arial" w:cs="Arial" w:eastAsia="Arial" w:hAnsi="Arial"/>
                <w:sz w:val="14"/>
                <w:szCs w:val="14"/>
                <w:b w:val="1"/>
                <w:bCs w:val="1"/>
                <w:color w:val="FFFFFF"/>
              </w:rPr>
              <w:t> </w:t>
            </w:r>
          </w:p>
        </w:tc>
        <w:tc>
          <w:tcPr>
            <w:tcW w:w="240" w:type="dxa"/>
            <w:vAlign w:val="bottom"/>
            <w:shd w:val="clear" w:color="auto" w:fill="3E8EDE"/>
          </w:tcPr>
          <w:p>
            <w:pPr>
              <w:spacing w:after="0"/>
              <w:rPr>
                <w:sz w:val="13"/>
                <w:szCs w:val="13"/>
                <w:color w:val="auto"/>
              </w:rPr>
            </w:pPr>
          </w:p>
        </w:tc>
      </w:tr>
      <w:tr>
        <w:trPr>
          <w:trHeight w:val="217"/>
        </w:trPr>
        <w:tc>
          <w:tcPr>
            <w:tcW w:w="1580" w:type="dxa"/>
            <w:vAlign w:val="bottom"/>
            <w:tcBorders>
              <w:right w:val="single" w:sz="8" w:color="3E8EDE"/>
            </w:tcBorders>
            <w:shd w:val="clear" w:color="auto" w:fill="3E8EDE"/>
          </w:tcPr>
          <w:p>
            <w:pPr>
              <w:spacing w:after="0"/>
              <w:rPr>
                <w:sz w:val="20"/>
                <w:szCs w:val="20"/>
                <w:color w:val="auto"/>
              </w:rPr>
            </w:pPr>
            <w:r>
              <w:rPr>
                <w:rFonts w:ascii="Arial" w:cs="Arial" w:eastAsia="Arial" w:hAnsi="Arial"/>
                <w:sz w:val="14"/>
                <w:szCs w:val="14"/>
                <w:b w:val="1"/>
                <w:bCs w:val="1"/>
                <w:color w:val="FFFFFF"/>
              </w:rPr>
              <w:t>  Name</w:t>
            </w:r>
          </w:p>
        </w:tc>
        <w:tc>
          <w:tcPr>
            <w:tcW w:w="920" w:type="dxa"/>
            <w:vAlign w:val="bottom"/>
            <w:tcBorders>
              <w:right w:val="single" w:sz="8" w:color="3E8EDE"/>
            </w:tcBorders>
            <w:gridSpan w:val="2"/>
            <w:shd w:val="clear" w:color="auto" w:fill="3E8EDE"/>
          </w:tcPr>
          <w:p>
            <w:pPr>
              <w:ind w:left="80"/>
              <w:spacing w:after="0" w:line="217" w:lineRule="exact"/>
              <w:rPr>
                <w:sz w:val="20"/>
                <w:szCs w:val="20"/>
                <w:color w:val="auto"/>
              </w:rPr>
            </w:pPr>
            <w:r>
              <w:rPr>
                <w:rFonts w:ascii="Arial" w:cs="Arial" w:eastAsia="Arial" w:hAnsi="Arial"/>
                <w:sz w:val="14"/>
                <w:szCs w:val="14"/>
                <w:b w:val="1"/>
                <w:bCs w:val="1"/>
                <w:color w:val="FFFFFF"/>
              </w:rPr>
              <w:t>    Age</w:t>
            </w:r>
            <w:r>
              <w:rPr>
                <w:rFonts w:ascii="Arial" w:cs="Arial" w:eastAsia="Arial" w:hAnsi="Arial"/>
                <w:sz w:val="20"/>
                <w:szCs w:val="20"/>
                <w:b w:val="1"/>
                <w:bCs w:val="1"/>
                <w:color w:val="FFFFFF"/>
                <w:vertAlign w:val="superscript"/>
              </w:rPr>
              <w:t>(1)</w:t>
            </w:r>
            <w:r>
              <w:rPr>
                <w:rFonts w:ascii="Arial" w:cs="Arial" w:eastAsia="Arial" w:hAnsi="Arial"/>
                <w:sz w:val="14"/>
                <w:szCs w:val="14"/>
                <w:b w:val="1"/>
                <w:bCs w:val="1"/>
                <w:color w:val="FFFFFF"/>
              </w:rPr>
              <w:t xml:space="preserve">    </w:t>
            </w:r>
          </w:p>
        </w:tc>
        <w:tc>
          <w:tcPr>
            <w:tcW w:w="740" w:type="dxa"/>
            <w:vAlign w:val="bottom"/>
            <w:shd w:val="clear" w:color="auto" w:fill="3E8EDE"/>
          </w:tcPr>
          <w:p>
            <w:pPr>
              <w:jc w:val="right"/>
              <w:ind w:right="11"/>
              <w:spacing w:after="0"/>
              <w:rPr>
                <w:sz w:val="20"/>
                <w:szCs w:val="20"/>
                <w:color w:val="auto"/>
              </w:rPr>
            </w:pPr>
            <w:r>
              <w:rPr>
                <w:rFonts w:ascii="Arial" w:cs="Arial" w:eastAsia="Arial" w:hAnsi="Arial"/>
                <w:sz w:val="14"/>
                <w:szCs w:val="14"/>
                <w:b w:val="1"/>
                <w:bCs w:val="1"/>
                <w:color w:val="FFFFFF"/>
              </w:rPr>
              <w:t>Since </w:t>
            </w:r>
          </w:p>
        </w:tc>
        <w:tc>
          <w:tcPr>
            <w:tcW w:w="320" w:type="dxa"/>
            <w:vAlign w:val="bottom"/>
            <w:tcBorders>
              <w:right w:val="single" w:sz="8" w:color="3E8EDE"/>
            </w:tcBorders>
            <w:shd w:val="clear" w:color="auto" w:fill="3E8EDE"/>
          </w:tcPr>
          <w:p>
            <w:pPr>
              <w:ind w:left="20"/>
              <w:spacing w:after="0"/>
              <w:rPr>
                <w:sz w:val="20"/>
                <w:szCs w:val="20"/>
                <w:color w:val="auto"/>
              </w:rPr>
            </w:pPr>
            <w:r>
              <w:rPr>
                <w:rFonts w:ascii="Arial" w:cs="Arial" w:eastAsia="Arial" w:hAnsi="Arial"/>
                <w:sz w:val="14"/>
                <w:szCs w:val="14"/>
                <w:b w:val="1"/>
                <w:bCs w:val="1"/>
                <w:color w:val="FFFFFF"/>
              </w:rPr>
              <w:t> </w:t>
            </w:r>
          </w:p>
        </w:tc>
        <w:tc>
          <w:tcPr>
            <w:tcW w:w="1020" w:type="dxa"/>
            <w:vAlign w:val="bottom"/>
            <w:tcBorders>
              <w:right w:val="single" w:sz="8" w:color="3E8EDE"/>
            </w:tcBorders>
            <w:gridSpan w:val="2"/>
            <w:shd w:val="clear" w:color="auto" w:fill="3E8EDE"/>
          </w:tcPr>
          <w:p>
            <w:pPr>
              <w:jc w:val="center"/>
              <w:spacing w:after="0"/>
              <w:rPr>
                <w:sz w:val="20"/>
                <w:szCs w:val="20"/>
                <w:color w:val="auto"/>
              </w:rPr>
            </w:pPr>
            <w:r>
              <w:rPr>
                <w:rFonts w:ascii="Arial" w:cs="Arial" w:eastAsia="Arial" w:hAnsi="Arial"/>
                <w:sz w:val="14"/>
                <w:szCs w:val="14"/>
                <w:b w:val="1"/>
                <w:bCs w:val="1"/>
                <w:color w:val="FFFFFF"/>
              </w:rPr>
              <w:t xml:space="preserve">Independent    </w:t>
            </w:r>
          </w:p>
        </w:tc>
        <w:tc>
          <w:tcPr>
            <w:tcW w:w="540" w:type="dxa"/>
            <w:vAlign w:val="bottom"/>
            <w:shd w:val="clear" w:color="auto" w:fill="3E8EDE"/>
          </w:tcPr>
          <w:p>
            <w:pPr>
              <w:ind w:left="120"/>
              <w:spacing w:after="0"/>
              <w:rPr>
                <w:sz w:val="20"/>
                <w:szCs w:val="20"/>
                <w:color w:val="auto"/>
              </w:rPr>
            </w:pPr>
            <w:r>
              <w:rPr>
                <w:rFonts w:ascii="Arial" w:cs="Arial" w:eastAsia="Arial" w:hAnsi="Arial"/>
                <w:sz w:val="14"/>
                <w:szCs w:val="14"/>
                <w:b w:val="1"/>
                <w:bCs w:val="1"/>
                <w:color w:val="FFFFFF"/>
                <w:w w:val="80"/>
              </w:rPr>
              <w:t>Audit </w:t>
            </w:r>
          </w:p>
        </w:tc>
        <w:tc>
          <w:tcPr>
            <w:tcW w:w="220" w:type="dxa"/>
            <w:vAlign w:val="bottom"/>
            <w:shd w:val="clear" w:color="auto" w:fill="3E8EDE"/>
          </w:tcPr>
          <w:p>
            <w:pPr>
              <w:ind w:left="60"/>
              <w:spacing w:after="0" w:line="216" w:lineRule="exact"/>
              <w:rPr>
                <w:sz w:val="20"/>
                <w:szCs w:val="20"/>
                <w:color w:val="auto"/>
              </w:rPr>
            </w:pPr>
            <w:r>
              <w:rPr>
                <w:rFonts w:ascii="Arial" w:cs="Arial" w:eastAsia="Arial" w:hAnsi="Arial"/>
                <w:sz w:val="25"/>
                <w:szCs w:val="25"/>
                <w:b w:val="1"/>
                <w:bCs w:val="1"/>
                <w:color w:val="FFFFFF"/>
                <w:w w:val="82"/>
                <w:vertAlign w:val="subscript"/>
              </w:rPr>
              <w:t xml:space="preserve"> </w:t>
            </w:r>
            <w:r>
              <w:rPr>
                <w:rFonts w:ascii="Arial" w:cs="Arial" w:eastAsia="Arial" w:hAnsi="Arial"/>
                <w:sz w:val="10"/>
                <w:szCs w:val="10"/>
                <w:b w:val="1"/>
                <w:bCs w:val="1"/>
                <w:color w:val="FFFFFF"/>
                <w:w w:val="82"/>
              </w:rPr>
              <w:t>(2)</w:t>
            </w:r>
          </w:p>
        </w:tc>
        <w:tc>
          <w:tcPr>
            <w:tcW w:w="140" w:type="dxa"/>
            <w:vAlign w:val="bottom"/>
            <w:tcBorders>
              <w:right w:val="single" w:sz="8" w:color="3E8EDE"/>
            </w:tcBorders>
            <w:shd w:val="clear" w:color="auto" w:fill="3E8EDE"/>
          </w:tcPr>
          <w:p>
            <w:pPr>
              <w:spacing w:after="0"/>
              <w:rPr>
                <w:sz w:val="18"/>
                <w:szCs w:val="18"/>
                <w:color w:val="auto"/>
              </w:rPr>
            </w:pPr>
          </w:p>
        </w:tc>
        <w:tc>
          <w:tcPr>
            <w:tcW w:w="1020" w:type="dxa"/>
            <w:vAlign w:val="bottom"/>
            <w:gridSpan w:val="2"/>
            <w:shd w:val="clear" w:color="auto" w:fill="3E8EDE"/>
          </w:tcPr>
          <w:p>
            <w:pPr>
              <w:jc w:val="center"/>
              <w:spacing w:after="0"/>
              <w:rPr>
                <w:sz w:val="20"/>
                <w:szCs w:val="20"/>
                <w:color w:val="auto"/>
              </w:rPr>
            </w:pPr>
            <w:r>
              <w:rPr>
                <w:rFonts w:ascii="Arial" w:cs="Arial" w:eastAsia="Arial" w:hAnsi="Arial"/>
                <w:sz w:val="14"/>
                <w:szCs w:val="14"/>
                <w:b w:val="1"/>
                <w:bCs w:val="1"/>
                <w:color w:val="FFFFFF"/>
                <w:w w:val="90"/>
              </w:rPr>
              <w:t>Development </w:t>
            </w:r>
          </w:p>
        </w:tc>
        <w:tc>
          <w:tcPr>
            <w:tcW w:w="140" w:type="dxa"/>
            <w:vAlign w:val="bottom"/>
            <w:tcBorders>
              <w:right w:val="single" w:sz="8" w:color="3E8EDE"/>
            </w:tcBorders>
            <w:shd w:val="clear" w:color="auto" w:fill="3E8EDE"/>
          </w:tcPr>
          <w:p>
            <w:pPr>
              <w:ind w:left="40"/>
              <w:spacing w:after="0"/>
              <w:rPr>
                <w:sz w:val="20"/>
                <w:szCs w:val="20"/>
                <w:color w:val="auto"/>
              </w:rPr>
            </w:pPr>
            <w:r>
              <w:rPr>
                <w:rFonts w:ascii="Arial" w:cs="Arial" w:eastAsia="Arial" w:hAnsi="Arial"/>
                <w:sz w:val="14"/>
                <w:szCs w:val="14"/>
                <w:b w:val="1"/>
                <w:bCs w:val="1"/>
                <w:color w:val="FFFFFF"/>
              </w:rPr>
              <w:t> </w:t>
            </w:r>
          </w:p>
        </w:tc>
        <w:tc>
          <w:tcPr>
            <w:tcW w:w="1040" w:type="dxa"/>
            <w:vAlign w:val="bottom"/>
            <w:gridSpan w:val="2"/>
            <w:shd w:val="clear" w:color="auto" w:fill="3E8EDE"/>
          </w:tcPr>
          <w:p>
            <w:pPr>
              <w:jc w:val="center"/>
              <w:ind w:left="59"/>
              <w:spacing w:after="0"/>
              <w:rPr>
                <w:sz w:val="20"/>
                <w:szCs w:val="20"/>
                <w:color w:val="auto"/>
              </w:rPr>
            </w:pPr>
            <w:r>
              <w:rPr>
                <w:rFonts w:ascii="Arial" w:cs="Arial" w:eastAsia="Arial" w:hAnsi="Arial"/>
                <w:sz w:val="14"/>
                <w:szCs w:val="14"/>
                <w:b w:val="1"/>
                <w:bCs w:val="1"/>
                <w:color w:val="FFFFFF"/>
                <w:w w:val="88"/>
              </w:rPr>
              <w:t>Governance </w:t>
            </w:r>
          </w:p>
        </w:tc>
        <w:tc>
          <w:tcPr>
            <w:tcW w:w="280" w:type="dxa"/>
            <w:vAlign w:val="bottom"/>
            <w:tcBorders>
              <w:right w:val="single" w:sz="8" w:color="3E8EDE"/>
            </w:tcBorders>
            <w:shd w:val="clear" w:color="auto" w:fill="3E8EDE"/>
          </w:tcPr>
          <w:p>
            <w:pPr>
              <w:ind w:left="60"/>
              <w:spacing w:after="0"/>
              <w:rPr>
                <w:sz w:val="20"/>
                <w:szCs w:val="20"/>
                <w:color w:val="auto"/>
              </w:rPr>
            </w:pPr>
            <w:r>
              <w:rPr>
                <w:rFonts w:ascii="Arial" w:cs="Arial" w:eastAsia="Arial" w:hAnsi="Arial"/>
                <w:sz w:val="14"/>
                <w:szCs w:val="14"/>
                <w:b w:val="1"/>
                <w:bCs w:val="1"/>
                <w:color w:val="FFFFFF"/>
              </w:rPr>
              <w:t> </w:t>
            </w:r>
          </w:p>
        </w:tc>
        <w:tc>
          <w:tcPr>
            <w:tcW w:w="880" w:type="dxa"/>
            <w:vAlign w:val="bottom"/>
            <w:gridSpan w:val="2"/>
            <w:shd w:val="clear" w:color="auto" w:fill="3E8EDE"/>
          </w:tcPr>
          <w:p>
            <w:pPr>
              <w:ind w:left="80"/>
              <w:spacing w:after="0"/>
              <w:rPr>
                <w:sz w:val="20"/>
                <w:szCs w:val="20"/>
                <w:color w:val="auto"/>
              </w:rPr>
            </w:pPr>
            <w:r>
              <w:rPr>
                <w:rFonts w:ascii="Arial" w:cs="Arial" w:eastAsia="Arial" w:hAnsi="Arial"/>
                <w:sz w:val="14"/>
                <w:szCs w:val="14"/>
                <w:b w:val="1"/>
                <w:bCs w:val="1"/>
                <w:color w:val="FFFFFF"/>
                <w:w w:val="99"/>
              </w:rPr>
              <w:t>Technology</w:t>
            </w:r>
          </w:p>
        </w:tc>
        <w:tc>
          <w:tcPr>
            <w:tcW w:w="100" w:type="dxa"/>
            <w:vAlign w:val="bottom"/>
            <w:tcBorders>
              <w:right w:val="single" w:sz="8" w:color="3E8EDE"/>
            </w:tcBorders>
            <w:shd w:val="clear" w:color="auto" w:fill="3E8EDE"/>
          </w:tcPr>
          <w:p>
            <w:pPr>
              <w:spacing w:after="0"/>
              <w:rPr>
                <w:sz w:val="18"/>
                <w:szCs w:val="18"/>
                <w:color w:val="auto"/>
              </w:rPr>
            </w:pPr>
          </w:p>
        </w:tc>
        <w:tc>
          <w:tcPr>
            <w:tcW w:w="740" w:type="dxa"/>
            <w:vAlign w:val="bottom"/>
            <w:gridSpan w:val="2"/>
            <w:shd w:val="clear" w:color="auto" w:fill="3E8EDE"/>
          </w:tcPr>
          <w:p>
            <w:pPr>
              <w:jc w:val="right"/>
              <w:ind w:right="31"/>
              <w:spacing w:after="0"/>
              <w:rPr>
                <w:sz w:val="20"/>
                <w:szCs w:val="20"/>
                <w:color w:val="auto"/>
              </w:rPr>
            </w:pPr>
            <w:r>
              <w:rPr>
                <w:rFonts w:ascii="Arial" w:cs="Arial" w:eastAsia="Arial" w:hAnsi="Arial"/>
                <w:sz w:val="14"/>
                <w:szCs w:val="14"/>
                <w:b w:val="1"/>
                <w:bCs w:val="1"/>
                <w:color w:val="FFFFFF"/>
              </w:rPr>
              <w:t>Boards</w:t>
            </w:r>
          </w:p>
        </w:tc>
        <w:tc>
          <w:tcPr>
            <w:tcW w:w="120" w:type="dxa"/>
            <w:vAlign w:val="bottom"/>
            <w:tcBorders>
              <w:right w:val="single" w:sz="8" w:color="3E8EDE"/>
            </w:tcBorders>
            <w:shd w:val="clear" w:color="auto" w:fill="3E8EDE"/>
          </w:tcPr>
          <w:p>
            <w:pPr>
              <w:spacing w:after="0"/>
              <w:rPr>
                <w:sz w:val="18"/>
                <w:szCs w:val="18"/>
                <w:color w:val="auto"/>
              </w:rPr>
            </w:pPr>
          </w:p>
        </w:tc>
        <w:tc>
          <w:tcPr>
            <w:tcW w:w="760" w:type="dxa"/>
            <w:vAlign w:val="bottom"/>
            <w:gridSpan w:val="2"/>
            <w:shd w:val="clear" w:color="auto" w:fill="3E8EDE"/>
          </w:tcPr>
          <w:p>
            <w:pPr>
              <w:jc w:val="center"/>
              <w:spacing w:after="0"/>
              <w:rPr>
                <w:sz w:val="20"/>
                <w:szCs w:val="20"/>
                <w:color w:val="auto"/>
              </w:rPr>
            </w:pPr>
            <w:r>
              <w:rPr>
                <w:rFonts w:ascii="Arial" w:cs="Arial" w:eastAsia="Arial" w:hAnsi="Arial"/>
                <w:sz w:val="14"/>
                <w:szCs w:val="14"/>
                <w:b w:val="1"/>
                <w:bCs w:val="1"/>
                <w:color w:val="FFFFFF"/>
              </w:rPr>
              <w:t xml:space="preserve">Diversity    </w:t>
            </w:r>
          </w:p>
        </w:tc>
      </w:tr>
      <w:tr>
        <w:trPr>
          <w:trHeight w:val="161"/>
        </w:trPr>
        <w:tc>
          <w:tcPr>
            <w:tcW w:w="1580" w:type="dxa"/>
            <w:vAlign w:val="bottom"/>
            <w:tcBorders>
              <w:right w:val="single" w:sz="8" w:color="B2B2B2"/>
            </w:tcBorders>
          </w:tcPr>
          <w:p>
            <w:pPr>
              <w:ind w:left="80"/>
              <w:spacing w:after="0"/>
              <w:rPr>
                <w:sz w:val="20"/>
                <w:szCs w:val="20"/>
                <w:color w:val="auto"/>
              </w:rPr>
            </w:pPr>
            <w:r>
              <w:rPr>
                <w:rFonts w:ascii="Arial" w:cs="Arial" w:eastAsia="Arial" w:hAnsi="Arial"/>
                <w:sz w:val="14"/>
                <w:szCs w:val="14"/>
                <w:b w:val="1"/>
                <w:bCs w:val="1"/>
                <w:color w:val="3E8EDE"/>
              </w:rPr>
              <w:t>Dr. Esther M. Alegria</w:t>
            </w:r>
            <w:r>
              <w:rPr>
                <w:rFonts w:ascii="Arial" w:cs="Arial" w:eastAsia="Arial" w:hAnsi="Arial"/>
                <w:sz w:val="14"/>
                <w:szCs w:val="14"/>
                <w:color w:val="000000"/>
              </w:rPr>
              <w:t xml:space="preserve"> </w:t>
            </w:r>
          </w:p>
        </w:tc>
        <w:tc>
          <w:tcPr>
            <w:tcW w:w="540" w:type="dxa"/>
            <w:vAlign w:val="bottom"/>
          </w:tcPr>
          <w:p>
            <w:pPr>
              <w:ind w:left="300"/>
              <w:spacing w:after="0"/>
              <w:rPr>
                <w:sz w:val="20"/>
                <w:szCs w:val="20"/>
                <w:color w:val="auto"/>
              </w:rPr>
            </w:pPr>
            <w:r>
              <w:rPr>
                <w:rFonts w:ascii="Arial" w:cs="Arial" w:eastAsia="Arial" w:hAnsi="Arial"/>
                <w:sz w:val="14"/>
                <w:szCs w:val="14"/>
                <w:color w:val="auto"/>
                <w:w w:val="74"/>
              </w:rPr>
              <w:t>67 </w:t>
            </w:r>
          </w:p>
        </w:tc>
        <w:tc>
          <w:tcPr>
            <w:tcW w:w="380" w:type="dxa"/>
            <w:vAlign w:val="bottom"/>
            <w:tcBorders>
              <w:right w:val="single" w:sz="8" w:color="B2B2B2"/>
            </w:tcBorders>
          </w:tcPr>
          <w:p>
            <w:pPr>
              <w:ind w:left="60"/>
              <w:spacing w:after="0"/>
              <w:rPr>
                <w:sz w:val="20"/>
                <w:szCs w:val="20"/>
                <w:color w:val="auto"/>
              </w:rPr>
            </w:pPr>
            <w:r>
              <w:rPr>
                <w:rFonts w:ascii="Arial" w:cs="Arial" w:eastAsia="Arial" w:hAnsi="Arial"/>
                <w:sz w:val="14"/>
                <w:szCs w:val="14"/>
                <w:color w:val="auto"/>
              </w:rPr>
              <w:t> </w:t>
            </w: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2023 </w:t>
            </w:r>
          </w:p>
        </w:tc>
        <w:tc>
          <w:tcPr>
            <w:tcW w:w="320" w:type="dxa"/>
            <w:vAlign w:val="bottom"/>
            <w:tcBorders>
              <w:right w:val="single" w:sz="8" w:color="B2B2B2"/>
            </w:tcBorders>
          </w:tcPr>
          <w:p>
            <w:pPr>
              <w:spacing w:after="0"/>
              <w:rPr>
                <w:sz w:val="20"/>
                <w:szCs w:val="20"/>
                <w:color w:val="auto"/>
              </w:rPr>
            </w:pPr>
            <w:r>
              <w:rPr>
                <w:rFonts w:ascii="Arial" w:cs="Arial" w:eastAsia="Arial" w:hAnsi="Arial"/>
                <w:sz w:val="14"/>
                <w:szCs w:val="14"/>
                <w:color w:val="auto"/>
              </w:rPr>
              <w:t> </w:t>
            </w:r>
          </w:p>
        </w:tc>
        <w:tc>
          <w:tcPr>
            <w:tcW w:w="620" w:type="dxa"/>
            <w:vAlign w:val="bottom"/>
          </w:tcPr>
          <w:p>
            <w:pPr>
              <w:jc w:val="center"/>
              <w:ind w:left="311"/>
              <w:spacing w:after="0" w:line="16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400" w:type="dxa"/>
            <w:vAlign w:val="bottom"/>
            <w:tcBorders>
              <w:right w:val="single" w:sz="8" w:color="B2B2B2"/>
            </w:tcBorders>
          </w:tcPr>
          <w:p>
            <w:pPr>
              <w:ind w:left="60"/>
              <w:spacing w:after="0"/>
              <w:rPr>
                <w:sz w:val="20"/>
                <w:szCs w:val="20"/>
                <w:color w:val="auto"/>
              </w:rPr>
            </w:pPr>
            <w:r>
              <w:rPr>
                <w:rFonts w:ascii="Arial" w:cs="Arial" w:eastAsia="Arial" w:hAnsi="Arial"/>
                <w:sz w:val="14"/>
                <w:szCs w:val="14"/>
                <w:color w:val="3E8EDE"/>
              </w:rPr>
              <w:t> </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right w:val="single" w:sz="8" w:color="B2B2B2"/>
            </w:tcBorders>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right w:val="single" w:sz="8" w:color="B2B2B2"/>
            </w:tcBorders>
          </w:tcPr>
          <w:p>
            <w:pPr>
              <w:spacing w:after="0"/>
              <w:rPr>
                <w:sz w:val="13"/>
                <w:szCs w:val="13"/>
                <w:color w:val="auto"/>
              </w:rPr>
            </w:pPr>
          </w:p>
        </w:tc>
        <w:tc>
          <w:tcPr>
            <w:tcW w:w="720" w:type="dxa"/>
            <w:vAlign w:val="bottom"/>
          </w:tcPr>
          <w:p>
            <w:pPr>
              <w:jc w:val="center"/>
              <w:ind w:left="419"/>
              <w:spacing w:after="0" w:line="16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320" w:type="dxa"/>
            <w:vAlign w:val="bottom"/>
          </w:tcPr>
          <w:p>
            <w:pPr>
              <w:ind w:left="60"/>
              <w:spacing w:after="0"/>
              <w:rPr>
                <w:sz w:val="20"/>
                <w:szCs w:val="20"/>
                <w:color w:val="auto"/>
              </w:rPr>
            </w:pPr>
            <w:r>
              <w:rPr>
                <w:rFonts w:ascii="Arial" w:cs="Arial" w:eastAsia="Arial" w:hAnsi="Arial"/>
                <w:sz w:val="14"/>
                <w:szCs w:val="14"/>
                <w:color w:val="3E8EDE"/>
              </w:rPr>
              <w:t> </w:t>
            </w:r>
          </w:p>
        </w:tc>
        <w:tc>
          <w:tcPr>
            <w:tcW w:w="280" w:type="dxa"/>
            <w:vAlign w:val="bottom"/>
            <w:tcBorders>
              <w:right w:val="single" w:sz="8" w:color="B2B2B2"/>
            </w:tcBorders>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B2B2B2"/>
            </w:tcBorders>
          </w:tcPr>
          <w:p>
            <w:pPr>
              <w:spacing w:after="0"/>
              <w:rPr>
                <w:sz w:val="13"/>
                <w:szCs w:val="13"/>
                <w:color w:val="auto"/>
              </w:rPr>
            </w:pPr>
          </w:p>
        </w:tc>
        <w:tc>
          <w:tcPr>
            <w:tcW w:w="540" w:type="dxa"/>
            <w:vAlign w:val="bottom"/>
          </w:tcPr>
          <w:p>
            <w:pPr>
              <w:jc w:val="center"/>
              <w:ind w:left="261"/>
              <w:spacing w:after="0"/>
              <w:rPr>
                <w:sz w:val="20"/>
                <w:szCs w:val="20"/>
                <w:color w:val="auto"/>
              </w:rPr>
            </w:pPr>
            <w:r>
              <w:rPr>
                <w:rFonts w:ascii="Arial" w:cs="Arial" w:eastAsia="Arial" w:hAnsi="Arial"/>
                <w:sz w:val="12"/>
                <w:szCs w:val="12"/>
                <w:color w:val="auto"/>
                <w:w w:val="74"/>
              </w:rPr>
              <w:t>— </w:t>
            </w:r>
          </w:p>
        </w:tc>
        <w:tc>
          <w:tcPr>
            <w:tcW w:w="200" w:type="dxa"/>
            <w:vAlign w:val="bottom"/>
          </w:tcPr>
          <w:p>
            <w:pPr>
              <w:jc w:val="right"/>
              <w:ind w:right="11"/>
              <w:spacing w:after="0"/>
              <w:rPr>
                <w:sz w:val="20"/>
                <w:szCs w:val="20"/>
                <w:color w:val="auto"/>
              </w:rPr>
            </w:pPr>
            <w:r>
              <w:rPr>
                <w:rFonts w:ascii="Arial" w:cs="Arial" w:eastAsia="Arial" w:hAnsi="Arial"/>
                <w:sz w:val="14"/>
                <w:szCs w:val="14"/>
                <w:color w:val="auto"/>
              </w:rPr>
              <w:t> </w:t>
            </w:r>
          </w:p>
        </w:tc>
        <w:tc>
          <w:tcPr>
            <w:tcW w:w="120" w:type="dxa"/>
            <w:vAlign w:val="bottom"/>
            <w:tcBorders>
              <w:right w:val="single" w:sz="8" w:color="B2B2B2"/>
            </w:tcBorders>
          </w:tcPr>
          <w:p>
            <w:pPr>
              <w:spacing w:after="0"/>
              <w:rPr>
                <w:sz w:val="13"/>
                <w:szCs w:val="13"/>
                <w:color w:val="auto"/>
              </w:rPr>
            </w:pPr>
          </w:p>
        </w:tc>
        <w:tc>
          <w:tcPr>
            <w:tcW w:w="520" w:type="dxa"/>
            <w:vAlign w:val="bottom"/>
          </w:tcPr>
          <w:p>
            <w:pPr>
              <w:jc w:val="center"/>
              <w:ind w:left="211"/>
              <w:spacing w:after="0" w:line="16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240" w:type="dxa"/>
            <w:vAlign w:val="bottom"/>
          </w:tcPr>
          <w:p>
            <w:pPr>
              <w:ind w:left="60"/>
              <w:spacing w:after="0"/>
              <w:rPr>
                <w:sz w:val="20"/>
                <w:szCs w:val="20"/>
                <w:color w:val="auto"/>
              </w:rPr>
            </w:pPr>
            <w:r>
              <w:rPr>
                <w:rFonts w:ascii="Arial" w:cs="Arial" w:eastAsia="Arial" w:hAnsi="Arial"/>
                <w:sz w:val="14"/>
                <w:szCs w:val="14"/>
                <w:color w:val="3E8EDE"/>
              </w:rPr>
              <w:t> </w:t>
            </w:r>
          </w:p>
        </w:tc>
      </w:tr>
      <w:tr>
        <w:trPr>
          <w:trHeight w:val="167"/>
        </w:trPr>
        <w:tc>
          <w:tcPr>
            <w:tcW w:w="1580" w:type="dxa"/>
            <w:vAlign w:val="bottom"/>
            <w:tcBorders>
              <w:right w:val="single" w:sz="8" w:color="B2B2B2"/>
            </w:tcBorders>
          </w:tcPr>
          <w:p>
            <w:pPr>
              <w:ind w:left="80"/>
              <w:spacing w:after="0"/>
              <w:rPr>
                <w:sz w:val="20"/>
                <w:szCs w:val="20"/>
                <w:color w:val="auto"/>
              </w:rPr>
            </w:pPr>
            <w:r>
              <w:rPr>
                <w:rFonts w:ascii="Arial" w:cs="Arial" w:eastAsia="Arial" w:hAnsi="Arial"/>
                <w:sz w:val="14"/>
                <w:szCs w:val="14"/>
                <w:color w:val="auto"/>
              </w:rPr>
              <w:t>Executive Consultant</w:t>
            </w:r>
          </w:p>
        </w:tc>
        <w:tc>
          <w:tcPr>
            <w:tcW w:w="540" w:type="dxa"/>
            <w:vAlign w:val="bottom"/>
          </w:tcPr>
          <w:p>
            <w:pPr>
              <w:spacing w:after="0"/>
              <w:rPr>
                <w:sz w:val="14"/>
                <w:szCs w:val="14"/>
                <w:color w:val="auto"/>
              </w:rPr>
            </w:pPr>
          </w:p>
        </w:tc>
        <w:tc>
          <w:tcPr>
            <w:tcW w:w="380" w:type="dxa"/>
            <w:vAlign w:val="bottom"/>
            <w:tcBorders>
              <w:right w:val="single" w:sz="8" w:color="B2B2B2"/>
            </w:tcBorders>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Borders>
              <w:right w:val="single" w:sz="8" w:color="B2B2B2"/>
            </w:tcBorders>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Borders>
              <w:right w:val="single" w:sz="8" w:color="B2B2B2"/>
            </w:tcBorders>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right w:val="single" w:sz="8" w:color="B2B2B2"/>
            </w:tcBorders>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right w:val="single" w:sz="8" w:color="B2B2B2"/>
            </w:tcBorders>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right w:val="single" w:sz="8" w:color="B2B2B2"/>
            </w:tcBorders>
          </w:tcPr>
          <w:p>
            <w:pPr>
              <w:spacing w:after="0"/>
              <w:rPr>
                <w:sz w:val="14"/>
                <w:szCs w:val="14"/>
                <w:color w:val="auto"/>
              </w:rPr>
            </w:pPr>
          </w:p>
        </w:tc>
        <w:tc>
          <w:tcPr>
            <w:tcW w:w="560" w:type="dxa"/>
            <w:vAlign w:val="bottom"/>
          </w:tcPr>
          <w:p>
            <w:pPr>
              <w:jc w:val="center"/>
              <w:ind w:left="298"/>
              <w:spacing w:after="0"/>
              <w:rPr>
                <w:sz w:val="20"/>
                <w:szCs w:val="20"/>
                <w:color w:val="auto"/>
              </w:rPr>
            </w:pPr>
            <w:r>
              <w:rPr>
                <w:rFonts w:ascii="Arial" w:cs="Arial" w:eastAsia="Arial" w:hAnsi="Arial"/>
                <w:sz w:val="5"/>
                <w:szCs w:val="5"/>
                <w:color w:val="auto"/>
                <w:w w:val="79"/>
              </w:rPr>
              <w:t> </w:t>
            </w:r>
          </w:p>
        </w:tc>
        <w:tc>
          <w:tcPr>
            <w:tcW w:w="320" w:type="dxa"/>
            <w:vAlign w:val="bottom"/>
          </w:tcPr>
          <w:p>
            <w:pPr>
              <w:ind w:left="20"/>
              <w:spacing w:after="0"/>
              <w:rPr>
                <w:sz w:val="20"/>
                <w:szCs w:val="20"/>
                <w:color w:val="auto"/>
              </w:rPr>
            </w:pPr>
            <w:r>
              <w:rPr>
                <w:rFonts w:ascii="Arial" w:cs="Arial" w:eastAsia="Arial" w:hAnsi="Arial"/>
                <w:sz w:val="14"/>
                <w:szCs w:val="14"/>
                <w:color w:val="auto"/>
              </w:rPr>
              <w:t> </w:t>
            </w:r>
          </w:p>
        </w:tc>
        <w:tc>
          <w:tcPr>
            <w:tcW w:w="100" w:type="dxa"/>
            <w:vAlign w:val="bottom"/>
            <w:tcBorders>
              <w:right w:val="single" w:sz="8" w:color="B2B2B2"/>
            </w:tcBorders>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right w:val="single" w:sz="8" w:color="B2B2B2"/>
            </w:tcBorders>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3"/>
        </w:trPr>
        <w:tc>
          <w:tcPr>
            <w:tcW w:w="1580" w:type="dxa"/>
            <w:vAlign w:val="bottom"/>
            <w:tcBorders>
              <w:right w:val="single" w:sz="8" w:color="B2B2B2"/>
            </w:tcBorders>
          </w:tcPr>
          <w:p>
            <w:pPr>
              <w:ind w:left="80"/>
              <w:spacing w:after="0" w:line="143" w:lineRule="exact"/>
              <w:rPr>
                <w:sz w:val="20"/>
                <w:szCs w:val="20"/>
                <w:color w:val="auto"/>
              </w:rPr>
            </w:pPr>
            <w:r>
              <w:rPr>
                <w:rFonts w:ascii="Arial" w:cs="Arial" w:eastAsia="Arial" w:hAnsi="Arial"/>
                <w:sz w:val="14"/>
                <w:szCs w:val="14"/>
                <w:color w:val="auto"/>
              </w:rPr>
              <w:t>and Advisor at</w:t>
            </w:r>
          </w:p>
        </w:tc>
        <w:tc>
          <w:tcPr>
            <w:tcW w:w="540" w:type="dxa"/>
            <w:vAlign w:val="bottom"/>
          </w:tcPr>
          <w:p>
            <w:pPr>
              <w:spacing w:after="0"/>
              <w:rPr>
                <w:sz w:val="12"/>
                <w:szCs w:val="12"/>
                <w:color w:val="auto"/>
              </w:rPr>
            </w:pPr>
          </w:p>
        </w:tc>
        <w:tc>
          <w:tcPr>
            <w:tcW w:w="380" w:type="dxa"/>
            <w:vAlign w:val="bottom"/>
            <w:tcBorders>
              <w:right w:val="single" w:sz="8" w:color="B2B2B2"/>
            </w:tcBorders>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Borders>
              <w:right w:val="single" w:sz="8" w:color="B2B2B2"/>
            </w:tcBorders>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Borders>
              <w:right w:val="single" w:sz="8" w:color="B2B2B2"/>
            </w:tcBorders>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right w:val="single" w:sz="8" w:color="B2B2B2"/>
            </w:tcBorders>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right w:val="single" w:sz="8" w:color="B2B2B2"/>
            </w:tcBorders>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right w:val="single" w:sz="8" w:color="B2B2B2"/>
            </w:tcBorders>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B2B2B2"/>
            </w:tcBorders>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right w:val="single" w:sz="8" w:color="B2B2B2"/>
            </w:tcBorders>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1"/>
        </w:trPr>
        <w:tc>
          <w:tcPr>
            <w:tcW w:w="1580" w:type="dxa"/>
            <w:vAlign w:val="bottom"/>
            <w:tcBorders>
              <w:right w:val="single" w:sz="8" w:color="B2B2B2"/>
            </w:tcBorders>
          </w:tcPr>
          <w:p>
            <w:pPr>
              <w:ind w:left="80"/>
              <w:spacing w:after="0"/>
              <w:rPr>
                <w:sz w:val="20"/>
                <w:szCs w:val="20"/>
                <w:color w:val="auto"/>
              </w:rPr>
            </w:pPr>
            <w:r>
              <w:rPr>
                <w:rFonts w:ascii="Arial" w:cs="Arial" w:eastAsia="Arial" w:hAnsi="Arial"/>
                <w:sz w:val="14"/>
                <w:szCs w:val="14"/>
                <w:color w:val="auto"/>
              </w:rPr>
              <w:t>The LaSalle Group</w:t>
            </w:r>
          </w:p>
        </w:tc>
        <w:tc>
          <w:tcPr>
            <w:tcW w:w="540" w:type="dxa"/>
            <w:vAlign w:val="bottom"/>
          </w:tcPr>
          <w:p>
            <w:pPr>
              <w:spacing w:after="0"/>
              <w:rPr>
                <w:sz w:val="15"/>
                <w:szCs w:val="15"/>
                <w:color w:val="auto"/>
              </w:rPr>
            </w:pPr>
          </w:p>
        </w:tc>
        <w:tc>
          <w:tcPr>
            <w:tcW w:w="380" w:type="dxa"/>
            <w:vAlign w:val="bottom"/>
            <w:tcBorders>
              <w:right w:val="single" w:sz="8" w:color="B2B2B2"/>
            </w:tcBorders>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Borders>
              <w:right w:val="single" w:sz="8" w:color="B2B2B2"/>
            </w:tcBorders>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right w:val="single" w:sz="8" w:color="B2B2B2"/>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right w:val="single" w:sz="8" w:color="B2B2B2"/>
            </w:tcBorders>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47"/>
        </w:trPr>
        <w:tc>
          <w:tcPr>
            <w:tcW w:w="158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380" w:type="dxa"/>
            <w:vAlign w:val="bottom"/>
            <w:tcBorders>
              <w:bottom w:val="single" w:sz="8" w:color="B2B2B2"/>
              <w:right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c>
          <w:tcPr>
            <w:tcW w:w="320" w:type="dxa"/>
            <w:vAlign w:val="bottom"/>
            <w:tcBorders>
              <w:bottom w:val="single" w:sz="8" w:color="B2B2B2"/>
              <w:right w:val="single" w:sz="8" w:color="B2B2B2"/>
            </w:tcBorders>
          </w:tcPr>
          <w:p>
            <w:pPr>
              <w:spacing w:after="0"/>
              <w:rPr>
                <w:sz w:val="4"/>
                <w:szCs w:val="4"/>
                <w:color w:val="auto"/>
              </w:rPr>
            </w:pPr>
          </w:p>
        </w:tc>
        <w:tc>
          <w:tcPr>
            <w:tcW w:w="620" w:type="dxa"/>
            <w:vAlign w:val="bottom"/>
            <w:tcBorders>
              <w:bottom w:val="single" w:sz="8" w:color="B2B2B2"/>
            </w:tcBorders>
          </w:tcPr>
          <w:p>
            <w:pPr>
              <w:spacing w:after="0"/>
              <w:rPr>
                <w:sz w:val="4"/>
                <w:szCs w:val="4"/>
                <w:color w:val="auto"/>
              </w:rPr>
            </w:pPr>
          </w:p>
        </w:tc>
        <w:tc>
          <w:tcPr>
            <w:tcW w:w="4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2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660" w:type="dxa"/>
            <w:vAlign w:val="bottom"/>
            <w:tcBorders>
              <w:bottom w:val="single" w:sz="8" w:color="B2B2B2"/>
            </w:tcBorders>
          </w:tcPr>
          <w:p>
            <w:pPr>
              <w:spacing w:after="0"/>
              <w:rPr>
                <w:sz w:val="4"/>
                <w:szCs w:val="4"/>
                <w:color w:val="auto"/>
              </w:rPr>
            </w:pPr>
          </w:p>
        </w:tc>
        <w:tc>
          <w:tcPr>
            <w:tcW w:w="36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280" w:type="dxa"/>
            <w:vAlign w:val="bottom"/>
            <w:tcBorders>
              <w:bottom w:val="single" w:sz="8" w:color="B2B2B2"/>
              <w:right w:val="single" w:sz="8" w:color="B2B2B2"/>
            </w:tcBorders>
          </w:tcPr>
          <w:p>
            <w:pPr>
              <w:spacing w:after="0"/>
              <w:rPr>
                <w:sz w:val="4"/>
                <w:szCs w:val="4"/>
                <w:color w:val="auto"/>
              </w:rPr>
            </w:pPr>
          </w:p>
        </w:tc>
        <w:tc>
          <w:tcPr>
            <w:tcW w:w="56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1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00" w:type="dxa"/>
            <w:vAlign w:val="bottom"/>
            <w:tcBorders>
              <w:bottom w:val="single" w:sz="8" w:color="B2B2B2"/>
            </w:tcBorders>
          </w:tcPr>
          <w:p>
            <w:pPr>
              <w:spacing w:after="0"/>
              <w:rPr>
                <w:sz w:val="4"/>
                <w:szCs w:val="4"/>
                <w:color w:val="auto"/>
              </w:rPr>
            </w:pPr>
          </w:p>
        </w:tc>
        <w:tc>
          <w:tcPr>
            <w:tcW w:w="120" w:type="dxa"/>
            <w:vAlign w:val="bottom"/>
            <w:tcBorders>
              <w:bottom w:val="single" w:sz="8" w:color="B2B2B2"/>
              <w:right w:val="single" w:sz="8" w:color="B2B2B2"/>
            </w:tcBorders>
          </w:tcPr>
          <w:p>
            <w:pPr>
              <w:spacing w:after="0"/>
              <w:rPr>
                <w:sz w:val="4"/>
                <w:szCs w:val="4"/>
                <w:color w:val="auto"/>
              </w:rPr>
            </w:pPr>
          </w:p>
        </w:tc>
        <w:tc>
          <w:tcPr>
            <w:tcW w:w="52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r>
      <w:tr>
        <w:trPr>
          <w:trHeight w:val="141"/>
        </w:trPr>
        <w:tc>
          <w:tcPr>
            <w:tcW w:w="1580" w:type="dxa"/>
            <w:vAlign w:val="bottom"/>
            <w:tcBorders>
              <w:right w:val="single" w:sz="8" w:color="B2B2B2"/>
            </w:tcBorders>
          </w:tcPr>
          <w:p>
            <w:pPr>
              <w:ind w:left="80"/>
              <w:spacing w:after="0" w:line="141" w:lineRule="exact"/>
              <w:rPr>
                <w:sz w:val="20"/>
                <w:szCs w:val="20"/>
                <w:color w:val="auto"/>
              </w:rPr>
            </w:pPr>
            <w:r>
              <w:rPr>
                <w:rFonts w:ascii="Arial" w:cs="Arial" w:eastAsia="Arial" w:hAnsi="Arial"/>
                <w:sz w:val="14"/>
                <w:szCs w:val="14"/>
                <w:b w:val="1"/>
                <w:bCs w:val="1"/>
                <w:color w:val="3E8EDE"/>
              </w:rPr>
              <w:t>Pierre Boulud</w:t>
            </w:r>
          </w:p>
        </w:tc>
        <w:tc>
          <w:tcPr>
            <w:tcW w:w="540" w:type="dxa"/>
            <w:vAlign w:val="bottom"/>
          </w:tcPr>
          <w:p>
            <w:pPr>
              <w:ind w:left="300"/>
              <w:spacing w:after="0" w:line="141" w:lineRule="exact"/>
              <w:rPr>
                <w:sz w:val="20"/>
                <w:szCs w:val="20"/>
                <w:color w:val="auto"/>
              </w:rPr>
            </w:pPr>
            <w:r>
              <w:rPr>
                <w:rFonts w:ascii="Arial" w:cs="Arial" w:eastAsia="Arial" w:hAnsi="Arial"/>
                <w:sz w:val="14"/>
                <w:szCs w:val="14"/>
                <w:color w:val="auto"/>
                <w:w w:val="74"/>
              </w:rPr>
              <w:t>54 </w:t>
            </w:r>
          </w:p>
        </w:tc>
        <w:tc>
          <w:tcPr>
            <w:tcW w:w="380" w:type="dxa"/>
            <w:vAlign w:val="bottom"/>
            <w:tcBorders>
              <w:right w:val="single" w:sz="8" w:color="B2B2B2"/>
            </w:tcBorders>
          </w:tcPr>
          <w:p>
            <w:pPr>
              <w:ind w:left="60"/>
              <w:spacing w:after="0" w:line="141" w:lineRule="exact"/>
              <w:rPr>
                <w:sz w:val="20"/>
                <w:szCs w:val="20"/>
                <w:color w:val="auto"/>
              </w:rPr>
            </w:pPr>
            <w:r>
              <w:rPr>
                <w:rFonts w:ascii="Arial" w:cs="Arial" w:eastAsia="Arial" w:hAnsi="Arial"/>
                <w:sz w:val="14"/>
                <w:szCs w:val="14"/>
                <w:color w:val="auto"/>
              </w:rPr>
              <w:t> </w:t>
            </w:r>
          </w:p>
        </w:tc>
        <w:tc>
          <w:tcPr>
            <w:tcW w:w="740" w:type="dxa"/>
            <w:vAlign w:val="bottom"/>
          </w:tcPr>
          <w:p>
            <w:pPr>
              <w:jc w:val="right"/>
              <w:ind w:right="31"/>
              <w:spacing w:after="0" w:line="141" w:lineRule="exact"/>
              <w:rPr>
                <w:sz w:val="20"/>
                <w:szCs w:val="20"/>
                <w:color w:val="auto"/>
              </w:rPr>
            </w:pPr>
            <w:r>
              <w:rPr>
                <w:rFonts w:ascii="Arial" w:cs="Arial" w:eastAsia="Arial" w:hAnsi="Arial"/>
                <w:sz w:val="14"/>
                <w:szCs w:val="14"/>
                <w:color w:val="auto"/>
              </w:rPr>
              <w:t>2026 </w:t>
            </w:r>
          </w:p>
        </w:tc>
        <w:tc>
          <w:tcPr>
            <w:tcW w:w="320" w:type="dxa"/>
            <w:vAlign w:val="bottom"/>
            <w:tcBorders>
              <w:right w:val="single" w:sz="8" w:color="B2B2B2"/>
            </w:tcBorders>
          </w:tcPr>
          <w:p>
            <w:pPr>
              <w:spacing w:after="0" w:line="141" w:lineRule="exact"/>
              <w:rPr>
                <w:sz w:val="20"/>
                <w:szCs w:val="20"/>
                <w:color w:val="auto"/>
              </w:rPr>
            </w:pPr>
            <w:r>
              <w:rPr>
                <w:rFonts w:ascii="Arial" w:cs="Arial" w:eastAsia="Arial" w:hAnsi="Arial"/>
                <w:sz w:val="14"/>
                <w:szCs w:val="14"/>
                <w:color w:val="auto"/>
              </w:rPr>
              <w:t> </w:t>
            </w:r>
          </w:p>
        </w:tc>
        <w:tc>
          <w:tcPr>
            <w:tcW w:w="620" w:type="dxa"/>
            <w:vAlign w:val="bottom"/>
          </w:tcPr>
          <w:p>
            <w:pPr>
              <w:jc w:val="center"/>
              <w:ind w:left="311"/>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400" w:type="dxa"/>
            <w:vAlign w:val="bottom"/>
            <w:tcBorders>
              <w:right w:val="single" w:sz="8" w:color="B2B2B2"/>
            </w:tcBorders>
          </w:tcPr>
          <w:p>
            <w:pPr>
              <w:ind w:left="60"/>
              <w:spacing w:after="0" w:line="141" w:lineRule="exact"/>
              <w:rPr>
                <w:sz w:val="20"/>
                <w:szCs w:val="20"/>
                <w:color w:val="auto"/>
              </w:rPr>
            </w:pPr>
            <w:r>
              <w:rPr>
                <w:rFonts w:ascii="Arial" w:cs="Arial" w:eastAsia="Arial" w:hAnsi="Arial"/>
                <w:sz w:val="14"/>
                <w:szCs w:val="14"/>
                <w:color w:val="3E8EDE"/>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right w:val="single" w:sz="8" w:color="B2B2B2"/>
            </w:tcBorders>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right w:val="single" w:sz="8" w:color="B2B2B2"/>
            </w:tcBorders>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right w:val="single" w:sz="8" w:color="B2B2B2"/>
            </w:tcBorders>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B2B2B2"/>
            </w:tcBorders>
          </w:tcPr>
          <w:p>
            <w:pPr>
              <w:spacing w:after="0"/>
              <w:rPr>
                <w:sz w:val="12"/>
                <w:szCs w:val="12"/>
                <w:color w:val="auto"/>
              </w:rPr>
            </w:pPr>
          </w:p>
        </w:tc>
        <w:tc>
          <w:tcPr>
            <w:tcW w:w="540" w:type="dxa"/>
            <w:vAlign w:val="bottom"/>
          </w:tcPr>
          <w:p>
            <w:pPr>
              <w:jc w:val="center"/>
              <w:ind w:left="261"/>
              <w:spacing w:after="0"/>
              <w:rPr>
                <w:sz w:val="20"/>
                <w:szCs w:val="20"/>
                <w:color w:val="auto"/>
              </w:rPr>
            </w:pPr>
            <w:r>
              <w:rPr>
                <w:rFonts w:ascii="Arial" w:cs="Arial" w:eastAsia="Arial" w:hAnsi="Arial"/>
                <w:sz w:val="12"/>
                <w:szCs w:val="12"/>
                <w:color w:val="auto"/>
                <w:w w:val="74"/>
              </w:rPr>
              <w:t>— </w:t>
            </w:r>
          </w:p>
        </w:tc>
        <w:tc>
          <w:tcPr>
            <w:tcW w:w="200" w:type="dxa"/>
            <w:vAlign w:val="bottom"/>
          </w:tcPr>
          <w:p>
            <w:pPr>
              <w:jc w:val="right"/>
              <w:ind w:right="11"/>
              <w:spacing w:after="0" w:line="141" w:lineRule="exact"/>
              <w:rPr>
                <w:sz w:val="20"/>
                <w:szCs w:val="20"/>
                <w:color w:val="auto"/>
              </w:rPr>
            </w:pPr>
            <w:r>
              <w:rPr>
                <w:rFonts w:ascii="Arial" w:cs="Arial" w:eastAsia="Arial" w:hAnsi="Arial"/>
                <w:sz w:val="14"/>
                <w:szCs w:val="14"/>
                <w:color w:val="auto"/>
              </w:rPr>
              <w:t> </w:t>
            </w:r>
          </w:p>
        </w:tc>
        <w:tc>
          <w:tcPr>
            <w:tcW w:w="120" w:type="dxa"/>
            <w:vAlign w:val="bottom"/>
            <w:tcBorders>
              <w:right w:val="single" w:sz="8" w:color="B2B2B2"/>
            </w:tcBorders>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1"/>
        </w:trPr>
        <w:tc>
          <w:tcPr>
            <w:tcW w:w="1580" w:type="dxa"/>
            <w:vAlign w:val="bottom"/>
            <w:tcBorders>
              <w:right w:val="single" w:sz="8" w:color="B2B2B2"/>
            </w:tcBorders>
          </w:tcPr>
          <w:p>
            <w:pPr>
              <w:ind w:left="80"/>
              <w:spacing w:after="0"/>
              <w:rPr>
                <w:sz w:val="20"/>
                <w:szCs w:val="20"/>
                <w:color w:val="auto"/>
              </w:rPr>
            </w:pPr>
            <w:r>
              <w:rPr>
                <w:rFonts w:ascii="Arial" w:cs="Arial" w:eastAsia="Arial" w:hAnsi="Arial"/>
                <w:sz w:val="14"/>
                <w:szCs w:val="14"/>
                <w:color w:val="auto"/>
              </w:rPr>
              <w:t>CEO of bioMérieux</w:t>
            </w:r>
          </w:p>
        </w:tc>
        <w:tc>
          <w:tcPr>
            <w:tcW w:w="540" w:type="dxa"/>
            <w:vAlign w:val="bottom"/>
          </w:tcPr>
          <w:p>
            <w:pPr>
              <w:spacing w:after="0"/>
              <w:rPr>
                <w:sz w:val="15"/>
                <w:szCs w:val="15"/>
                <w:color w:val="auto"/>
              </w:rPr>
            </w:pPr>
          </w:p>
        </w:tc>
        <w:tc>
          <w:tcPr>
            <w:tcW w:w="380" w:type="dxa"/>
            <w:vAlign w:val="bottom"/>
            <w:tcBorders>
              <w:right w:val="single" w:sz="8" w:color="B2B2B2"/>
            </w:tcBorders>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Borders>
              <w:right w:val="single" w:sz="8" w:color="B2B2B2"/>
            </w:tcBorders>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right w:val="single" w:sz="8" w:color="B2B2B2"/>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right w:val="single" w:sz="8" w:color="B2B2B2"/>
            </w:tcBorders>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47"/>
        </w:trPr>
        <w:tc>
          <w:tcPr>
            <w:tcW w:w="158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380" w:type="dxa"/>
            <w:vAlign w:val="bottom"/>
            <w:tcBorders>
              <w:bottom w:val="single" w:sz="8" w:color="B2B2B2"/>
              <w:right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c>
          <w:tcPr>
            <w:tcW w:w="320" w:type="dxa"/>
            <w:vAlign w:val="bottom"/>
            <w:tcBorders>
              <w:bottom w:val="single" w:sz="8" w:color="B2B2B2"/>
              <w:right w:val="single" w:sz="8" w:color="B2B2B2"/>
            </w:tcBorders>
          </w:tcPr>
          <w:p>
            <w:pPr>
              <w:spacing w:after="0"/>
              <w:rPr>
                <w:sz w:val="4"/>
                <w:szCs w:val="4"/>
                <w:color w:val="auto"/>
              </w:rPr>
            </w:pPr>
          </w:p>
        </w:tc>
        <w:tc>
          <w:tcPr>
            <w:tcW w:w="620" w:type="dxa"/>
            <w:vAlign w:val="bottom"/>
            <w:tcBorders>
              <w:bottom w:val="single" w:sz="8" w:color="B2B2B2"/>
            </w:tcBorders>
          </w:tcPr>
          <w:p>
            <w:pPr>
              <w:spacing w:after="0"/>
              <w:rPr>
                <w:sz w:val="4"/>
                <w:szCs w:val="4"/>
                <w:color w:val="auto"/>
              </w:rPr>
            </w:pPr>
          </w:p>
        </w:tc>
        <w:tc>
          <w:tcPr>
            <w:tcW w:w="4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2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660" w:type="dxa"/>
            <w:vAlign w:val="bottom"/>
            <w:tcBorders>
              <w:bottom w:val="single" w:sz="8" w:color="B2B2B2"/>
            </w:tcBorders>
          </w:tcPr>
          <w:p>
            <w:pPr>
              <w:spacing w:after="0"/>
              <w:rPr>
                <w:sz w:val="4"/>
                <w:szCs w:val="4"/>
                <w:color w:val="auto"/>
              </w:rPr>
            </w:pPr>
          </w:p>
        </w:tc>
        <w:tc>
          <w:tcPr>
            <w:tcW w:w="36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280" w:type="dxa"/>
            <w:vAlign w:val="bottom"/>
            <w:tcBorders>
              <w:bottom w:val="single" w:sz="8" w:color="B2B2B2"/>
              <w:right w:val="single" w:sz="8" w:color="B2B2B2"/>
            </w:tcBorders>
          </w:tcPr>
          <w:p>
            <w:pPr>
              <w:spacing w:after="0"/>
              <w:rPr>
                <w:sz w:val="4"/>
                <w:szCs w:val="4"/>
                <w:color w:val="auto"/>
              </w:rPr>
            </w:pPr>
          </w:p>
        </w:tc>
        <w:tc>
          <w:tcPr>
            <w:tcW w:w="56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1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00" w:type="dxa"/>
            <w:vAlign w:val="bottom"/>
            <w:tcBorders>
              <w:bottom w:val="single" w:sz="8" w:color="B2B2B2"/>
            </w:tcBorders>
          </w:tcPr>
          <w:p>
            <w:pPr>
              <w:spacing w:after="0"/>
              <w:rPr>
                <w:sz w:val="4"/>
                <w:szCs w:val="4"/>
                <w:color w:val="auto"/>
              </w:rPr>
            </w:pPr>
          </w:p>
        </w:tc>
        <w:tc>
          <w:tcPr>
            <w:tcW w:w="120" w:type="dxa"/>
            <w:vAlign w:val="bottom"/>
            <w:tcBorders>
              <w:bottom w:val="single" w:sz="8" w:color="B2B2B2"/>
              <w:right w:val="single" w:sz="8" w:color="B2B2B2"/>
            </w:tcBorders>
          </w:tcPr>
          <w:p>
            <w:pPr>
              <w:spacing w:after="0"/>
              <w:rPr>
                <w:sz w:val="4"/>
                <w:szCs w:val="4"/>
                <w:color w:val="auto"/>
              </w:rPr>
            </w:pPr>
          </w:p>
        </w:tc>
        <w:tc>
          <w:tcPr>
            <w:tcW w:w="52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r>
      <w:tr>
        <w:trPr>
          <w:trHeight w:val="141"/>
        </w:trPr>
        <w:tc>
          <w:tcPr>
            <w:tcW w:w="1580" w:type="dxa"/>
            <w:vAlign w:val="bottom"/>
            <w:tcBorders>
              <w:right w:val="single" w:sz="8" w:color="B2B2B2"/>
            </w:tcBorders>
          </w:tcPr>
          <w:p>
            <w:pPr>
              <w:ind w:left="80"/>
              <w:spacing w:after="0" w:line="141" w:lineRule="exact"/>
              <w:rPr>
                <w:sz w:val="20"/>
                <w:szCs w:val="20"/>
                <w:color w:val="auto"/>
              </w:rPr>
            </w:pPr>
            <w:r>
              <w:rPr>
                <w:rFonts w:ascii="Arial" w:cs="Arial" w:eastAsia="Arial" w:hAnsi="Arial"/>
                <w:sz w:val="14"/>
                <w:szCs w:val="14"/>
                <w:b w:val="1"/>
                <w:bCs w:val="1"/>
                <w:color w:val="3E8EDE"/>
              </w:rPr>
              <w:t>Daniel A. Carestio</w:t>
            </w:r>
          </w:p>
        </w:tc>
        <w:tc>
          <w:tcPr>
            <w:tcW w:w="540" w:type="dxa"/>
            <w:vAlign w:val="bottom"/>
          </w:tcPr>
          <w:p>
            <w:pPr>
              <w:ind w:left="300"/>
              <w:spacing w:after="0" w:line="141" w:lineRule="exact"/>
              <w:rPr>
                <w:sz w:val="20"/>
                <w:szCs w:val="20"/>
                <w:color w:val="auto"/>
              </w:rPr>
            </w:pPr>
            <w:r>
              <w:rPr>
                <w:rFonts w:ascii="Arial" w:cs="Arial" w:eastAsia="Arial" w:hAnsi="Arial"/>
                <w:sz w:val="14"/>
                <w:szCs w:val="14"/>
                <w:color w:val="auto"/>
                <w:w w:val="74"/>
              </w:rPr>
              <w:t>53 </w:t>
            </w:r>
          </w:p>
        </w:tc>
        <w:tc>
          <w:tcPr>
            <w:tcW w:w="380" w:type="dxa"/>
            <w:vAlign w:val="bottom"/>
            <w:tcBorders>
              <w:right w:val="single" w:sz="8" w:color="B2B2B2"/>
            </w:tcBorders>
          </w:tcPr>
          <w:p>
            <w:pPr>
              <w:ind w:left="60"/>
              <w:spacing w:after="0" w:line="141" w:lineRule="exact"/>
              <w:rPr>
                <w:sz w:val="20"/>
                <w:szCs w:val="20"/>
                <w:color w:val="auto"/>
              </w:rPr>
            </w:pPr>
            <w:r>
              <w:rPr>
                <w:rFonts w:ascii="Arial" w:cs="Arial" w:eastAsia="Arial" w:hAnsi="Arial"/>
                <w:sz w:val="14"/>
                <w:szCs w:val="14"/>
                <w:color w:val="auto"/>
              </w:rPr>
              <w:t> </w:t>
            </w:r>
          </w:p>
        </w:tc>
        <w:tc>
          <w:tcPr>
            <w:tcW w:w="740" w:type="dxa"/>
            <w:vAlign w:val="bottom"/>
          </w:tcPr>
          <w:p>
            <w:pPr>
              <w:jc w:val="right"/>
              <w:ind w:right="31"/>
              <w:spacing w:after="0" w:line="141" w:lineRule="exact"/>
              <w:rPr>
                <w:sz w:val="20"/>
                <w:szCs w:val="20"/>
                <w:color w:val="auto"/>
              </w:rPr>
            </w:pPr>
            <w:r>
              <w:rPr>
                <w:rFonts w:ascii="Arial" w:cs="Arial" w:eastAsia="Arial" w:hAnsi="Arial"/>
                <w:sz w:val="14"/>
                <w:szCs w:val="14"/>
                <w:color w:val="auto"/>
              </w:rPr>
              <w:t>2021 </w:t>
            </w:r>
          </w:p>
        </w:tc>
        <w:tc>
          <w:tcPr>
            <w:tcW w:w="320" w:type="dxa"/>
            <w:vAlign w:val="bottom"/>
            <w:tcBorders>
              <w:right w:val="single" w:sz="8" w:color="B2B2B2"/>
            </w:tcBorders>
          </w:tcPr>
          <w:p>
            <w:pPr>
              <w:spacing w:after="0" w:line="141" w:lineRule="exact"/>
              <w:rPr>
                <w:sz w:val="20"/>
                <w:szCs w:val="20"/>
                <w:color w:val="auto"/>
              </w:rPr>
            </w:pPr>
            <w:r>
              <w:rPr>
                <w:rFonts w:ascii="Arial" w:cs="Arial" w:eastAsia="Arial" w:hAnsi="Arial"/>
                <w:sz w:val="14"/>
                <w:szCs w:val="14"/>
                <w:color w:val="auto"/>
              </w:rPr>
              <w:t> </w:t>
            </w:r>
          </w:p>
        </w:tc>
        <w:tc>
          <w:tcPr>
            <w:tcW w:w="620" w:type="dxa"/>
            <w:vAlign w:val="bottom"/>
          </w:tcPr>
          <w:p>
            <w:pPr>
              <w:spacing w:after="0"/>
              <w:rPr>
                <w:sz w:val="12"/>
                <w:szCs w:val="12"/>
                <w:color w:val="auto"/>
              </w:rPr>
            </w:pPr>
          </w:p>
        </w:tc>
        <w:tc>
          <w:tcPr>
            <w:tcW w:w="400" w:type="dxa"/>
            <w:vAlign w:val="bottom"/>
            <w:tcBorders>
              <w:right w:val="single" w:sz="8" w:color="B2B2B2"/>
            </w:tcBorders>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right w:val="single" w:sz="8" w:color="B2B2B2"/>
            </w:tcBorders>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right w:val="single" w:sz="8" w:color="B2B2B2"/>
            </w:tcBorders>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right w:val="single" w:sz="8" w:color="B2B2B2"/>
            </w:tcBorders>
          </w:tcPr>
          <w:p>
            <w:pPr>
              <w:spacing w:after="0"/>
              <w:rPr>
                <w:sz w:val="12"/>
                <w:szCs w:val="12"/>
                <w:color w:val="auto"/>
              </w:rPr>
            </w:pPr>
          </w:p>
        </w:tc>
        <w:tc>
          <w:tcPr>
            <w:tcW w:w="560" w:type="dxa"/>
            <w:vAlign w:val="bottom"/>
          </w:tcPr>
          <w:p>
            <w:pPr>
              <w:jc w:val="center"/>
              <w:ind w:left="298"/>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320" w:type="dxa"/>
            <w:vAlign w:val="bottom"/>
          </w:tcPr>
          <w:p>
            <w:pPr>
              <w:ind w:left="80"/>
              <w:spacing w:after="0" w:line="141" w:lineRule="exact"/>
              <w:rPr>
                <w:sz w:val="20"/>
                <w:szCs w:val="20"/>
                <w:color w:val="auto"/>
              </w:rPr>
            </w:pPr>
            <w:r>
              <w:rPr>
                <w:rFonts w:ascii="Arial" w:cs="Arial" w:eastAsia="Arial" w:hAnsi="Arial"/>
                <w:sz w:val="14"/>
                <w:szCs w:val="14"/>
                <w:color w:val="3E8EDE"/>
              </w:rPr>
              <w:t> </w:t>
            </w:r>
          </w:p>
        </w:tc>
        <w:tc>
          <w:tcPr>
            <w:tcW w:w="100" w:type="dxa"/>
            <w:vAlign w:val="bottom"/>
            <w:tcBorders>
              <w:right w:val="single" w:sz="8" w:color="B2B2B2"/>
            </w:tcBorders>
          </w:tcPr>
          <w:p>
            <w:pPr>
              <w:spacing w:after="0"/>
              <w:rPr>
                <w:sz w:val="12"/>
                <w:szCs w:val="12"/>
                <w:color w:val="auto"/>
              </w:rPr>
            </w:pPr>
          </w:p>
        </w:tc>
        <w:tc>
          <w:tcPr>
            <w:tcW w:w="540" w:type="dxa"/>
            <w:vAlign w:val="bottom"/>
          </w:tcPr>
          <w:p>
            <w:pPr>
              <w:jc w:val="center"/>
              <w:ind w:left="261"/>
              <w:spacing w:after="0"/>
              <w:rPr>
                <w:sz w:val="20"/>
                <w:szCs w:val="20"/>
                <w:color w:val="auto"/>
              </w:rPr>
            </w:pPr>
            <w:r>
              <w:rPr>
                <w:rFonts w:ascii="Arial" w:cs="Arial" w:eastAsia="Arial" w:hAnsi="Arial"/>
                <w:sz w:val="12"/>
                <w:szCs w:val="12"/>
                <w:color w:val="auto"/>
                <w:w w:val="74"/>
              </w:rPr>
              <w:t>— </w:t>
            </w:r>
          </w:p>
        </w:tc>
        <w:tc>
          <w:tcPr>
            <w:tcW w:w="200" w:type="dxa"/>
            <w:vAlign w:val="bottom"/>
          </w:tcPr>
          <w:p>
            <w:pPr>
              <w:jc w:val="right"/>
              <w:ind w:right="11"/>
              <w:spacing w:after="0" w:line="141" w:lineRule="exact"/>
              <w:rPr>
                <w:sz w:val="20"/>
                <w:szCs w:val="20"/>
                <w:color w:val="auto"/>
              </w:rPr>
            </w:pPr>
            <w:r>
              <w:rPr>
                <w:rFonts w:ascii="Arial" w:cs="Arial" w:eastAsia="Arial" w:hAnsi="Arial"/>
                <w:sz w:val="14"/>
                <w:szCs w:val="14"/>
                <w:color w:val="auto"/>
              </w:rPr>
              <w:t> </w:t>
            </w:r>
          </w:p>
        </w:tc>
        <w:tc>
          <w:tcPr>
            <w:tcW w:w="120" w:type="dxa"/>
            <w:vAlign w:val="bottom"/>
            <w:tcBorders>
              <w:right w:val="single" w:sz="8" w:color="B2B2B2"/>
            </w:tcBorders>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55"/>
        </w:trPr>
        <w:tc>
          <w:tcPr>
            <w:tcW w:w="1580" w:type="dxa"/>
            <w:vAlign w:val="bottom"/>
            <w:tcBorders>
              <w:right w:val="single" w:sz="8" w:color="B2B2B2"/>
            </w:tcBorders>
          </w:tcPr>
          <w:p>
            <w:pPr>
              <w:ind w:left="80"/>
              <w:spacing w:after="0" w:line="155" w:lineRule="exact"/>
              <w:rPr>
                <w:sz w:val="20"/>
                <w:szCs w:val="20"/>
                <w:color w:val="auto"/>
              </w:rPr>
            </w:pPr>
            <w:r>
              <w:rPr>
                <w:rFonts w:ascii="Arial" w:cs="Arial" w:eastAsia="Arial" w:hAnsi="Arial"/>
                <w:sz w:val="14"/>
                <w:szCs w:val="14"/>
                <w:color w:val="auto"/>
              </w:rPr>
              <w:t>President and CEO</w:t>
            </w:r>
          </w:p>
        </w:tc>
        <w:tc>
          <w:tcPr>
            <w:tcW w:w="540" w:type="dxa"/>
            <w:vAlign w:val="bottom"/>
          </w:tcPr>
          <w:p>
            <w:pPr>
              <w:spacing w:after="0"/>
              <w:rPr>
                <w:sz w:val="13"/>
                <w:szCs w:val="13"/>
                <w:color w:val="auto"/>
              </w:rPr>
            </w:pPr>
          </w:p>
        </w:tc>
        <w:tc>
          <w:tcPr>
            <w:tcW w:w="380" w:type="dxa"/>
            <w:vAlign w:val="bottom"/>
            <w:tcBorders>
              <w:right w:val="single" w:sz="8" w:color="B2B2B2"/>
            </w:tcBorders>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Borders>
              <w:right w:val="single" w:sz="8" w:color="B2B2B2"/>
            </w:tcBorders>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Borders>
              <w:right w:val="single" w:sz="8" w:color="B2B2B2"/>
            </w:tcBorders>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right w:val="single" w:sz="8" w:color="B2B2B2"/>
            </w:tcBorders>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right w:val="single" w:sz="8" w:color="B2B2B2"/>
            </w:tcBorders>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right w:val="single" w:sz="8" w:color="B2B2B2"/>
            </w:tcBorders>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B2B2B2"/>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right w:val="single" w:sz="8" w:color="B2B2B2"/>
            </w:tcBorders>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81"/>
        </w:trPr>
        <w:tc>
          <w:tcPr>
            <w:tcW w:w="1580" w:type="dxa"/>
            <w:vAlign w:val="bottom"/>
            <w:tcBorders>
              <w:right w:val="single" w:sz="8" w:color="B2B2B2"/>
            </w:tcBorders>
          </w:tcPr>
          <w:p>
            <w:pPr>
              <w:ind w:left="80"/>
              <w:spacing w:after="0"/>
              <w:rPr>
                <w:sz w:val="20"/>
                <w:szCs w:val="20"/>
                <w:color w:val="auto"/>
              </w:rPr>
            </w:pPr>
            <w:r>
              <w:rPr>
                <w:rFonts w:ascii="Arial" w:cs="Arial" w:eastAsia="Arial" w:hAnsi="Arial"/>
                <w:sz w:val="14"/>
                <w:szCs w:val="14"/>
                <w:color w:val="auto"/>
              </w:rPr>
              <w:t>STERIS</w:t>
            </w:r>
          </w:p>
        </w:tc>
        <w:tc>
          <w:tcPr>
            <w:tcW w:w="540" w:type="dxa"/>
            <w:vAlign w:val="bottom"/>
          </w:tcPr>
          <w:p>
            <w:pPr>
              <w:spacing w:after="0"/>
              <w:rPr>
                <w:sz w:val="15"/>
                <w:szCs w:val="15"/>
                <w:color w:val="auto"/>
              </w:rPr>
            </w:pPr>
          </w:p>
        </w:tc>
        <w:tc>
          <w:tcPr>
            <w:tcW w:w="380" w:type="dxa"/>
            <w:vAlign w:val="bottom"/>
            <w:tcBorders>
              <w:right w:val="single" w:sz="8" w:color="B2B2B2"/>
            </w:tcBorders>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Borders>
              <w:right w:val="single" w:sz="8" w:color="B2B2B2"/>
            </w:tcBorders>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right w:val="single" w:sz="8" w:color="B2B2B2"/>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right w:val="single" w:sz="8" w:color="B2B2B2"/>
            </w:tcBorders>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47"/>
        </w:trPr>
        <w:tc>
          <w:tcPr>
            <w:tcW w:w="158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380" w:type="dxa"/>
            <w:vAlign w:val="bottom"/>
            <w:tcBorders>
              <w:bottom w:val="single" w:sz="8" w:color="B2B2B2"/>
              <w:right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c>
          <w:tcPr>
            <w:tcW w:w="320" w:type="dxa"/>
            <w:vAlign w:val="bottom"/>
            <w:tcBorders>
              <w:bottom w:val="single" w:sz="8" w:color="B2B2B2"/>
              <w:right w:val="single" w:sz="8" w:color="B2B2B2"/>
            </w:tcBorders>
          </w:tcPr>
          <w:p>
            <w:pPr>
              <w:spacing w:after="0"/>
              <w:rPr>
                <w:sz w:val="4"/>
                <w:szCs w:val="4"/>
                <w:color w:val="auto"/>
              </w:rPr>
            </w:pPr>
          </w:p>
        </w:tc>
        <w:tc>
          <w:tcPr>
            <w:tcW w:w="620" w:type="dxa"/>
            <w:vAlign w:val="bottom"/>
            <w:tcBorders>
              <w:bottom w:val="single" w:sz="8" w:color="B2B2B2"/>
            </w:tcBorders>
          </w:tcPr>
          <w:p>
            <w:pPr>
              <w:spacing w:after="0"/>
              <w:rPr>
                <w:sz w:val="4"/>
                <w:szCs w:val="4"/>
                <w:color w:val="auto"/>
              </w:rPr>
            </w:pPr>
          </w:p>
        </w:tc>
        <w:tc>
          <w:tcPr>
            <w:tcW w:w="4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2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660" w:type="dxa"/>
            <w:vAlign w:val="bottom"/>
            <w:tcBorders>
              <w:bottom w:val="single" w:sz="8" w:color="B2B2B2"/>
            </w:tcBorders>
          </w:tcPr>
          <w:p>
            <w:pPr>
              <w:spacing w:after="0"/>
              <w:rPr>
                <w:sz w:val="4"/>
                <w:szCs w:val="4"/>
                <w:color w:val="auto"/>
              </w:rPr>
            </w:pPr>
          </w:p>
        </w:tc>
        <w:tc>
          <w:tcPr>
            <w:tcW w:w="36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280" w:type="dxa"/>
            <w:vAlign w:val="bottom"/>
            <w:tcBorders>
              <w:bottom w:val="single" w:sz="8" w:color="B2B2B2"/>
              <w:right w:val="single" w:sz="8" w:color="B2B2B2"/>
            </w:tcBorders>
          </w:tcPr>
          <w:p>
            <w:pPr>
              <w:spacing w:after="0"/>
              <w:rPr>
                <w:sz w:val="4"/>
                <w:szCs w:val="4"/>
                <w:color w:val="auto"/>
              </w:rPr>
            </w:pPr>
          </w:p>
        </w:tc>
        <w:tc>
          <w:tcPr>
            <w:tcW w:w="56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1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00" w:type="dxa"/>
            <w:vAlign w:val="bottom"/>
            <w:tcBorders>
              <w:bottom w:val="single" w:sz="8" w:color="B2B2B2"/>
            </w:tcBorders>
          </w:tcPr>
          <w:p>
            <w:pPr>
              <w:spacing w:after="0"/>
              <w:rPr>
                <w:sz w:val="4"/>
                <w:szCs w:val="4"/>
                <w:color w:val="auto"/>
              </w:rPr>
            </w:pPr>
          </w:p>
        </w:tc>
        <w:tc>
          <w:tcPr>
            <w:tcW w:w="120" w:type="dxa"/>
            <w:vAlign w:val="bottom"/>
            <w:tcBorders>
              <w:bottom w:val="single" w:sz="8" w:color="B2B2B2"/>
              <w:right w:val="single" w:sz="8" w:color="B2B2B2"/>
            </w:tcBorders>
          </w:tcPr>
          <w:p>
            <w:pPr>
              <w:spacing w:after="0"/>
              <w:rPr>
                <w:sz w:val="4"/>
                <w:szCs w:val="4"/>
                <w:color w:val="auto"/>
              </w:rPr>
            </w:pPr>
          </w:p>
        </w:tc>
        <w:tc>
          <w:tcPr>
            <w:tcW w:w="52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r>
      <w:tr>
        <w:trPr>
          <w:trHeight w:val="141"/>
        </w:trPr>
        <w:tc>
          <w:tcPr>
            <w:tcW w:w="1580" w:type="dxa"/>
            <w:vAlign w:val="bottom"/>
            <w:tcBorders>
              <w:right w:val="single" w:sz="8" w:color="B2B2B2"/>
            </w:tcBorders>
          </w:tcPr>
          <w:p>
            <w:pPr>
              <w:ind w:left="80"/>
              <w:spacing w:after="0" w:line="141" w:lineRule="exact"/>
              <w:rPr>
                <w:sz w:val="20"/>
                <w:szCs w:val="20"/>
                <w:color w:val="auto"/>
              </w:rPr>
            </w:pPr>
            <w:r>
              <w:rPr>
                <w:rFonts w:ascii="Arial" w:cs="Arial" w:eastAsia="Arial" w:hAnsi="Arial"/>
                <w:sz w:val="14"/>
                <w:szCs w:val="14"/>
                <w:b w:val="1"/>
                <w:bCs w:val="1"/>
                <w:color w:val="3E8EDE"/>
              </w:rPr>
              <w:t>Cynthia L. Feldmann</w:t>
            </w:r>
          </w:p>
        </w:tc>
        <w:tc>
          <w:tcPr>
            <w:tcW w:w="540" w:type="dxa"/>
            <w:vAlign w:val="bottom"/>
          </w:tcPr>
          <w:p>
            <w:pPr>
              <w:ind w:left="300"/>
              <w:spacing w:after="0" w:line="141" w:lineRule="exact"/>
              <w:rPr>
                <w:sz w:val="20"/>
                <w:szCs w:val="20"/>
                <w:color w:val="auto"/>
              </w:rPr>
            </w:pPr>
            <w:r>
              <w:rPr>
                <w:rFonts w:ascii="Arial" w:cs="Arial" w:eastAsia="Arial" w:hAnsi="Arial"/>
                <w:sz w:val="14"/>
                <w:szCs w:val="14"/>
                <w:color w:val="auto"/>
                <w:w w:val="74"/>
              </w:rPr>
              <w:t>73 </w:t>
            </w:r>
          </w:p>
        </w:tc>
        <w:tc>
          <w:tcPr>
            <w:tcW w:w="380" w:type="dxa"/>
            <w:vAlign w:val="bottom"/>
            <w:tcBorders>
              <w:right w:val="single" w:sz="8" w:color="B2B2B2"/>
            </w:tcBorders>
          </w:tcPr>
          <w:p>
            <w:pPr>
              <w:ind w:left="60"/>
              <w:spacing w:after="0" w:line="141" w:lineRule="exact"/>
              <w:rPr>
                <w:sz w:val="20"/>
                <w:szCs w:val="20"/>
                <w:color w:val="auto"/>
              </w:rPr>
            </w:pPr>
            <w:r>
              <w:rPr>
                <w:rFonts w:ascii="Arial" w:cs="Arial" w:eastAsia="Arial" w:hAnsi="Arial"/>
                <w:sz w:val="14"/>
                <w:szCs w:val="14"/>
                <w:color w:val="auto"/>
              </w:rPr>
              <w:t> </w:t>
            </w:r>
          </w:p>
        </w:tc>
        <w:tc>
          <w:tcPr>
            <w:tcW w:w="740" w:type="dxa"/>
            <w:vAlign w:val="bottom"/>
          </w:tcPr>
          <w:p>
            <w:pPr>
              <w:jc w:val="right"/>
              <w:ind w:right="31"/>
              <w:spacing w:after="0" w:line="141" w:lineRule="exact"/>
              <w:rPr>
                <w:sz w:val="20"/>
                <w:szCs w:val="20"/>
                <w:color w:val="auto"/>
              </w:rPr>
            </w:pPr>
            <w:r>
              <w:rPr>
                <w:rFonts w:ascii="Arial" w:cs="Arial" w:eastAsia="Arial" w:hAnsi="Arial"/>
                <w:sz w:val="14"/>
                <w:szCs w:val="14"/>
                <w:color w:val="auto"/>
              </w:rPr>
              <w:t>2005 </w:t>
            </w:r>
          </w:p>
        </w:tc>
        <w:tc>
          <w:tcPr>
            <w:tcW w:w="320" w:type="dxa"/>
            <w:vAlign w:val="bottom"/>
            <w:tcBorders>
              <w:right w:val="single" w:sz="8" w:color="B2B2B2"/>
            </w:tcBorders>
          </w:tcPr>
          <w:p>
            <w:pPr>
              <w:spacing w:after="0" w:line="141" w:lineRule="exact"/>
              <w:rPr>
                <w:sz w:val="20"/>
                <w:szCs w:val="20"/>
                <w:color w:val="auto"/>
              </w:rPr>
            </w:pPr>
            <w:r>
              <w:rPr>
                <w:rFonts w:ascii="Arial" w:cs="Arial" w:eastAsia="Arial" w:hAnsi="Arial"/>
                <w:sz w:val="14"/>
                <w:szCs w:val="14"/>
                <w:color w:val="auto"/>
              </w:rPr>
              <w:t> </w:t>
            </w:r>
          </w:p>
        </w:tc>
        <w:tc>
          <w:tcPr>
            <w:tcW w:w="620" w:type="dxa"/>
            <w:vAlign w:val="bottom"/>
          </w:tcPr>
          <w:p>
            <w:pPr>
              <w:jc w:val="center"/>
              <w:ind w:left="311"/>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400" w:type="dxa"/>
            <w:vAlign w:val="bottom"/>
            <w:tcBorders>
              <w:right w:val="single" w:sz="8" w:color="B2B2B2"/>
            </w:tcBorders>
          </w:tcPr>
          <w:p>
            <w:pPr>
              <w:ind w:left="60"/>
              <w:spacing w:after="0" w:line="141" w:lineRule="exact"/>
              <w:rPr>
                <w:sz w:val="20"/>
                <w:szCs w:val="20"/>
                <w:color w:val="auto"/>
              </w:rPr>
            </w:pPr>
            <w:r>
              <w:rPr>
                <w:rFonts w:ascii="Arial" w:cs="Arial" w:eastAsia="Arial" w:hAnsi="Arial"/>
                <w:sz w:val="14"/>
                <w:szCs w:val="14"/>
                <w:color w:val="3E8EDE"/>
              </w:rPr>
              <w:t> </w:t>
            </w:r>
          </w:p>
        </w:tc>
        <w:tc>
          <w:tcPr>
            <w:tcW w:w="540" w:type="dxa"/>
            <w:vAlign w:val="bottom"/>
          </w:tcPr>
          <w:p>
            <w:pPr>
              <w:ind w:left="320"/>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220" w:type="dxa"/>
            <w:vAlign w:val="bottom"/>
          </w:tcPr>
          <w:p>
            <w:pPr>
              <w:ind w:left="40"/>
              <w:spacing w:after="0" w:line="141" w:lineRule="exact"/>
              <w:rPr>
                <w:sz w:val="20"/>
                <w:szCs w:val="20"/>
                <w:color w:val="auto"/>
              </w:rPr>
            </w:pPr>
            <w:r>
              <w:rPr>
                <w:rFonts w:ascii="Arial" w:cs="Arial" w:eastAsia="Arial" w:hAnsi="Arial"/>
                <w:sz w:val="14"/>
                <w:szCs w:val="14"/>
                <w:color w:val="3E8EDE"/>
              </w:rPr>
              <w:t> </w:t>
            </w:r>
          </w:p>
        </w:tc>
        <w:tc>
          <w:tcPr>
            <w:tcW w:w="140" w:type="dxa"/>
            <w:vAlign w:val="bottom"/>
            <w:tcBorders>
              <w:right w:val="single" w:sz="8" w:color="B2B2B2"/>
            </w:tcBorders>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right w:val="single" w:sz="8" w:color="B2B2B2"/>
            </w:tcBorders>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right w:val="single" w:sz="8" w:color="B2B2B2"/>
            </w:tcBorders>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B2B2B2"/>
            </w:tcBorders>
          </w:tcPr>
          <w:p>
            <w:pPr>
              <w:spacing w:after="0"/>
              <w:rPr>
                <w:sz w:val="12"/>
                <w:szCs w:val="12"/>
                <w:color w:val="auto"/>
              </w:rPr>
            </w:pPr>
          </w:p>
        </w:tc>
        <w:tc>
          <w:tcPr>
            <w:tcW w:w="540" w:type="dxa"/>
            <w:vAlign w:val="bottom"/>
          </w:tcPr>
          <w:p>
            <w:pPr>
              <w:jc w:val="center"/>
              <w:ind w:left="241"/>
              <w:spacing w:after="0"/>
              <w:rPr>
                <w:sz w:val="20"/>
                <w:szCs w:val="20"/>
                <w:color w:val="auto"/>
              </w:rPr>
            </w:pPr>
            <w:r>
              <w:rPr>
                <w:rFonts w:ascii="Arial" w:cs="Arial" w:eastAsia="Arial" w:hAnsi="Arial"/>
                <w:sz w:val="10"/>
                <w:szCs w:val="10"/>
                <w:color w:val="auto"/>
                <w:w w:val="76"/>
              </w:rPr>
              <w:t>1 </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rPr>
              <w:t> </w:t>
            </w:r>
          </w:p>
        </w:tc>
        <w:tc>
          <w:tcPr>
            <w:tcW w:w="120" w:type="dxa"/>
            <w:vAlign w:val="bottom"/>
            <w:tcBorders>
              <w:right w:val="single" w:sz="8" w:color="B2B2B2"/>
            </w:tcBorders>
          </w:tcPr>
          <w:p>
            <w:pPr>
              <w:spacing w:after="0"/>
              <w:rPr>
                <w:sz w:val="12"/>
                <w:szCs w:val="12"/>
                <w:color w:val="auto"/>
              </w:rPr>
            </w:pPr>
          </w:p>
        </w:tc>
        <w:tc>
          <w:tcPr>
            <w:tcW w:w="520" w:type="dxa"/>
            <w:vAlign w:val="bottom"/>
          </w:tcPr>
          <w:p>
            <w:pPr>
              <w:jc w:val="center"/>
              <w:ind w:left="211"/>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240" w:type="dxa"/>
            <w:vAlign w:val="bottom"/>
          </w:tcPr>
          <w:p>
            <w:pPr>
              <w:ind w:left="60"/>
              <w:spacing w:after="0" w:line="141" w:lineRule="exact"/>
              <w:rPr>
                <w:sz w:val="20"/>
                <w:szCs w:val="20"/>
                <w:color w:val="auto"/>
              </w:rPr>
            </w:pPr>
            <w:r>
              <w:rPr>
                <w:rFonts w:ascii="Arial" w:cs="Arial" w:eastAsia="Arial" w:hAnsi="Arial"/>
                <w:sz w:val="14"/>
                <w:szCs w:val="14"/>
                <w:color w:val="3E8EDE"/>
              </w:rPr>
              <w:t> </w:t>
            </w:r>
          </w:p>
        </w:tc>
      </w:tr>
      <w:tr>
        <w:trPr>
          <w:trHeight w:val="167"/>
        </w:trPr>
        <w:tc>
          <w:tcPr>
            <w:tcW w:w="1580" w:type="dxa"/>
            <w:vAlign w:val="bottom"/>
            <w:tcBorders>
              <w:right w:val="single" w:sz="8" w:color="B2B2B2"/>
            </w:tcBorders>
          </w:tcPr>
          <w:p>
            <w:pPr>
              <w:ind w:left="80"/>
              <w:spacing w:after="0"/>
              <w:rPr>
                <w:sz w:val="20"/>
                <w:szCs w:val="20"/>
                <w:color w:val="auto"/>
              </w:rPr>
            </w:pPr>
            <w:r>
              <w:rPr>
                <w:rFonts w:ascii="Arial" w:cs="Arial" w:eastAsia="Arial" w:hAnsi="Arial"/>
                <w:sz w:val="14"/>
                <w:szCs w:val="14"/>
                <w:color w:val="auto"/>
              </w:rPr>
              <w:t>Former President &amp;</w:t>
            </w:r>
          </w:p>
        </w:tc>
        <w:tc>
          <w:tcPr>
            <w:tcW w:w="540" w:type="dxa"/>
            <w:vAlign w:val="bottom"/>
          </w:tcPr>
          <w:p>
            <w:pPr>
              <w:spacing w:after="0"/>
              <w:rPr>
                <w:sz w:val="14"/>
                <w:szCs w:val="14"/>
                <w:color w:val="auto"/>
              </w:rPr>
            </w:pPr>
          </w:p>
        </w:tc>
        <w:tc>
          <w:tcPr>
            <w:tcW w:w="380" w:type="dxa"/>
            <w:vAlign w:val="bottom"/>
            <w:tcBorders>
              <w:right w:val="single" w:sz="8" w:color="B2B2B2"/>
            </w:tcBorders>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Borders>
              <w:right w:val="single" w:sz="8" w:color="B2B2B2"/>
            </w:tcBorders>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Borders>
              <w:right w:val="single" w:sz="8" w:color="B2B2B2"/>
            </w:tcBorders>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right w:val="single" w:sz="8" w:color="B2B2B2"/>
            </w:tcBorders>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right w:val="single" w:sz="8" w:color="B2B2B2"/>
            </w:tcBorders>
          </w:tcPr>
          <w:p>
            <w:pPr>
              <w:spacing w:after="0"/>
              <w:rPr>
                <w:sz w:val="14"/>
                <w:szCs w:val="14"/>
                <w:color w:val="auto"/>
              </w:rPr>
            </w:pPr>
          </w:p>
        </w:tc>
        <w:tc>
          <w:tcPr>
            <w:tcW w:w="720" w:type="dxa"/>
            <w:vAlign w:val="bottom"/>
          </w:tcPr>
          <w:p>
            <w:pPr>
              <w:jc w:val="center"/>
              <w:ind w:left="419"/>
              <w:spacing w:after="0"/>
              <w:rPr>
                <w:sz w:val="20"/>
                <w:szCs w:val="20"/>
                <w:color w:val="auto"/>
              </w:rPr>
            </w:pPr>
            <w:r>
              <w:rPr>
                <w:rFonts w:ascii="Arial" w:cs="Arial" w:eastAsia="Arial" w:hAnsi="Arial"/>
                <w:sz w:val="5"/>
                <w:szCs w:val="5"/>
                <w:color w:val="auto"/>
                <w:w w:val="79"/>
              </w:rPr>
              <w:t> </w:t>
            </w:r>
          </w:p>
        </w:tc>
        <w:tc>
          <w:tcPr>
            <w:tcW w:w="320" w:type="dxa"/>
            <w:vAlign w:val="bottom"/>
          </w:tcPr>
          <w:p>
            <w:pPr>
              <w:spacing w:after="0"/>
              <w:rPr>
                <w:sz w:val="20"/>
                <w:szCs w:val="20"/>
                <w:color w:val="auto"/>
              </w:rPr>
            </w:pPr>
            <w:r>
              <w:rPr>
                <w:rFonts w:ascii="Arial" w:cs="Arial" w:eastAsia="Arial" w:hAnsi="Arial"/>
                <w:sz w:val="14"/>
                <w:szCs w:val="14"/>
                <w:color w:val="auto"/>
              </w:rPr>
              <w:t> </w:t>
            </w:r>
          </w:p>
        </w:tc>
        <w:tc>
          <w:tcPr>
            <w:tcW w:w="280" w:type="dxa"/>
            <w:vAlign w:val="bottom"/>
            <w:tcBorders>
              <w:right w:val="single" w:sz="8" w:color="B2B2B2"/>
            </w:tcBorders>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right w:val="single" w:sz="8" w:color="B2B2B2"/>
            </w:tcBorders>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right w:val="single" w:sz="8" w:color="B2B2B2"/>
            </w:tcBorders>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3"/>
        </w:trPr>
        <w:tc>
          <w:tcPr>
            <w:tcW w:w="1580" w:type="dxa"/>
            <w:vAlign w:val="bottom"/>
            <w:tcBorders>
              <w:right w:val="single" w:sz="8" w:color="B2B2B2"/>
            </w:tcBorders>
          </w:tcPr>
          <w:p>
            <w:pPr>
              <w:ind w:left="80"/>
              <w:spacing w:after="0" w:line="143" w:lineRule="exact"/>
              <w:rPr>
                <w:sz w:val="20"/>
                <w:szCs w:val="20"/>
                <w:color w:val="auto"/>
              </w:rPr>
            </w:pPr>
            <w:r>
              <w:rPr>
                <w:rFonts w:ascii="Arial" w:cs="Arial" w:eastAsia="Arial" w:hAnsi="Arial"/>
                <w:sz w:val="14"/>
                <w:szCs w:val="14"/>
                <w:color w:val="auto"/>
              </w:rPr>
              <w:t>Founder Jetty Lane</w:t>
            </w:r>
          </w:p>
        </w:tc>
        <w:tc>
          <w:tcPr>
            <w:tcW w:w="540" w:type="dxa"/>
            <w:vAlign w:val="bottom"/>
          </w:tcPr>
          <w:p>
            <w:pPr>
              <w:spacing w:after="0"/>
              <w:rPr>
                <w:sz w:val="12"/>
                <w:szCs w:val="12"/>
                <w:color w:val="auto"/>
              </w:rPr>
            </w:pPr>
          </w:p>
        </w:tc>
        <w:tc>
          <w:tcPr>
            <w:tcW w:w="380" w:type="dxa"/>
            <w:vAlign w:val="bottom"/>
            <w:tcBorders>
              <w:right w:val="single" w:sz="8" w:color="B2B2B2"/>
            </w:tcBorders>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Borders>
              <w:right w:val="single" w:sz="8" w:color="B2B2B2"/>
            </w:tcBorders>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Borders>
              <w:right w:val="single" w:sz="8" w:color="B2B2B2"/>
            </w:tcBorders>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right w:val="single" w:sz="8" w:color="B2B2B2"/>
            </w:tcBorders>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right w:val="single" w:sz="8" w:color="B2B2B2"/>
            </w:tcBorders>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right w:val="single" w:sz="8" w:color="B2B2B2"/>
            </w:tcBorders>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B2B2B2"/>
            </w:tcBorders>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right w:val="single" w:sz="8" w:color="B2B2B2"/>
            </w:tcBorders>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1"/>
        </w:trPr>
        <w:tc>
          <w:tcPr>
            <w:tcW w:w="1580" w:type="dxa"/>
            <w:vAlign w:val="bottom"/>
            <w:tcBorders>
              <w:right w:val="single" w:sz="8" w:color="B2B2B2"/>
            </w:tcBorders>
          </w:tcPr>
          <w:p>
            <w:pPr>
              <w:ind w:left="80"/>
              <w:spacing w:after="0"/>
              <w:rPr>
                <w:sz w:val="20"/>
                <w:szCs w:val="20"/>
                <w:color w:val="auto"/>
              </w:rPr>
            </w:pPr>
            <w:r>
              <w:rPr>
                <w:rFonts w:ascii="Arial" w:cs="Arial" w:eastAsia="Arial" w:hAnsi="Arial"/>
                <w:sz w:val="14"/>
                <w:szCs w:val="14"/>
                <w:color w:val="auto"/>
              </w:rPr>
              <w:t>Associates</w:t>
            </w:r>
          </w:p>
        </w:tc>
        <w:tc>
          <w:tcPr>
            <w:tcW w:w="540" w:type="dxa"/>
            <w:vAlign w:val="bottom"/>
          </w:tcPr>
          <w:p>
            <w:pPr>
              <w:spacing w:after="0"/>
              <w:rPr>
                <w:sz w:val="15"/>
                <w:szCs w:val="15"/>
                <w:color w:val="auto"/>
              </w:rPr>
            </w:pPr>
          </w:p>
        </w:tc>
        <w:tc>
          <w:tcPr>
            <w:tcW w:w="380" w:type="dxa"/>
            <w:vAlign w:val="bottom"/>
            <w:tcBorders>
              <w:right w:val="single" w:sz="8" w:color="B2B2B2"/>
            </w:tcBorders>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Borders>
              <w:right w:val="single" w:sz="8" w:color="B2B2B2"/>
            </w:tcBorders>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right w:val="single" w:sz="8" w:color="B2B2B2"/>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right w:val="single" w:sz="8" w:color="B2B2B2"/>
            </w:tcBorders>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47"/>
        </w:trPr>
        <w:tc>
          <w:tcPr>
            <w:tcW w:w="158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380" w:type="dxa"/>
            <w:vAlign w:val="bottom"/>
            <w:tcBorders>
              <w:bottom w:val="single" w:sz="8" w:color="B2B2B2"/>
              <w:right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c>
          <w:tcPr>
            <w:tcW w:w="320" w:type="dxa"/>
            <w:vAlign w:val="bottom"/>
            <w:tcBorders>
              <w:bottom w:val="single" w:sz="8" w:color="B2B2B2"/>
              <w:right w:val="single" w:sz="8" w:color="B2B2B2"/>
            </w:tcBorders>
          </w:tcPr>
          <w:p>
            <w:pPr>
              <w:spacing w:after="0"/>
              <w:rPr>
                <w:sz w:val="4"/>
                <w:szCs w:val="4"/>
                <w:color w:val="auto"/>
              </w:rPr>
            </w:pPr>
          </w:p>
        </w:tc>
        <w:tc>
          <w:tcPr>
            <w:tcW w:w="620" w:type="dxa"/>
            <w:vAlign w:val="bottom"/>
            <w:tcBorders>
              <w:bottom w:val="single" w:sz="8" w:color="B2B2B2"/>
            </w:tcBorders>
          </w:tcPr>
          <w:p>
            <w:pPr>
              <w:spacing w:after="0"/>
              <w:rPr>
                <w:sz w:val="4"/>
                <w:szCs w:val="4"/>
                <w:color w:val="auto"/>
              </w:rPr>
            </w:pPr>
          </w:p>
        </w:tc>
        <w:tc>
          <w:tcPr>
            <w:tcW w:w="4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2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660" w:type="dxa"/>
            <w:vAlign w:val="bottom"/>
            <w:tcBorders>
              <w:bottom w:val="single" w:sz="8" w:color="B2B2B2"/>
            </w:tcBorders>
          </w:tcPr>
          <w:p>
            <w:pPr>
              <w:spacing w:after="0"/>
              <w:rPr>
                <w:sz w:val="4"/>
                <w:szCs w:val="4"/>
                <w:color w:val="auto"/>
              </w:rPr>
            </w:pPr>
          </w:p>
        </w:tc>
        <w:tc>
          <w:tcPr>
            <w:tcW w:w="36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280" w:type="dxa"/>
            <w:vAlign w:val="bottom"/>
            <w:tcBorders>
              <w:bottom w:val="single" w:sz="8" w:color="B2B2B2"/>
              <w:right w:val="single" w:sz="8" w:color="B2B2B2"/>
            </w:tcBorders>
          </w:tcPr>
          <w:p>
            <w:pPr>
              <w:spacing w:after="0"/>
              <w:rPr>
                <w:sz w:val="4"/>
                <w:szCs w:val="4"/>
                <w:color w:val="auto"/>
              </w:rPr>
            </w:pPr>
          </w:p>
        </w:tc>
        <w:tc>
          <w:tcPr>
            <w:tcW w:w="56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1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00" w:type="dxa"/>
            <w:vAlign w:val="bottom"/>
            <w:tcBorders>
              <w:bottom w:val="single" w:sz="8" w:color="B2B2B2"/>
            </w:tcBorders>
          </w:tcPr>
          <w:p>
            <w:pPr>
              <w:spacing w:after="0"/>
              <w:rPr>
                <w:sz w:val="4"/>
                <w:szCs w:val="4"/>
                <w:color w:val="auto"/>
              </w:rPr>
            </w:pPr>
          </w:p>
        </w:tc>
        <w:tc>
          <w:tcPr>
            <w:tcW w:w="120" w:type="dxa"/>
            <w:vAlign w:val="bottom"/>
            <w:tcBorders>
              <w:bottom w:val="single" w:sz="8" w:color="B2B2B2"/>
              <w:right w:val="single" w:sz="8" w:color="B2B2B2"/>
            </w:tcBorders>
          </w:tcPr>
          <w:p>
            <w:pPr>
              <w:spacing w:after="0"/>
              <w:rPr>
                <w:sz w:val="4"/>
                <w:szCs w:val="4"/>
                <w:color w:val="auto"/>
              </w:rPr>
            </w:pPr>
          </w:p>
        </w:tc>
        <w:tc>
          <w:tcPr>
            <w:tcW w:w="52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r>
      <w:tr>
        <w:trPr>
          <w:trHeight w:val="139"/>
        </w:trPr>
        <w:tc>
          <w:tcPr>
            <w:tcW w:w="1580" w:type="dxa"/>
            <w:vAlign w:val="bottom"/>
            <w:tcBorders>
              <w:right w:val="single" w:sz="8" w:color="B2B2B2"/>
            </w:tcBorders>
          </w:tcPr>
          <w:p>
            <w:pPr>
              <w:ind w:left="80"/>
              <w:spacing w:after="0" w:line="139" w:lineRule="exact"/>
              <w:rPr>
                <w:sz w:val="20"/>
                <w:szCs w:val="20"/>
                <w:color w:val="auto"/>
              </w:rPr>
            </w:pPr>
            <w:r>
              <w:rPr>
                <w:rFonts w:ascii="Arial" w:cs="Arial" w:eastAsia="Arial" w:hAnsi="Arial"/>
                <w:sz w:val="14"/>
                <w:szCs w:val="14"/>
                <w:b w:val="1"/>
                <w:bCs w:val="1"/>
                <w:color w:val="3E8EDE"/>
              </w:rPr>
              <w:t>Christopher S.</w:t>
            </w:r>
          </w:p>
        </w:tc>
        <w:tc>
          <w:tcPr>
            <w:tcW w:w="540" w:type="dxa"/>
            <w:vAlign w:val="bottom"/>
          </w:tcPr>
          <w:p>
            <w:pPr>
              <w:ind w:left="300"/>
              <w:spacing w:after="0" w:line="139" w:lineRule="exact"/>
              <w:rPr>
                <w:sz w:val="20"/>
                <w:szCs w:val="20"/>
                <w:color w:val="auto"/>
              </w:rPr>
            </w:pPr>
            <w:r>
              <w:rPr>
                <w:rFonts w:ascii="Arial" w:cs="Arial" w:eastAsia="Arial" w:hAnsi="Arial"/>
                <w:sz w:val="14"/>
                <w:szCs w:val="14"/>
                <w:color w:val="auto"/>
                <w:w w:val="74"/>
              </w:rPr>
              <w:t>59 </w:t>
            </w:r>
          </w:p>
        </w:tc>
        <w:tc>
          <w:tcPr>
            <w:tcW w:w="380" w:type="dxa"/>
            <w:vAlign w:val="bottom"/>
            <w:tcBorders>
              <w:right w:val="single" w:sz="8" w:color="B2B2B2"/>
            </w:tcBorders>
          </w:tcPr>
          <w:p>
            <w:pPr>
              <w:ind w:left="60"/>
              <w:spacing w:after="0" w:line="139" w:lineRule="exact"/>
              <w:rPr>
                <w:sz w:val="20"/>
                <w:szCs w:val="20"/>
                <w:color w:val="auto"/>
              </w:rPr>
            </w:pPr>
            <w:r>
              <w:rPr>
                <w:rFonts w:ascii="Arial" w:cs="Arial" w:eastAsia="Arial" w:hAnsi="Arial"/>
                <w:sz w:val="14"/>
                <w:szCs w:val="14"/>
                <w:color w:val="auto"/>
              </w:rPr>
              <w:t> </w:t>
            </w:r>
          </w:p>
        </w:tc>
        <w:tc>
          <w:tcPr>
            <w:tcW w:w="740" w:type="dxa"/>
            <w:vAlign w:val="bottom"/>
          </w:tcPr>
          <w:p>
            <w:pPr>
              <w:jc w:val="right"/>
              <w:ind w:right="31"/>
              <w:spacing w:after="0" w:line="139" w:lineRule="exact"/>
              <w:rPr>
                <w:sz w:val="20"/>
                <w:szCs w:val="20"/>
                <w:color w:val="auto"/>
              </w:rPr>
            </w:pPr>
            <w:r>
              <w:rPr>
                <w:rFonts w:ascii="Arial" w:cs="Arial" w:eastAsia="Arial" w:hAnsi="Arial"/>
                <w:sz w:val="14"/>
                <w:szCs w:val="14"/>
                <w:color w:val="auto"/>
              </w:rPr>
              <w:t>2020 </w:t>
            </w:r>
          </w:p>
        </w:tc>
        <w:tc>
          <w:tcPr>
            <w:tcW w:w="320" w:type="dxa"/>
            <w:vAlign w:val="bottom"/>
            <w:tcBorders>
              <w:right w:val="single" w:sz="8" w:color="B2B2B2"/>
            </w:tcBorders>
          </w:tcPr>
          <w:p>
            <w:pPr>
              <w:spacing w:after="0" w:line="139" w:lineRule="exact"/>
              <w:rPr>
                <w:sz w:val="20"/>
                <w:szCs w:val="20"/>
                <w:color w:val="auto"/>
              </w:rPr>
            </w:pPr>
            <w:r>
              <w:rPr>
                <w:rFonts w:ascii="Arial" w:cs="Arial" w:eastAsia="Arial" w:hAnsi="Arial"/>
                <w:sz w:val="14"/>
                <w:szCs w:val="14"/>
                <w:color w:val="auto"/>
              </w:rPr>
              <w:t> </w:t>
            </w:r>
          </w:p>
        </w:tc>
        <w:tc>
          <w:tcPr>
            <w:tcW w:w="620" w:type="dxa"/>
            <w:vAlign w:val="bottom"/>
          </w:tcPr>
          <w:p>
            <w:pPr>
              <w:jc w:val="center"/>
              <w:ind w:left="311"/>
              <w:spacing w:after="0" w:line="139"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400" w:type="dxa"/>
            <w:vAlign w:val="bottom"/>
            <w:tcBorders>
              <w:right w:val="single" w:sz="8" w:color="B2B2B2"/>
            </w:tcBorders>
          </w:tcPr>
          <w:p>
            <w:pPr>
              <w:ind w:left="60"/>
              <w:spacing w:after="0" w:line="139" w:lineRule="exact"/>
              <w:rPr>
                <w:sz w:val="20"/>
                <w:szCs w:val="20"/>
                <w:color w:val="auto"/>
              </w:rPr>
            </w:pPr>
            <w:r>
              <w:rPr>
                <w:rFonts w:ascii="Arial" w:cs="Arial" w:eastAsia="Arial" w:hAnsi="Arial"/>
                <w:sz w:val="14"/>
                <w:szCs w:val="14"/>
                <w:color w:val="3E8EDE"/>
              </w:rPr>
              <w:t> </w:t>
            </w:r>
          </w:p>
        </w:tc>
        <w:tc>
          <w:tcPr>
            <w:tcW w:w="540" w:type="dxa"/>
            <w:vAlign w:val="bottom"/>
          </w:tcPr>
          <w:p>
            <w:pPr>
              <w:ind w:left="320"/>
              <w:spacing w:after="0" w:line="139"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220" w:type="dxa"/>
            <w:vAlign w:val="bottom"/>
          </w:tcPr>
          <w:p>
            <w:pPr>
              <w:ind w:left="40"/>
              <w:spacing w:after="0" w:line="139" w:lineRule="exact"/>
              <w:rPr>
                <w:sz w:val="20"/>
                <w:szCs w:val="20"/>
                <w:color w:val="auto"/>
              </w:rPr>
            </w:pPr>
            <w:r>
              <w:rPr>
                <w:rFonts w:ascii="Arial" w:cs="Arial" w:eastAsia="Arial" w:hAnsi="Arial"/>
                <w:sz w:val="14"/>
                <w:szCs w:val="14"/>
                <w:color w:val="3E8EDE"/>
              </w:rPr>
              <w:t> </w:t>
            </w:r>
          </w:p>
        </w:tc>
        <w:tc>
          <w:tcPr>
            <w:tcW w:w="140" w:type="dxa"/>
            <w:vAlign w:val="bottom"/>
            <w:tcBorders>
              <w:right w:val="single" w:sz="8" w:color="B2B2B2"/>
            </w:tcBorders>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right w:val="single" w:sz="8" w:color="B2B2B2"/>
            </w:tcBorders>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right w:val="single" w:sz="8" w:color="B2B2B2"/>
            </w:tcBorders>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B2B2B2"/>
            </w:tcBorders>
          </w:tcPr>
          <w:p>
            <w:pPr>
              <w:spacing w:after="0"/>
              <w:rPr>
                <w:sz w:val="12"/>
                <w:szCs w:val="12"/>
                <w:color w:val="auto"/>
              </w:rPr>
            </w:pPr>
          </w:p>
        </w:tc>
        <w:tc>
          <w:tcPr>
            <w:tcW w:w="540" w:type="dxa"/>
            <w:vAlign w:val="bottom"/>
          </w:tcPr>
          <w:p>
            <w:pPr>
              <w:jc w:val="center"/>
              <w:ind w:left="241"/>
              <w:spacing w:after="0"/>
              <w:rPr>
                <w:sz w:val="20"/>
                <w:szCs w:val="20"/>
                <w:color w:val="auto"/>
              </w:rPr>
            </w:pPr>
            <w:r>
              <w:rPr>
                <w:rFonts w:ascii="Arial" w:cs="Arial" w:eastAsia="Arial" w:hAnsi="Arial"/>
                <w:sz w:val="10"/>
                <w:szCs w:val="10"/>
                <w:color w:val="auto"/>
                <w:w w:val="76"/>
              </w:rPr>
              <w:t>1 </w:t>
            </w:r>
          </w:p>
        </w:tc>
        <w:tc>
          <w:tcPr>
            <w:tcW w:w="200" w:type="dxa"/>
            <w:vAlign w:val="bottom"/>
          </w:tcPr>
          <w:p>
            <w:pPr>
              <w:jc w:val="right"/>
              <w:ind w:right="51"/>
              <w:spacing w:after="0" w:line="139" w:lineRule="exact"/>
              <w:rPr>
                <w:sz w:val="20"/>
                <w:szCs w:val="20"/>
                <w:color w:val="auto"/>
              </w:rPr>
            </w:pPr>
            <w:r>
              <w:rPr>
                <w:rFonts w:ascii="Arial" w:cs="Arial" w:eastAsia="Arial" w:hAnsi="Arial"/>
                <w:sz w:val="14"/>
                <w:szCs w:val="14"/>
                <w:color w:val="auto"/>
              </w:rPr>
              <w:t> </w:t>
            </w:r>
          </w:p>
        </w:tc>
        <w:tc>
          <w:tcPr>
            <w:tcW w:w="120" w:type="dxa"/>
            <w:vAlign w:val="bottom"/>
            <w:tcBorders>
              <w:right w:val="single" w:sz="8" w:color="B2B2B2"/>
            </w:tcBorders>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9"/>
        </w:trPr>
        <w:tc>
          <w:tcPr>
            <w:tcW w:w="1580" w:type="dxa"/>
            <w:vAlign w:val="bottom"/>
            <w:tcBorders>
              <w:right w:val="single" w:sz="8" w:color="B2B2B2"/>
            </w:tcBorders>
          </w:tcPr>
          <w:p>
            <w:pPr>
              <w:ind w:left="80"/>
              <w:spacing w:after="0"/>
              <w:rPr>
                <w:sz w:val="20"/>
                <w:szCs w:val="20"/>
                <w:color w:val="auto"/>
              </w:rPr>
            </w:pPr>
            <w:r>
              <w:rPr>
                <w:rFonts w:ascii="Arial" w:cs="Arial" w:eastAsia="Arial" w:hAnsi="Arial"/>
                <w:sz w:val="14"/>
                <w:szCs w:val="14"/>
                <w:b w:val="1"/>
                <w:bCs w:val="1"/>
                <w:color w:val="3E8EDE"/>
              </w:rPr>
              <w:t>Holland</w:t>
            </w:r>
          </w:p>
        </w:tc>
        <w:tc>
          <w:tcPr>
            <w:tcW w:w="540" w:type="dxa"/>
            <w:vAlign w:val="bottom"/>
          </w:tcPr>
          <w:p>
            <w:pPr>
              <w:spacing w:after="0"/>
              <w:rPr>
                <w:sz w:val="14"/>
                <w:szCs w:val="14"/>
                <w:color w:val="auto"/>
              </w:rPr>
            </w:pPr>
          </w:p>
        </w:tc>
        <w:tc>
          <w:tcPr>
            <w:tcW w:w="380" w:type="dxa"/>
            <w:vAlign w:val="bottom"/>
            <w:tcBorders>
              <w:right w:val="single" w:sz="8" w:color="B2B2B2"/>
            </w:tcBorders>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Borders>
              <w:right w:val="single" w:sz="8" w:color="B2B2B2"/>
            </w:tcBorders>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Borders>
              <w:right w:val="single" w:sz="8" w:color="B2B2B2"/>
            </w:tcBorders>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right w:val="single" w:sz="8" w:color="B2B2B2"/>
            </w:tcBorders>
          </w:tcPr>
          <w:p>
            <w:pPr>
              <w:spacing w:after="0"/>
              <w:rPr>
                <w:sz w:val="14"/>
                <w:szCs w:val="14"/>
                <w:color w:val="auto"/>
              </w:rPr>
            </w:pPr>
          </w:p>
        </w:tc>
        <w:tc>
          <w:tcPr>
            <w:tcW w:w="660" w:type="dxa"/>
            <w:vAlign w:val="bottom"/>
          </w:tcPr>
          <w:p>
            <w:pPr>
              <w:jc w:val="center"/>
              <w:ind w:left="358"/>
              <w:spacing w:after="0"/>
              <w:rPr>
                <w:sz w:val="20"/>
                <w:szCs w:val="20"/>
                <w:color w:val="auto"/>
              </w:rPr>
            </w:pPr>
            <w:r>
              <w:rPr>
                <w:rFonts w:ascii="Arial" w:cs="Arial" w:eastAsia="Arial" w:hAnsi="Arial"/>
                <w:sz w:val="5"/>
                <w:szCs w:val="5"/>
                <w:color w:val="auto"/>
                <w:w w:val="79"/>
              </w:rPr>
              <w:t> </w:t>
            </w:r>
          </w:p>
        </w:tc>
        <w:tc>
          <w:tcPr>
            <w:tcW w:w="360" w:type="dxa"/>
            <w:vAlign w:val="bottom"/>
          </w:tcPr>
          <w:p>
            <w:pPr>
              <w:spacing w:after="0"/>
              <w:rPr>
                <w:sz w:val="20"/>
                <w:szCs w:val="20"/>
                <w:color w:val="auto"/>
              </w:rPr>
            </w:pPr>
            <w:r>
              <w:rPr>
                <w:rFonts w:ascii="Arial" w:cs="Arial" w:eastAsia="Arial" w:hAnsi="Arial"/>
                <w:sz w:val="14"/>
                <w:szCs w:val="14"/>
                <w:color w:val="auto"/>
              </w:rPr>
              <w:t> </w:t>
            </w:r>
          </w:p>
        </w:tc>
        <w:tc>
          <w:tcPr>
            <w:tcW w:w="140" w:type="dxa"/>
            <w:vAlign w:val="bottom"/>
            <w:tcBorders>
              <w:right w:val="single" w:sz="8" w:color="B2B2B2"/>
            </w:tcBorders>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right w:val="single" w:sz="8" w:color="B2B2B2"/>
            </w:tcBorders>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right w:val="single" w:sz="8" w:color="B2B2B2"/>
            </w:tcBorders>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right w:val="single" w:sz="8" w:color="B2B2B2"/>
            </w:tcBorders>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3"/>
        </w:trPr>
        <w:tc>
          <w:tcPr>
            <w:tcW w:w="1580" w:type="dxa"/>
            <w:vAlign w:val="bottom"/>
            <w:tcBorders>
              <w:right w:val="single" w:sz="8" w:color="B2B2B2"/>
            </w:tcBorders>
          </w:tcPr>
          <w:p>
            <w:pPr>
              <w:ind w:left="80"/>
              <w:spacing w:after="0" w:line="143" w:lineRule="exact"/>
              <w:rPr>
                <w:sz w:val="20"/>
                <w:szCs w:val="20"/>
                <w:color w:val="auto"/>
              </w:rPr>
            </w:pPr>
            <w:r>
              <w:rPr>
                <w:rFonts w:ascii="Arial" w:cs="Arial" w:eastAsia="Arial" w:hAnsi="Arial"/>
                <w:sz w:val="14"/>
                <w:szCs w:val="14"/>
                <w:color w:val="auto"/>
              </w:rPr>
              <w:t>Former Senior VP &amp;</w:t>
            </w:r>
          </w:p>
        </w:tc>
        <w:tc>
          <w:tcPr>
            <w:tcW w:w="540" w:type="dxa"/>
            <w:vAlign w:val="bottom"/>
          </w:tcPr>
          <w:p>
            <w:pPr>
              <w:spacing w:after="0"/>
              <w:rPr>
                <w:sz w:val="12"/>
                <w:szCs w:val="12"/>
                <w:color w:val="auto"/>
              </w:rPr>
            </w:pPr>
          </w:p>
        </w:tc>
        <w:tc>
          <w:tcPr>
            <w:tcW w:w="380" w:type="dxa"/>
            <w:vAlign w:val="bottom"/>
            <w:tcBorders>
              <w:right w:val="single" w:sz="8" w:color="B2B2B2"/>
            </w:tcBorders>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Borders>
              <w:right w:val="single" w:sz="8" w:color="B2B2B2"/>
            </w:tcBorders>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Borders>
              <w:right w:val="single" w:sz="8" w:color="B2B2B2"/>
            </w:tcBorders>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right w:val="single" w:sz="8" w:color="B2B2B2"/>
            </w:tcBorders>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right w:val="single" w:sz="8" w:color="B2B2B2"/>
            </w:tcBorders>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right w:val="single" w:sz="8" w:color="B2B2B2"/>
            </w:tcBorders>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B2B2B2"/>
            </w:tcBorders>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right w:val="single" w:sz="8" w:color="B2B2B2"/>
            </w:tcBorders>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1"/>
        </w:trPr>
        <w:tc>
          <w:tcPr>
            <w:tcW w:w="1580" w:type="dxa"/>
            <w:vAlign w:val="bottom"/>
            <w:tcBorders>
              <w:right w:val="single" w:sz="8" w:color="B2B2B2"/>
            </w:tcBorders>
          </w:tcPr>
          <w:p>
            <w:pPr>
              <w:ind w:left="80"/>
              <w:spacing w:after="0"/>
              <w:rPr>
                <w:sz w:val="20"/>
                <w:szCs w:val="20"/>
                <w:color w:val="auto"/>
              </w:rPr>
            </w:pPr>
            <w:r>
              <w:rPr>
                <w:rFonts w:ascii="Arial" w:cs="Arial" w:eastAsia="Arial" w:hAnsi="Arial"/>
                <w:sz w:val="14"/>
                <w:szCs w:val="14"/>
                <w:color w:val="auto"/>
              </w:rPr>
              <w:t>CFO C.R. Bard</w:t>
            </w:r>
          </w:p>
        </w:tc>
        <w:tc>
          <w:tcPr>
            <w:tcW w:w="540" w:type="dxa"/>
            <w:vAlign w:val="bottom"/>
          </w:tcPr>
          <w:p>
            <w:pPr>
              <w:spacing w:after="0"/>
              <w:rPr>
                <w:sz w:val="15"/>
                <w:szCs w:val="15"/>
                <w:color w:val="auto"/>
              </w:rPr>
            </w:pPr>
          </w:p>
        </w:tc>
        <w:tc>
          <w:tcPr>
            <w:tcW w:w="380" w:type="dxa"/>
            <w:vAlign w:val="bottom"/>
            <w:tcBorders>
              <w:right w:val="single" w:sz="8" w:color="B2B2B2"/>
            </w:tcBorders>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Borders>
              <w:right w:val="single" w:sz="8" w:color="B2B2B2"/>
            </w:tcBorders>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right w:val="single" w:sz="8" w:color="B2B2B2"/>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right w:val="single" w:sz="8" w:color="B2B2B2"/>
            </w:tcBorders>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47"/>
        </w:trPr>
        <w:tc>
          <w:tcPr>
            <w:tcW w:w="158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380" w:type="dxa"/>
            <w:vAlign w:val="bottom"/>
            <w:tcBorders>
              <w:bottom w:val="single" w:sz="8" w:color="B2B2B2"/>
              <w:right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c>
          <w:tcPr>
            <w:tcW w:w="320" w:type="dxa"/>
            <w:vAlign w:val="bottom"/>
            <w:tcBorders>
              <w:bottom w:val="single" w:sz="8" w:color="B2B2B2"/>
              <w:right w:val="single" w:sz="8" w:color="B2B2B2"/>
            </w:tcBorders>
          </w:tcPr>
          <w:p>
            <w:pPr>
              <w:spacing w:after="0"/>
              <w:rPr>
                <w:sz w:val="4"/>
                <w:szCs w:val="4"/>
                <w:color w:val="auto"/>
              </w:rPr>
            </w:pPr>
          </w:p>
        </w:tc>
        <w:tc>
          <w:tcPr>
            <w:tcW w:w="620" w:type="dxa"/>
            <w:vAlign w:val="bottom"/>
            <w:tcBorders>
              <w:bottom w:val="single" w:sz="8" w:color="B2B2B2"/>
            </w:tcBorders>
          </w:tcPr>
          <w:p>
            <w:pPr>
              <w:spacing w:after="0"/>
              <w:rPr>
                <w:sz w:val="4"/>
                <w:szCs w:val="4"/>
                <w:color w:val="auto"/>
              </w:rPr>
            </w:pPr>
          </w:p>
        </w:tc>
        <w:tc>
          <w:tcPr>
            <w:tcW w:w="4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2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660" w:type="dxa"/>
            <w:vAlign w:val="bottom"/>
            <w:tcBorders>
              <w:bottom w:val="single" w:sz="8" w:color="B2B2B2"/>
            </w:tcBorders>
          </w:tcPr>
          <w:p>
            <w:pPr>
              <w:spacing w:after="0"/>
              <w:rPr>
                <w:sz w:val="4"/>
                <w:szCs w:val="4"/>
                <w:color w:val="auto"/>
              </w:rPr>
            </w:pPr>
          </w:p>
        </w:tc>
        <w:tc>
          <w:tcPr>
            <w:tcW w:w="36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280" w:type="dxa"/>
            <w:vAlign w:val="bottom"/>
            <w:tcBorders>
              <w:bottom w:val="single" w:sz="8" w:color="B2B2B2"/>
              <w:right w:val="single" w:sz="8" w:color="B2B2B2"/>
            </w:tcBorders>
          </w:tcPr>
          <w:p>
            <w:pPr>
              <w:spacing w:after="0"/>
              <w:rPr>
                <w:sz w:val="4"/>
                <w:szCs w:val="4"/>
                <w:color w:val="auto"/>
              </w:rPr>
            </w:pPr>
          </w:p>
        </w:tc>
        <w:tc>
          <w:tcPr>
            <w:tcW w:w="56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1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00" w:type="dxa"/>
            <w:vAlign w:val="bottom"/>
            <w:tcBorders>
              <w:bottom w:val="single" w:sz="8" w:color="B2B2B2"/>
            </w:tcBorders>
          </w:tcPr>
          <w:p>
            <w:pPr>
              <w:spacing w:after="0"/>
              <w:rPr>
                <w:sz w:val="4"/>
                <w:szCs w:val="4"/>
                <w:color w:val="auto"/>
              </w:rPr>
            </w:pPr>
          </w:p>
        </w:tc>
        <w:tc>
          <w:tcPr>
            <w:tcW w:w="120" w:type="dxa"/>
            <w:vAlign w:val="bottom"/>
            <w:tcBorders>
              <w:bottom w:val="single" w:sz="8" w:color="B2B2B2"/>
              <w:right w:val="single" w:sz="8" w:color="B2B2B2"/>
            </w:tcBorders>
          </w:tcPr>
          <w:p>
            <w:pPr>
              <w:spacing w:after="0"/>
              <w:rPr>
                <w:sz w:val="4"/>
                <w:szCs w:val="4"/>
                <w:color w:val="auto"/>
              </w:rPr>
            </w:pPr>
          </w:p>
        </w:tc>
        <w:tc>
          <w:tcPr>
            <w:tcW w:w="52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r>
      <w:tr>
        <w:trPr>
          <w:trHeight w:val="141"/>
        </w:trPr>
        <w:tc>
          <w:tcPr>
            <w:tcW w:w="1580" w:type="dxa"/>
            <w:vAlign w:val="bottom"/>
            <w:tcBorders>
              <w:right w:val="single" w:sz="8" w:color="B2B2B2"/>
            </w:tcBorders>
          </w:tcPr>
          <w:p>
            <w:pPr>
              <w:ind w:left="80"/>
              <w:spacing w:after="0" w:line="141" w:lineRule="exact"/>
              <w:rPr>
                <w:sz w:val="20"/>
                <w:szCs w:val="20"/>
                <w:color w:val="auto"/>
              </w:rPr>
            </w:pPr>
            <w:r>
              <w:rPr>
                <w:rFonts w:ascii="Arial" w:cs="Arial" w:eastAsia="Arial" w:hAnsi="Arial"/>
                <w:sz w:val="14"/>
                <w:szCs w:val="14"/>
                <w:b w:val="1"/>
                <w:bCs w:val="1"/>
                <w:color w:val="3E8EDE"/>
              </w:rPr>
              <w:t>Paul E. Martin</w:t>
            </w:r>
          </w:p>
        </w:tc>
        <w:tc>
          <w:tcPr>
            <w:tcW w:w="540" w:type="dxa"/>
            <w:vAlign w:val="bottom"/>
          </w:tcPr>
          <w:p>
            <w:pPr>
              <w:ind w:left="300"/>
              <w:spacing w:after="0" w:line="141" w:lineRule="exact"/>
              <w:rPr>
                <w:sz w:val="20"/>
                <w:szCs w:val="20"/>
                <w:color w:val="auto"/>
              </w:rPr>
            </w:pPr>
            <w:r>
              <w:rPr>
                <w:rFonts w:ascii="Arial" w:cs="Arial" w:eastAsia="Arial" w:hAnsi="Arial"/>
                <w:sz w:val="14"/>
                <w:szCs w:val="14"/>
                <w:color w:val="auto"/>
                <w:w w:val="74"/>
              </w:rPr>
              <w:t>68 </w:t>
            </w:r>
          </w:p>
        </w:tc>
        <w:tc>
          <w:tcPr>
            <w:tcW w:w="380" w:type="dxa"/>
            <w:vAlign w:val="bottom"/>
            <w:tcBorders>
              <w:right w:val="single" w:sz="8" w:color="B2B2B2"/>
            </w:tcBorders>
          </w:tcPr>
          <w:p>
            <w:pPr>
              <w:ind w:left="60"/>
              <w:spacing w:after="0" w:line="141" w:lineRule="exact"/>
              <w:rPr>
                <w:sz w:val="20"/>
                <w:szCs w:val="20"/>
                <w:color w:val="auto"/>
              </w:rPr>
            </w:pPr>
            <w:r>
              <w:rPr>
                <w:rFonts w:ascii="Arial" w:cs="Arial" w:eastAsia="Arial" w:hAnsi="Arial"/>
                <w:sz w:val="14"/>
                <w:szCs w:val="14"/>
                <w:color w:val="auto"/>
              </w:rPr>
              <w:t> </w:t>
            </w:r>
          </w:p>
        </w:tc>
        <w:tc>
          <w:tcPr>
            <w:tcW w:w="740" w:type="dxa"/>
            <w:vAlign w:val="bottom"/>
          </w:tcPr>
          <w:p>
            <w:pPr>
              <w:jc w:val="right"/>
              <w:ind w:right="31"/>
              <w:spacing w:after="0" w:line="141" w:lineRule="exact"/>
              <w:rPr>
                <w:sz w:val="20"/>
                <w:szCs w:val="20"/>
                <w:color w:val="auto"/>
              </w:rPr>
            </w:pPr>
            <w:r>
              <w:rPr>
                <w:rFonts w:ascii="Arial" w:cs="Arial" w:eastAsia="Arial" w:hAnsi="Arial"/>
                <w:sz w:val="14"/>
                <w:szCs w:val="14"/>
                <w:color w:val="auto"/>
              </w:rPr>
              <w:t>2021 </w:t>
            </w:r>
          </w:p>
        </w:tc>
        <w:tc>
          <w:tcPr>
            <w:tcW w:w="320" w:type="dxa"/>
            <w:vAlign w:val="bottom"/>
            <w:tcBorders>
              <w:right w:val="single" w:sz="8" w:color="B2B2B2"/>
            </w:tcBorders>
          </w:tcPr>
          <w:p>
            <w:pPr>
              <w:spacing w:after="0" w:line="141" w:lineRule="exact"/>
              <w:rPr>
                <w:sz w:val="20"/>
                <w:szCs w:val="20"/>
                <w:color w:val="auto"/>
              </w:rPr>
            </w:pPr>
            <w:r>
              <w:rPr>
                <w:rFonts w:ascii="Arial" w:cs="Arial" w:eastAsia="Arial" w:hAnsi="Arial"/>
                <w:sz w:val="14"/>
                <w:szCs w:val="14"/>
                <w:color w:val="auto"/>
              </w:rPr>
              <w:t> </w:t>
            </w:r>
          </w:p>
        </w:tc>
        <w:tc>
          <w:tcPr>
            <w:tcW w:w="620" w:type="dxa"/>
            <w:vAlign w:val="bottom"/>
          </w:tcPr>
          <w:p>
            <w:pPr>
              <w:jc w:val="center"/>
              <w:ind w:left="311"/>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400" w:type="dxa"/>
            <w:vAlign w:val="bottom"/>
            <w:tcBorders>
              <w:right w:val="single" w:sz="8" w:color="B2B2B2"/>
            </w:tcBorders>
          </w:tcPr>
          <w:p>
            <w:pPr>
              <w:ind w:left="60"/>
              <w:spacing w:after="0" w:line="141" w:lineRule="exact"/>
              <w:rPr>
                <w:sz w:val="20"/>
                <w:szCs w:val="20"/>
                <w:color w:val="auto"/>
              </w:rPr>
            </w:pPr>
            <w:r>
              <w:rPr>
                <w:rFonts w:ascii="Arial" w:cs="Arial" w:eastAsia="Arial" w:hAnsi="Arial"/>
                <w:sz w:val="14"/>
                <w:szCs w:val="14"/>
                <w:color w:val="3E8EDE"/>
              </w:rPr>
              <w:t> </w:t>
            </w:r>
          </w:p>
        </w:tc>
        <w:tc>
          <w:tcPr>
            <w:tcW w:w="540" w:type="dxa"/>
            <w:vAlign w:val="bottom"/>
          </w:tcPr>
          <w:p>
            <w:pPr>
              <w:ind w:left="320"/>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220" w:type="dxa"/>
            <w:vAlign w:val="bottom"/>
          </w:tcPr>
          <w:p>
            <w:pPr>
              <w:ind w:left="40"/>
              <w:spacing w:after="0" w:line="141" w:lineRule="exact"/>
              <w:rPr>
                <w:sz w:val="20"/>
                <w:szCs w:val="20"/>
                <w:color w:val="auto"/>
              </w:rPr>
            </w:pPr>
            <w:r>
              <w:rPr>
                <w:rFonts w:ascii="Arial" w:cs="Arial" w:eastAsia="Arial" w:hAnsi="Arial"/>
                <w:sz w:val="14"/>
                <w:szCs w:val="14"/>
                <w:color w:val="3E8EDE"/>
              </w:rPr>
              <w:t> </w:t>
            </w:r>
          </w:p>
        </w:tc>
        <w:tc>
          <w:tcPr>
            <w:tcW w:w="140" w:type="dxa"/>
            <w:vAlign w:val="bottom"/>
            <w:tcBorders>
              <w:right w:val="single" w:sz="8" w:color="B2B2B2"/>
            </w:tcBorders>
          </w:tcPr>
          <w:p>
            <w:pPr>
              <w:spacing w:after="0"/>
              <w:rPr>
                <w:sz w:val="12"/>
                <w:szCs w:val="12"/>
                <w:color w:val="auto"/>
              </w:rPr>
            </w:pPr>
          </w:p>
        </w:tc>
        <w:tc>
          <w:tcPr>
            <w:tcW w:w="660" w:type="dxa"/>
            <w:vAlign w:val="bottom"/>
          </w:tcPr>
          <w:p>
            <w:pPr>
              <w:jc w:val="center"/>
              <w:ind w:left="358"/>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360" w:type="dxa"/>
            <w:vAlign w:val="bottom"/>
          </w:tcPr>
          <w:p>
            <w:pPr>
              <w:ind w:left="60"/>
              <w:spacing w:after="0" w:line="141" w:lineRule="exact"/>
              <w:rPr>
                <w:sz w:val="20"/>
                <w:szCs w:val="20"/>
                <w:color w:val="auto"/>
              </w:rPr>
            </w:pPr>
            <w:r>
              <w:rPr>
                <w:rFonts w:ascii="Arial" w:cs="Arial" w:eastAsia="Arial" w:hAnsi="Arial"/>
                <w:sz w:val="14"/>
                <w:szCs w:val="14"/>
                <w:color w:val="3E8EDE"/>
              </w:rPr>
              <w:t> </w:t>
            </w:r>
          </w:p>
        </w:tc>
        <w:tc>
          <w:tcPr>
            <w:tcW w:w="140" w:type="dxa"/>
            <w:vAlign w:val="bottom"/>
            <w:tcBorders>
              <w:right w:val="single" w:sz="8" w:color="B2B2B2"/>
            </w:tcBorders>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right w:val="single" w:sz="8" w:color="B2B2B2"/>
            </w:tcBorders>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B2B2B2"/>
            </w:tcBorders>
          </w:tcPr>
          <w:p>
            <w:pPr>
              <w:spacing w:after="0"/>
              <w:rPr>
                <w:sz w:val="12"/>
                <w:szCs w:val="12"/>
                <w:color w:val="auto"/>
              </w:rPr>
            </w:pPr>
          </w:p>
        </w:tc>
        <w:tc>
          <w:tcPr>
            <w:tcW w:w="540" w:type="dxa"/>
            <w:vAlign w:val="bottom"/>
          </w:tcPr>
          <w:p>
            <w:pPr>
              <w:jc w:val="center"/>
              <w:ind w:left="241"/>
              <w:spacing w:after="0"/>
              <w:rPr>
                <w:sz w:val="20"/>
                <w:szCs w:val="20"/>
                <w:color w:val="auto"/>
              </w:rPr>
            </w:pPr>
            <w:r>
              <w:rPr>
                <w:rFonts w:ascii="Arial" w:cs="Arial" w:eastAsia="Arial" w:hAnsi="Arial"/>
                <w:sz w:val="10"/>
                <w:szCs w:val="10"/>
                <w:color w:val="auto"/>
                <w:w w:val="76"/>
              </w:rPr>
              <w:t>2 </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rPr>
              <w:t> </w:t>
            </w:r>
          </w:p>
        </w:tc>
        <w:tc>
          <w:tcPr>
            <w:tcW w:w="120" w:type="dxa"/>
            <w:vAlign w:val="bottom"/>
            <w:tcBorders>
              <w:right w:val="single" w:sz="8" w:color="B2B2B2"/>
            </w:tcBorders>
          </w:tcPr>
          <w:p>
            <w:pPr>
              <w:spacing w:after="0"/>
              <w:rPr>
                <w:sz w:val="12"/>
                <w:szCs w:val="12"/>
                <w:color w:val="auto"/>
              </w:rPr>
            </w:pPr>
          </w:p>
        </w:tc>
        <w:tc>
          <w:tcPr>
            <w:tcW w:w="520" w:type="dxa"/>
            <w:vAlign w:val="bottom"/>
          </w:tcPr>
          <w:p>
            <w:pPr>
              <w:jc w:val="center"/>
              <w:ind w:left="211"/>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240" w:type="dxa"/>
            <w:vAlign w:val="bottom"/>
          </w:tcPr>
          <w:p>
            <w:pPr>
              <w:ind w:left="60"/>
              <w:spacing w:after="0" w:line="141" w:lineRule="exact"/>
              <w:rPr>
                <w:sz w:val="20"/>
                <w:szCs w:val="20"/>
                <w:color w:val="auto"/>
              </w:rPr>
            </w:pPr>
            <w:r>
              <w:rPr>
                <w:rFonts w:ascii="Arial" w:cs="Arial" w:eastAsia="Arial" w:hAnsi="Arial"/>
                <w:sz w:val="14"/>
                <w:szCs w:val="14"/>
                <w:color w:val="3E8EDE"/>
              </w:rPr>
              <w:t> </w:t>
            </w:r>
          </w:p>
        </w:tc>
      </w:tr>
      <w:tr>
        <w:trPr>
          <w:trHeight w:val="155"/>
        </w:trPr>
        <w:tc>
          <w:tcPr>
            <w:tcW w:w="1580" w:type="dxa"/>
            <w:vAlign w:val="bottom"/>
            <w:tcBorders>
              <w:right w:val="single" w:sz="8" w:color="B2B2B2"/>
            </w:tcBorders>
          </w:tcPr>
          <w:p>
            <w:pPr>
              <w:ind w:left="80"/>
              <w:spacing w:after="0" w:line="155" w:lineRule="exact"/>
              <w:rPr>
                <w:sz w:val="20"/>
                <w:szCs w:val="20"/>
                <w:color w:val="auto"/>
              </w:rPr>
            </w:pPr>
            <w:r>
              <w:rPr>
                <w:rFonts w:ascii="Arial" w:cs="Arial" w:eastAsia="Arial" w:hAnsi="Arial"/>
                <w:sz w:val="14"/>
                <w:szCs w:val="14"/>
                <w:color w:val="auto"/>
              </w:rPr>
              <w:t>Former Senior V.P. &amp;</w:t>
            </w:r>
          </w:p>
        </w:tc>
        <w:tc>
          <w:tcPr>
            <w:tcW w:w="540" w:type="dxa"/>
            <w:vAlign w:val="bottom"/>
          </w:tcPr>
          <w:p>
            <w:pPr>
              <w:spacing w:after="0"/>
              <w:rPr>
                <w:sz w:val="13"/>
                <w:szCs w:val="13"/>
                <w:color w:val="auto"/>
              </w:rPr>
            </w:pPr>
          </w:p>
        </w:tc>
        <w:tc>
          <w:tcPr>
            <w:tcW w:w="380" w:type="dxa"/>
            <w:vAlign w:val="bottom"/>
            <w:tcBorders>
              <w:right w:val="single" w:sz="8" w:color="B2B2B2"/>
            </w:tcBorders>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Borders>
              <w:right w:val="single" w:sz="8" w:color="B2B2B2"/>
            </w:tcBorders>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Borders>
              <w:right w:val="single" w:sz="8" w:color="B2B2B2"/>
            </w:tcBorders>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right w:val="single" w:sz="8" w:color="B2B2B2"/>
            </w:tcBorders>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right w:val="single" w:sz="8" w:color="B2B2B2"/>
            </w:tcBorders>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right w:val="single" w:sz="8" w:color="B2B2B2"/>
            </w:tcBorders>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B2B2B2"/>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right w:val="single" w:sz="8" w:color="B2B2B2"/>
            </w:tcBorders>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5"/>
        </w:trPr>
        <w:tc>
          <w:tcPr>
            <w:tcW w:w="1580" w:type="dxa"/>
            <w:vAlign w:val="bottom"/>
            <w:tcBorders>
              <w:right w:val="single" w:sz="8" w:color="B2B2B2"/>
            </w:tcBorders>
          </w:tcPr>
          <w:p>
            <w:pPr>
              <w:ind w:left="80"/>
              <w:spacing w:after="0" w:line="155" w:lineRule="exact"/>
              <w:rPr>
                <w:sz w:val="20"/>
                <w:szCs w:val="20"/>
                <w:color w:val="auto"/>
              </w:rPr>
            </w:pPr>
            <w:r>
              <w:rPr>
                <w:rFonts w:ascii="Arial" w:cs="Arial" w:eastAsia="Arial" w:hAnsi="Arial"/>
                <w:sz w:val="14"/>
                <w:szCs w:val="14"/>
                <w:color w:val="auto"/>
              </w:rPr>
              <w:t>CIO Baxter</w:t>
            </w:r>
          </w:p>
        </w:tc>
        <w:tc>
          <w:tcPr>
            <w:tcW w:w="540" w:type="dxa"/>
            <w:vAlign w:val="bottom"/>
          </w:tcPr>
          <w:p>
            <w:pPr>
              <w:spacing w:after="0"/>
              <w:rPr>
                <w:sz w:val="13"/>
                <w:szCs w:val="13"/>
                <w:color w:val="auto"/>
              </w:rPr>
            </w:pPr>
          </w:p>
        </w:tc>
        <w:tc>
          <w:tcPr>
            <w:tcW w:w="380" w:type="dxa"/>
            <w:vAlign w:val="bottom"/>
            <w:tcBorders>
              <w:right w:val="single" w:sz="8" w:color="B2B2B2"/>
            </w:tcBorders>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Borders>
              <w:right w:val="single" w:sz="8" w:color="B2B2B2"/>
            </w:tcBorders>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Borders>
              <w:right w:val="single" w:sz="8" w:color="B2B2B2"/>
            </w:tcBorders>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right w:val="single" w:sz="8" w:color="B2B2B2"/>
            </w:tcBorders>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right w:val="single" w:sz="8" w:color="B2B2B2"/>
            </w:tcBorders>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right w:val="single" w:sz="8" w:color="B2B2B2"/>
            </w:tcBorders>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B2B2B2"/>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right w:val="single" w:sz="8" w:color="B2B2B2"/>
            </w:tcBorders>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81"/>
        </w:trPr>
        <w:tc>
          <w:tcPr>
            <w:tcW w:w="1580" w:type="dxa"/>
            <w:vAlign w:val="bottom"/>
            <w:tcBorders>
              <w:right w:val="single" w:sz="8" w:color="B2B2B2"/>
            </w:tcBorders>
          </w:tcPr>
          <w:p>
            <w:pPr>
              <w:ind w:left="80"/>
              <w:spacing w:after="0"/>
              <w:rPr>
                <w:sz w:val="20"/>
                <w:szCs w:val="20"/>
                <w:color w:val="auto"/>
              </w:rPr>
            </w:pPr>
            <w:r>
              <w:rPr>
                <w:rFonts w:ascii="Arial" w:cs="Arial" w:eastAsia="Arial" w:hAnsi="Arial"/>
                <w:sz w:val="14"/>
                <w:szCs w:val="14"/>
                <w:color w:val="auto"/>
              </w:rPr>
              <w:t>International</w:t>
            </w:r>
          </w:p>
        </w:tc>
        <w:tc>
          <w:tcPr>
            <w:tcW w:w="540" w:type="dxa"/>
            <w:vAlign w:val="bottom"/>
          </w:tcPr>
          <w:p>
            <w:pPr>
              <w:spacing w:after="0"/>
              <w:rPr>
                <w:sz w:val="15"/>
                <w:szCs w:val="15"/>
                <w:color w:val="auto"/>
              </w:rPr>
            </w:pPr>
          </w:p>
        </w:tc>
        <w:tc>
          <w:tcPr>
            <w:tcW w:w="380" w:type="dxa"/>
            <w:vAlign w:val="bottom"/>
            <w:tcBorders>
              <w:right w:val="single" w:sz="8" w:color="B2B2B2"/>
            </w:tcBorders>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Borders>
              <w:right w:val="single" w:sz="8" w:color="B2B2B2"/>
            </w:tcBorders>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right w:val="single" w:sz="8" w:color="B2B2B2"/>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right w:val="single" w:sz="8" w:color="B2B2B2"/>
            </w:tcBorders>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47"/>
        </w:trPr>
        <w:tc>
          <w:tcPr>
            <w:tcW w:w="158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380" w:type="dxa"/>
            <w:vAlign w:val="bottom"/>
            <w:tcBorders>
              <w:bottom w:val="single" w:sz="8" w:color="B2B2B2"/>
              <w:right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c>
          <w:tcPr>
            <w:tcW w:w="320" w:type="dxa"/>
            <w:vAlign w:val="bottom"/>
            <w:tcBorders>
              <w:bottom w:val="single" w:sz="8" w:color="B2B2B2"/>
              <w:right w:val="single" w:sz="8" w:color="B2B2B2"/>
            </w:tcBorders>
          </w:tcPr>
          <w:p>
            <w:pPr>
              <w:spacing w:after="0"/>
              <w:rPr>
                <w:sz w:val="4"/>
                <w:szCs w:val="4"/>
                <w:color w:val="auto"/>
              </w:rPr>
            </w:pPr>
          </w:p>
        </w:tc>
        <w:tc>
          <w:tcPr>
            <w:tcW w:w="620" w:type="dxa"/>
            <w:vAlign w:val="bottom"/>
            <w:tcBorders>
              <w:bottom w:val="single" w:sz="8" w:color="B2B2B2"/>
            </w:tcBorders>
          </w:tcPr>
          <w:p>
            <w:pPr>
              <w:spacing w:after="0"/>
              <w:rPr>
                <w:sz w:val="4"/>
                <w:szCs w:val="4"/>
                <w:color w:val="auto"/>
              </w:rPr>
            </w:pPr>
          </w:p>
        </w:tc>
        <w:tc>
          <w:tcPr>
            <w:tcW w:w="4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2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660" w:type="dxa"/>
            <w:vAlign w:val="bottom"/>
            <w:tcBorders>
              <w:bottom w:val="single" w:sz="8" w:color="B2B2B2"/>
            </w:tcBorders>
          </w:tcPr>
          <w:p>
            <w:pPr>
              <w:spacing w:after="0"/>
              <w:rPr>
                <w:sz w:val="4"/>
                <w:szCs w:val="4"/>
                <w:color w:val="auto"/>
              </w:rPr>
            </w:pPr>
          </w:p>
        </w:tc>
        <w:tc>
          <w:tcPr>
            <w:tcW w:w="36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280" w:type="dxa"/>
            <w:vAlign w:val="bottom"/>
            <w:tcBorders>
              <w:bottom w:val="single" w:sz="8" w:color="B2B2B2"/>
              <w:right w:val="single" w:sz="8" w:color="B2B2B2"/>
            </w:tcBorders>
          </w:tcPr>
          <w:p>
            <w:pPr>
              <w:spacing w:after="0"/>
              <w:rPr>
                <w:sz w:val="4"/>
                <w:szCs w:val="4"/>
                <w:color w:val="auto"/>
              </w:rPr>
            </w:pPr>
          </w:p>
        </w:tc>
        <w:tc>
          <w:tcPr>
            <w:tcW w:w="56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1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00" w:type="dxa"/>
            <w:vAlign w:val="bottom"/>
            <w:tcBorders>
              <w:bottom w:val="single" w:sz="8" w:color="B2B2B2"/>
            </w:tcBorders>
          </w:tcPr>
          <w:p>
            <w:pPr>
              <w:spacing w:after="0"/>
              <w:rPr>
                <w:sz w:val="4"/>
                <w:szCs w:val="4"/>
                <w:color w:val="auto"/>
              </w:rPr>
            </w:pPr>
          </w:p>
        </w:tc>
        <w:tc>
          <w:tcPr>
            <w:tcW w:w="120" w:type="dxa"/>
            <w:vAlign w:val="bottom"/>
            <w:tcBorders>
              <w:bottom w:val="single" w:sz="8" w:color="B2B2B2"/>
              <w:right w:val="single" w:sz="8" w:color="B2B2B2"/>
            </w:tcBorders>
          </w:tcPr>
          <w:p>
            <w:pPr>
              <w:spacing w:after="0"/>
              <w:rPr>
                <w:sz w:val="4"/>
                <w:szCs w:val="4"/>
                <w:color w:val="auto"/>
              </w:rPr>
            </w:pPr>
          </w:p>
        </w:tc>
        <w:tc>
          <w:tcPr>
            <w:tcW w:w="52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r>
      <w:tr>
        <w:trPr>
          <w:trHeight w:val="141"/>
        </w:trPr>
        <w:tc>
          <w:tcPr>
            <w:tcW w:w="1580" w:type="dxa"/>
            <w:vAlign w:val="bottom"/>
            <w:tcBorders>
              <w:right w:val="single" w:sz="8" w:color="B2B2B2"/>
            </w:tcBorders>
          </w:tcPr>
          <w:p>
            <w:pPr>
              <w:ind w:left="80"/>
              <w:spacing w:after="0" w:line="141" w:lineRule="exact"/>
              <w:rPr>
                <w:sz w:val="20"/>
                <w:szCs w:val="20"/>
                <w:color w:val="auto"/>
              </w:rPr>
            </w:pPr>
            <w:r>
              <w:rPr>
                <w:rFonts w:ascii="Arial" w:cs="Arial" w:eastAsia="Arial" w:hAnsi="Arial"/>
                <w:sz w:val="14"/>
                <w:szCs w:val="14"/>
                <w:b w:val="1"/>
                <w:bCs w:val="1"/>
                <w:color w:val="3E8EDE"/>
              </w:rPr>
              <w:t>Dr. Nirav R. Shah</w:t>
            </w:r>
          </w:p>
        </w:tc>
        <w:tc>
          <w:tcPr>
            <w:tcW w:w="540" w:type="dxa"/>
            <w:vAlign w:val="bottom"/>
          </w:tcPr>
          <w:p>
            <w:pPr>
              <w:ind w:left="300"/>
              <w:spacing w:after="0" w:line="141" w:lineRule="exact"/>
              <w:rPr>
                <w:sz w:val="20"/>
                <w:szCs w:val="20"/>
                <w:color w:val="auto"/>
              </w:rPr>
            </w:pPr>
            <w:r>
              <w:rPr>
                <w:rFonts w:ascii="Arial" w:cs="Arial" w:eastAsia="Arial" w:hAnsi="Arial"/>
                <w:sz w:val="14"/>
                <w:szCs w:val="14"/>
                <w:color w:val="auto"/>
                <w:w w:val="74"/>
              </w:rPr>
              <w:t>54 </w:t>
            </w:r>
          </w:p>
        </w:tc>
        <w:tc>
          <w:tcPr>
            <w:tcW w:w="380" w:type="dxa"/>
            <w:vAlign w:val="bottom"/>
            <w:tcBorders>
              <w:right w:val="single" w:sz="8" w:color="B2B2B2"/>
            </w:tcBorders>
          </w:tcPr>
          <w:p>
            <w:pPr>
              <w:ind w:left="60"/>
              <w:spacing w:after="0" w:line="141" w:lineRule="exact"/>
              <w:rPr>
                <w:sz w:val="20"/>
                <w:szCs w:val="20"/>
                <w:color w:val="auto"/>
              </w:rPr>
            </w:pPr>
            <w:r>
              <w:rPr>
                <w:rFonts w:ascii="Arial" w:cs="Arial" w:eastAsia="Arial" w:hAnsi="Arial"/>
                <w:sz w:val="14"/>
                <w:szCs w:val="14"/>
                <w:color w:val="auto"/>
              </w:rPr>
              <w:t> </w:t>
            </w:r>
          </w:p>
        </w:tc>
        <w:tc>
          <w:tcPr>
            <w:tcW w:w="740" w:type="dxa"/>
            <w:vAlign w:val="bottom"/>
          </w:tcPr>
          <w:p>
            <w:pPr>
              <w:jc w:val="right"/>
              <w:ind w:right="31"/>
              <w:spacing w:after="0" w:line="141" w:lineRule="exact"/>
              <w:rPr>
                <w:sz w:val="20"/>
                <w:szCs w:val="20"/>
                <w:color w:val="auto"/>
              </w:rPr>
            </w:pPr>
            <w:r>
              <w:rPr>
                <w:rFonts w:ascii="Arial" w:cs="Arial" w:eastAsia="Arial" w:hAnsi="Arial"/>
                <w:sz w:val="14"/>
                <w:szCs w:val="14"/>
                <w:color w:val="auto"/>
              </w:rPr>
              <w:t>2018 </w:t>
            </w:r>
          </w:p>
        </w:tc>
        <w:tc>
          <w:tcPr>
            <w:tcW w:w="320" w:type="dxa"/>
            <w:vAlign w:val="bottom"/>
            <w:tcBorders>
              <w:right w:val="single" w:sz="8" w:color="B2B2B2"/>
            </w:tcBorders>
          </w:tcPr>
          <w:p>
            <w:pPr>
              <w:spacing w:after="0" w:line="141" w:lineRule="exact"/>
              <w:rPr>
                <w:sz w:val="20"/>
                <w:szCs w:val="20"/>
                <w:color w:val="auto"/>
              </w:rPr>
            </w:pPr>
            <w:r>
              <w:rPr>
                <w:rFonts w:ascii="Arial" w:cs="Arial" w:eastAsia="Arial" w:hAnsi="Arial"/>
                <w:sz w:val="14"/>
                <w:szCs w:val="14"/>
                <w:color w:val="auto"/>
              </w:rPr>
              <w:t> </w:t>
            </w:r>
          </w:p>
        </w:tc>
        <w:tc>
          <w:tcPr>
            <w:tcW w:w="620" w:type="dxa"/>
            <w:vAlign w:val="bottom"/>
          </w:tcPr>
          <w:p>
            <w:pPr>
              <w:jc w:val="center"/>
              <w:ind w:left="311"/>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400" w:type="dxa"/>
            <w:vAlign w:val="bottom"/>
            <w:tcBorders>
              <w:right w:val="single" w:sz="8" w:color="B2B2B2"/>
            </w:tcBorders>
          </w:tcPr>
          <w:p>
            <w:pPr>
              <w:ind w:left="60"/>
              <w:spacing w:after="0" w:line="141" w:lineRule="exact"/>
              <w:rPr>
                <w:sz w:val="20"/>
                <w:szCs w:val="20"/>
                <w:color w:val="auto"/>
              </w:rPr>
            </w:pPr>
            <w:r>
              <w:rPr>
                <w:rFonts w:ascii="Arial" w:cs="Arial" w:eastAsia="Arial" w:hAnsi="Arial"/>
                <w:sz w:val="14"/>
                <w:szCs w:val="14"/>
                <w:color w:val="3E8EDE"/>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right w:val="single" w:sz="8" w:color="B2B2B2"/>
            </w:tcBorders>
          </w:tcPr>
          <w:p>
            <w:pPr>
              <w:spacing w:after="0"/>
              <w:rPr>
                <w:sz w:val="12"/>
                <w:szCs w:val="12"/>
                <w:color w:val="auto"/>
              </w:rPr>
            </w:pPr>
          </w:p>
        </w:tc>
        <w:tc>
          <w:tcPr>
            <w:tcW w:w="660" w:type="dxa"/>
            <w:vAlign w:val="bottom"/>
          </w:tcPr>
          <w:p>
            <w:pPr>
              <w:jc w:val="center"/>
              <w:ind w:left="358"/>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360" w:type="dxa"/>
            <w:vAlign w:val="bottom"/>
          </w:tcPr>
          <w:p>
            <w:pPr>
              <w:ind w:left="60"/>
              <w:spacing w:after="0" w:line="141" w:lineRule="exact"/>
              <w:rPr>
                <w:sz w:val="20"/>
                <w:szCs w:val="20"/>
                <w:color w:val="auto"/>
              </w:rPr>
            </w:pPr>
            <w:r>
              <w:rPr>
                <w:rFonts w:ascii="Arial" w:cs="Arial" w:eastAsia="Arial" w:hAnsi="Arial"/>
                <w:sz w:val="14"/>
                <w:szCs w:val="14"/>
                <w:color w:val="3E8EDE"/>
              </w:rPr>
              <w:t> </w:t>
            </w:r>
          </w:p>
        </w:tc>
        <w:tc>
          <w:tcPr>
            <w:tcW w:w="140" w:type="dxa"/>
            <w:vAlign w:val="bottom"/>
            <w:tcBorders>
              <w:right w:val="single" w:sz="8" w:color="B2B2B2"/>
            </w:tcBorders>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right w:val="single" w:sz="8" w:color="B2B2B2"/>
            </w:tcBorders>
          </w:tcPr>
          <w:p>
            <w:pPr>
              <w:spacing w:after="0"/>
              <w:rPr>
                <w:sz w:val="12"/>
                <w:szCs w:val="12"/>
                <w:color w:val="auto"/>
              </w:rPr>
            </w:pPr>
          </w:p>
        </w:tc>
        <w:tc>
          <w:tcPr>
            <w:tcW w:w="560" w:type="dxa"/>
            <w:vAlign w:val="bottom"/>
          </w:tcPr>
          <w:p>
            <w:pPr>
              <w:jc w:val="center"/>
              <w:ind w:left="298"/>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320" w:type="dxa"/>
            <w:vAlign w:val="bottom"/>
          </w:tcPr>
          <w:p>
            <w:pPr>
              <w:ind w:left="80"/>
              <w:spacing w:after="0" w:line="141" w:lineRule="exact"/>
              <w:rPr>
                <w:sz w:val="20"/>
                <w:szCs w:val="20"/>
                <w:color w:val="auto"/>
              </w:rPr>
            </w:pPr>
            <w:r>
              <w:rPr>
                <w:rFonts w:ascii="Arial" w:cs="Arial" w:eastAsia="Arial" w:hAnsi="Arial"/>
                <w:sz w:val="14"/>
                <w:szCs w:val="14"/>
                <w:color w:val="3E8EDE"/>
              </w:rPr>
              <w:t> </w:t>
            </w:r>
          </w:p>
        </w:tc>
        <w:tc>
          <w:tcPr>
            <w:tcW w:w="100" w:type="dxa"/>
            <w:vAlign w:val="bottom"/>
            <w:tcBorders>
              <w:right w:val="single" w:sz="8" w:color="B2B2B2"/>
            </w:tcBorders>
          </w:tcPr>
          <w:p>
            <w:pPr>
              <w:spacing w:after="0"/>
              <w:rPr>
                <w:sz w:val="12"/>
                <w:szCs w:val="12"/>
                <w:color w:val="auto"/>
              </w:rPr>
            </w:pPr>
          </w:p>
        </w:tc>
        <w:tc>
          <w:tcPr>
            <w:tcW w:w="540" w:type="dxa"/>
            <w:vAlign w:val="bottom"/>
          </w:tcPr>
          <w:p>
            <w:pPr>
              <w:jc w:val="center"/>
              <w:ind w:left="261"/>
              <w:spacing w:after="0"/>
              <w:rPr>
                <w:sz w:val="20"/>
                <w:szCs w:val="20"/>
                <w:color w:val="auto"/>
              </w:rPr>
            </w:pPr>
            <w:r>
              <w:rPr>
                <w:rFonts w:ascii="Arial" w:cs="Arial" w:eastAsia="Arial" w:hAnsi="Arial"/>
                <w:sz w:val="12"/>
                <w:szCs w:val="12"/>
                <w:color w:val="auto"/>
                <w:w w:val="74"/>
              </w:rPr>
              <w:t>— </w:t>
            </w:r>
          </w:p>
        </w:tc>
        <w:tc>
          <w:tcPr>
            <w:tcW w:w="200" w:type="dxa"/>
            <w:vAlign w:val="bottom"/>
          </w:tcPr>
          <w:p>
            <w:pPr>
              <w:jc w:val="right"/>
              <w:ind w:right="11"/>
              <w:spacing w:after="0" w:line="141" w:lineRule="exact"/>
              <w:rPr>
                <w:sz w:val="20"/>
                <w:szCs w:val="20"/>
                <w:color w:val="auto"/>
              </w:rPr>
            </w:pPr>
            <w:r>
              <w:rPr>
                <w:rFonts w:ascii="Arial" w:cs="Arial" w:eastAsia="Arial" w:hAnsi="Arial"/>
                <w:sz w:val="14"/>
                <w:szCs w:val="14"/>
                <w:color w:val="auto"/>
              </w:rPr>
              <w:t> </w:t>
            </w:r>
          </w:p>
        </w:tc>
        <w:tc>
          <w:tcPr>
            <w:tcW w:w="120" w:type="dxa"/>
            <w:vAlign w:val="bottom"/>
            <w:tcBorders>
              <w:right w:val="single" w:sz="8" w:color="B2B2B2"/>
            </w:tcBorders>
          </w:tcPr>
          <w:p>
            <w:pPr>
              <w:spacing w:after="0"/>
              <w:rPr>
                <w:sz w:val="12"/>
                <w:szCs w:val="12"/>
                <w:color w:val="auto"/>
              </w:rPr>
            </w:pPr>
          </w:p>
        </w:tc>
        <w:tc>
          <w:tcPr>
            <w:tcW w:w="520" w:type="dxa"/>
            <w:vAlign w:val="bottom"/>
          </w:tcPr>
          <w:p>
            <w:pPr>
              <w:jc w:val="center"/>
              <w:ind w:left="211"/>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240" w:type="dxa"/>
            <w:vAlign w:val="bottom"/>
          </w:tcPr>
          <w:p>
            <w:pPr>
              <w:ind w:left="60"/>
              <w:spacing w:after="0" w:line="141" w:lineRule="exact"/>
              <w:rPr>
                <w:sz w:val="20"/>
                <w:szCs w:val="20"/>
                <w:color w:val="auto"/>
              </w:rPr>
            </w:pPr>
            <w:r>
              <w:rPr>
                <w:rFonts w:ascii="Arial" w:cs="Arial" w:eastAsia="Arial" w:hAnsi="Arial"/>
                <w:sz w:val="14"/>
                <w:szCs w:val="14"/>
                <w:color w:val="3E8EDE"/>
              </w:rPr>
              <w:t> </w:t>
            </w:r>
          </w:p>
        </w:tc>
      </w:tr>
      <w:tr>
        <w:trPr>
          <w:trHeight w:val="155"/>
        </w:trPr>
        <w:tc>
          <w:tcPr>
            <w:tcW w:w="1580" w:type="dxa"/>
            <w:vAlign w:val="bottom"/>
            <w:tcBorders>
              <w:right w:val="single" w:sz="8" w:color="B2B2B2"/>
            </w:tcBorders>
          </w:tcPr>
          <w:p>
            <w:pPr>
              <w:ind w:left="80"/>
              <w:spacing w:after="0" w:line="155" w:lineRule="exact"/>
              <w:rPr>
                <w:sz w:val="20"/>
                <w:szCs w:val="20"/>
                <w:color w:val="auto"/>
              </w:rPr>
            </w:pPr>
            <w:r>
              <w:rPr>
                <w:rFonts w:ascii="Arial" w:cs="Arial" w:eastAsia="Arial" w:hAnsi="Arial"/>
                <w:sz w:val="14"/>
                <w:szCs w:val="14"/>
                <w:color w:val="auto"/>
              </w:rPr>
              <w:t>Senior Scholar,</w:t>
            </w:r>
          </w:p>
        </w:tc>
        <w:tc>
          <w:tcPr>
            <w:tcW w:w="540" w:type="dxa"/>
            <w:vAlign w:val="bottom"/>
          </w:tcPr>
          <w:p>
            <w:pPr>
              <w:spacing w:after="0"/>
              <w:rPr>
                <w:sz w:val="13"/>
                <w:szCs w:val="13"/>
                <w:color w:val="auto"/>
              </w:rPr>
            </w:pPr>
          </w:p>
        </w:tc>
        <w:tc>
          <w:tcPr>
            <w:tcW w:w="380" w:type="dxa"/>
            <w:vAlign w:val="bottom"/>
            <w:tcBorders>
              <w:right w:val="single" w:sz="8" w:color="B2B2B2"/>
            </w:tcBorders>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Borders>
              <w:right w:val="single" w:sz="8" w:color="B2B2B2"/>
            </w:tcBorders>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Borders>
              <w:right w:val="single" w:sz="8" w:color="B2B2B2"/>
            </w:tcBorders>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right w:val="single" w:sz="8" w:color="B2B2B2"/>
            </w:tcBorders>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right w:val="single" w:sz="8" w:color="B2B2B2"/>
            </w:tcBorders>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right w:val="single" w:sz="8" w:color="B2B2B2"/>
            </w:tcBorders>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B2B2B2"/>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right w:val="single" w:sz="8" w:color="B2B2B2"/>
            </w:tcBorders>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81"/>
        </w:trPr>
        <w:tc>
          <w:tcPr>
            <w:tcW w:w="1580" w:type="dxa"/>
            <w:vAlign w:val="bottom"/>
            <w:tcBorders>
              <w:right w:val="single" w:sz="8" w:color="B2B2B2"/>
            </w:tcBorders>
          </w:tcPr>
          <w:p>
            <w:pPr>
              <w:ind w:left="80"/>
              <w:spacing w:after="0"/>
              <w:rPr>
                <w:sz w:val="20"/>
                <w:szCs w:val="20"/>
                <w:color w:val="auto"/>
              </w:rPr>
            </w:pPr>
            <w:r>
              <w:rPr>
                <w:rFonts w:ascii="Arial" w:cs="Arial" w:eastAsia="Arial" w:hAnsi="Arial"/>
                <w:sz w:val="14"/>
                <w:szCs w:val="14"/>
                <w:color w:val="auto"/>
              </w:rPr>
              <w:t>Stanford University</w:t>
            </w:r>
          </w:p>
        </w:tc>
        <w:tc>
          <w:tcPr>
            <w:tcW w:w="540" w:type="dxa"/>
            <w:vAlign w:val="bottom"/>
          </w:tcPr>
          <w:p>
            <w:pPr>
              <w:spacing w:after="0"/>
              <w:rPr>
                <w:sz w:val="15"/>
                <w:szCs w:val="15"/>
                <w:color w:val="auto"/>
              </w:rPr>
            </w:pPr>
          </w:p>
        </w:tc>
        <w:tc>
          <w:tcPr>
            <w:tcW w:w="380" w:type="dxa"/>
            <w:vAlign w:val="bottom"/>
            <w:tcBorders>
              <w:right w:val="single" w:sz="8" w:color="B2B2B2"/>
            </w:tcBorders>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Borders>
              <w:right w:val="single" w:sz="8" w:color="B2B2B2"/>
            </w:tcBorders>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right w:val="single" w:sz="8" w:color="B2B2B2"/>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right w:val="single" w:sz="8" w:color="B2B2B2"/>
            </w:tcBorders>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47"/>
        </w:trPr>
        <w:tc>
          <w:tcPr>
            <w:tcW w:w="158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380" w:type="dxa"/>
            <w:vAlign w:val="bottom"/>
            <w:tcBorders>
              <w:bottom w:val="single" w:sz="8" w:color="B2B2B2"/>
              <w:right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c>
          <w:tcPr>
            <w:tcW w:w="320" w:type="dxa"/>
            <w:vAlign w:val="bottom"/>
            <w:tcBorders>
              <w:bottom w:val="single" w:sz="8" w:color="B2B2B2"/>
              <w:right w:val="single" w:sz="8" w:color="B2B2B2"/>
            </w:tcBorders>
          </w:tcPr>
          <w:p>
            <w:pPr>
              <w:spacing w:after="0"/>
              <w:rPr>
                <w:sz w:val="4"/>
                <w:szCs w:val="4"/>
                <w:color w:val="auto"/>
              </w:rPr>
            </w:pPr>
          </w:p>
        </w:tc>
        <w:tc>
          <w:tcPr>
            <w:tcW w:w="620" w:type="dxa"/>
            <w:vAlign w:val="bottom"/>
            <w:tcBorders>
              <w:bottom w:val="single" w:sz="8" w:color="B2B2B2"/>
            </w:tcBorders>
          </w:tcPr>
          <w:p>
            <w:pPr>
              <w:spacing w:after="0"/>
              <w:rPr>
                <w:sz w:val="4"/>
                <w:szCs w:val="4"/>
                <w:color w:val="auto"/>
              </w:rPr>
            </w:pPr>
          </w:p>
        </w:tc>
        <w:tc>
          <w:tcPr>
            <w:tcW w:w="4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2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660" w:type="dxa"/>
            <w:vAlign w:val="bottom"/>
            <w:tcBorders>
              <w:bottom w:val="single" w:sz="8" w:color="B2B2B2"/>
            </w:tcBorders>
          </w:tcPr>
          <w:p>
            <w:pPr>
              <w:spacing w:after="0"/>
              <w:rPr>
                <w:sz w:val="4"/>
                <w:szCs w:val="4"/>
                <w:color w:val="auto"/>
              </w:rPr>
            </w:pPr>
          </w:p>
        </w:tc>
        <w:tc>
          <w:tcPr>
            <w:tcW w:w="36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280" w:type="dxa"/>
            <w:vAlign w:val="bottom"/>
            <w:tcBorders>
              <w:bottom w:val="single" w:sz="8" w:color="B2B2B2"/>
              <w:right w:val="single" w:sz="8" w:color="B2B2B2"/>
            </w:tcBorders>
          </w:tcPr>
          <w:p>
            <w:pPr>
              <w:spacing w:after="0"/>
              <w:rPr>
                <w:sz w:val="4"/>
                <w:szCs w:val="4"/>
                <w:color w:val="auto"/>
              </w:rPr>
            </w:pPr>
          </w:p>
        </w:tc>
        <w:tc>
          <w:tcPr>
            <w:tcW w:w="56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1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00" w:type="dxa"/>
            <w:vAlign w:val="bottom"/>
            <w:tcBorders>
              <w:bottom w:val="single" w:sz="8" w:color="B2B2B2"/>
            </w:tcBorders>
          </w:tcPr>
          <w:p>
            <w:pPr>
              <w:spacing w:after="0"/>
              <w:rPr>
                <w:sz w:val="4"/>
                <w:szCs w:val="4"/>
                <w:color w:val="auto"/>
              </w:rPr>
            </w:pPr>
          </w:p>
        </w:tc>
        <w:tc>
          <w:tcPr>
            <w:tcW w:w="120" w:type="dxa"/>
            <w:vAlign w:val="bottom"/>
            <w:tcBorders>
              <w:bottom w:val="single" w:sz="8" w:color="B2B2B2"/>
              <w:right w:val="single" w:sz="8" w:color="B2B2B2"/>
            </w:tcBorders>
          </w:tcPr>
          <w:p>
            <w:pPr>
              <w:spacing w:after="0"/>
              <w:rPr>
                <w:sz w:val="4"/>
                <w:szCs w:val="4"/>
                <w:color w:val="auto"/>
              </w:rPr>
            </w:pPr>
          </w:p>
        </w:tc>
        <w:tc>
          <w:tcPr>
            <w:tcW w:w="52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r>
      <w:tr>
        <w:trPr>
          <w:trHeight w:val="141"/>
        </w:trPr>
        <w:tc>
          <w:tcPr>
            <w:tcW w:w="1580" w:type="dxa"/>
            <w:vAlign w:val="bottom"/>
            <w:tcBorders>
              <w:right w:val="single" w:sz="8" w:color="B2B2B2"/>
            </w:tcBorders>
          </w:tcPr>
          <w:p>
            <w:pPr>
              <w:ind w:left="80"/>
              <w:spacing w:after="0" w:line="141" w:lineRule="exact"/>
              <w:rPr>
                <w:sz w:val="20"/>
                <w:szCs w:val="20"/>
                <w:color w:val="auto"/>
              </w:rPr>
            </w:pPr>
            <w:r>
              <w:rPr>
                <w:rFonts w:ascii="Arial" w:cs="Arial" w:eastAsia="Arial" w:hAnsi="Arial"/>
                <w:sz w:val="14"/>
                <w:szCs w:val="14"/>
                <w:b w:val="1"/>
                <w:bCs w:val="1"/>
                <w:color w:val="3E8EDE"/>
              </w:rPr>
              <w:t>Louis A. Shapiro</w:t>
            </w:r>
          </w:p>
        </w:tc>
        <w:tc>
          <w:tcPr>
            <w:tcW w:w="540" w:type="dxa"/>
            <w:vAlign w:val="bottom"/>
          </w:tcPr>
          <w:p>
            <w:pPr>
              <w:ind w:left="300"/>
              <w:spacing w:after="0" w:line="141" w:lineRule="exact"/>
              <w:rPr>
                <w:sz w:val="20"/>
                <w:szCs w:val="20"/>
                <w:color w:val="auto"/>
              </w:rPr>
            </w:pPr>
            <w:r>
              <w:rPr>
                <w:rFonts w:ascii="Arial" w:cs="Arial" w:eastAsia="Arial" w:hAnsi="Arial"/>
                <w:sz w:val="14"/>
                <w:szCs w:val="14"/>
                <w:color w:val="auto"/>
                <w:w w:val="74"/>
              </w:rPr>
              <w:t>66 </w:t>
            </w:r>
          </w:p>
        </w:tc>
        <w:tc>
          <w:tcPr>
            <w:tcW w:w="380" w:type="dxa"/>
            <w:vAlign w:val="bottom"/>
            <w:tcBorders>
              <w:right w:val="single" w:sz="8" w:color="B2B2B2"/>
            </w:tcBorders>
          </w:tcPr>
          <w:p>
            <w:pPr>
              <w:ind w:left="60"/>
              <w:spacing w:after="0" w:line="141" w:lineRule="exact"/>
              <w:rPr>
                <w:sz w:val="20"/>
                <w:szCs w:val="20"/>
                <w:color w:val="auto"/>
              </w:rPr>
            </w:pPr>
            <w:r>
              <w:rPr>
                <w:rFonts w:ascii="Arial" w:cs="Arial" w:eastAsia="Arial" w:hAnsi="Arial"/>
                <w:sz w:val="14"/>
                <w:szCs w:val="14"/>
                <w:color w:val="auto"/>
              </w:rPr>
              <w:t>  </w:t>
            </w:r>
          </w:p>
        </w:tc>
        <w:tc>
          <w:tcPr>
            <w:tcW w:w="740" w:type="dxa"/>
            <w:vAlign w:val="bottom"/>
          </w:tcPr>
          <w:p>
            <w:pPr>
              <w:jc w:val="right"/>
              <w:ind w:right="31"/>
              <w:spacing w:after="0" w:line="141" w:lineRule="exact"/>
              <w:rPr>
                <w:sz w:val="20"/>
                <w:szCs w:val="20"/>
                <w:color w:val="auto"/>
              </w:rPr>
            </w:pPr>
            <w:r>
              <w:rPr>
                <w:rFonts w:ascii="Arial" w:cs="Arial" w:eastAsia="Arial" w:hAnsi="Arial"/>
                <w:sz w:val="14"/>
                <w:szCs w:val="14"/>
                <w:color w:val="auto"/>
              </w:rPr>
              <w:t>2025 </w:t>
            </w:r>
          </w:p>
        </w:tc>
        <w:tc>
          <w:tcPr>
            <w:tcW w:w="320" w:type="dxa"/>
            <w:vAlign w:val="bottom"/>
            <w:tcBorders>
              <w:right w:val="single" w:sz="8" w:color="B2B2B2"/>
            </w:tcBorders>
          </w:tcPr>
          <w:p>
            <w:pPr>
              <w:spacing w:after="0" w:line="141" w:lineRule="exact"/>
              <w:rPr>
                <w:sz w:val="20"/>
                <w:szCs w:val="20"/>
                <w:color w:val="auto"/>
              </w:rPr>
            </w:pPr>
            <w:r>
              <w:rPr>
                <w:rFonts w:ascii="Arial" w:cs="Arial" w:eastAsia="Arial" w:hAnsi="Arial"/>
                <w:sz w:val="14"/>
                <w:szCs w:val="14"/>
                <w:color w:val="auto"/>
              </w:rPr>
              <w:t> </w:t>
            </w:r>
          </w:p>
        </w:tc>
        <w:tc>
          <w:tcPr>
            <w:tcW w:w="620" w:type="dxa"/>
            <w:vAlign w:val="bottom"/>
          </w:tcPr>
          <w:p>
            <w:pPr>
              <w:jc w:val="center"/>
              <w:ind w:left="311"/>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400" w:type="dxa"/>
            <w:vAlign w:val="bottom"/>
            <w:tcBorders>
              <w:right w:val="single" w:sz="8" w:color="B2B2B2"/>
            </w:tcBorders>
          </w:tcPr>
          <w:p>
            <w:pPr>
              <w:ind w:left="60"/>
              <w:spacing w:after="0" w:line="141" w:lineRule="exact"/>
              <w:rPr>
                <w:sz w:val="20"/>
                <w:szCs w:val="20"/>
                <w:color w:val="auto"/>
              </w:rPr>
            </w:pPr>
            <w:r>
              <w:rPr>
                <w:rFonts w:ascii="Arial" w:cs="Arial" w:eastAsia="Arial" w:hAnsi="Arial"/>
                <w:sz w:val="14"/>
                <w:szCs w:val="14"/>
                <w:color w:val="3E8EDE"/>
              </w:rPr>
              <w:t> </w:t>
            </w:r>
          </w:p>
        </w:tc>
        <w:tc>
          <w:tcPr>
            <w:tcW w:w="540" w:type="dxa"/>
            <w:vAlign w:val="bottom"/>
          </w:tcPr>
          <w:p>
            <w:pPr>
              <w:ind w:left="320"/>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220" w:type="dxa"/>
            <w:vAlign w:val="bottom"/>
          </w:tcPr>
          <w:p>
            <w:pPr>
              <w:ind w:left="40"/>
              <w:spacing w:after="0" w:line="141" w:lineRule="exact"/>
              <w:rPr>
                <w:sz w:val="20"/>
                <w:szCs w:val="20"/>
                <w:color w:val="auto"/>
              </w:rPr>
            </w:pPr>
            <w:r>
              <w:rPr>
                <w:rFonts w:ascii="Arial" w:cs="Arial" w:eastAsia="Arial" w:hAnsi="Arial"/>
                <w:sz w:val="14"/>
                <w:szCs w:val="14"/>
                <w:color w:val="3E8EDE"/>
              </w:rPr>
              <w:t> </w:t>
            </w:r>
          </w:p>
        </w:tc>
        <w:tc>
          <w:tcPr>
            <w:tcW w:w="140" w:type="dxa"/>
            <w:vAlign w:val="bottom"/>
            <w:tcBorders>
              <w:right w:val="single" w:sz="8" w:color="B2B2B2"/>
            </w:tcBorders>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right w:val="single" w:sz="8" w:color="B2B2B2"/>
            </w:tcBorders>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right w:val="single" w:sz="8" w:color="B2B2B2"/>
            </w:tcBorders>
          </w:tcPr>
          <w:p>
            <w:pPr>
              <w:spacing w:after="0"/>
              <w:rPr>
                <w:sz w:val="12"/>
                <w:szCs w:val="12"/>
                <w:color w:val="auto"/>
              </w:rPr>
            </w:pPr>
          </w:p>
        </w:tc>
        <w:tc>
          <w:tcPr>
            <w:tcW w:w="560" w:type="dxa"/>
            <w:vAlign w:val="bottom"/>
          </w:tcPr>
          <w:p>
            <w:pPr>
              <w:jc w:val="center"/>
              <w:ind w:left="298"/>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320" w:type="dxa"/>
            <w:vAlign w:val="bottom"/>
          </w:tcPr>
          <w:p>
            <w:pPr>
              <w:ind w:left="80"/>
              <w:spacing w:after="0" w:line="141" w:lineRule="exact"/>
              <w:rPr>
                <w:sz w:val="20"/>
                <w:szCs w:val="20"/>
                <w:color w:val="auto"/>
              </w:rPr>
            </w:pPr>
            <w:r>
              <w:rPr>
                <w:rFonts w:ascii="Arial" w:cs="Arial" w:eastAsia="Arial" w:hAnsi="Arial"/>
                <w:sz w:val="14"/>
                <w:szCs w:val="14"/>
                <w:color w:val="3E8EDE"/>
              </w:rPr>
              <w:t> </w:t>
            </w:r>
          </w:p>
        </w:tc>
        <w:tc>
          <w:tcPr>
            <w:tcW w:w="100" w:type="dxa"/>
            <w:vAlign w:val="bottom"/>
            <w:tcBorders>
              <w:right w:val="single" w:sz="8" w:color="B2B2B2"/>
            </w:tcBorders>
          </w:tcPr>
          <w:p>
            <w:pPr>
              <w:spacing w:after="0"/>
              <w:rPr>
                <w:sz w:val="12"/>
                <w:szCs w:val="12"/>
                <w:color w:val="auto"/>
              </w:rPr>
            </w:pPr>
          </w:p>
        </w:tc>
        <w:tc>
          <w:tcPr>
            <w:tcW w:w="540" w:type="dxa"/>
            <w:vAlign w:val="bottom"/>
          </w:tcPr>
          <w:p>
            <w:pPr>
              <w:jc w:val="center"/>
              <w:ind w:left="241"/>
              <w:spacing w:after="0"/>
              <w:rPr>
                <w:sz w:val="20"/>
                <w:szCs w:val="20"/>
                <w:color w:val="auto"/>
              </w:rPr>
            </w:pPr>
            <w:r>
              <w:rPr>
                <w:rFonts w:ascii="Arial" w:cs="Arial" w:eastAsia="Arial" w:hAnsi="Arial"/>
                <w:sz w:val="10"/>
                <w:szCs w:val="10"/>
                <w:color w:val="auto"/>
                <w:w w:val="76"/>
              </w:rPr>
              <w:t>1 </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rPr>
              <w:t> </w:t>
            </w:r>
          </w:p>
        </w:tc>
        <w:tc>
          <w:tcPr>
            <w:tcW w:w="120" w:type="dxa"/>
            <w:vAlign w:val="bottom"/>
            <w:tcBorders>
              <w:right w:val="single" w:sz="8" w:color="B2B2B2"/>
            </w:tcBorders>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55"/>
        </w:trPr>
        <w:tc>
          <w:tcPr>
            <w:tcW w:w="1580" w:type="dxa"/>
            <w:vAlign w:val="bottom"/>
            <w:tcBorders>
              <w:right w:val="single" w:sz="8" w:color="B2B2B2"/>
            </w:tcBorders>
          </w:tcPr>
          <w:p>
            <w:pPr>
              <w:ind w:left="80"/>
              <w:spacing w:after="0" w:line="155" w:lineRule="exact"/>
              <w:rPr>
                <w:sz w:val="20"/>
                <w:szCs w:val="20"/>
                <w:color w:val="auto"/>
              </w:rPr>
            </w:pPr>
            <w:r>
              <w:rPr>
                <w:rFonts w:ascii="Arial" w:cs="Arial" w:eastAsia="Arial" w:hAnsi="Arial"/>
                <w:sz w:val="14"/>
                <w:szCs w:val="14"/>
                <w:color w:val="auto"/>
              </w:rPr>
              <w:t>Former President and</w:t>
            </w:r>
          </w:p>
        </w:tc>
        <w:tc>
          <w:tcPr>
            <w:tcW w:w="540" w:type="dxa"/>
            <w:vAlign w:val="bottom"/>
          </w:tcPr>
          <w:p>
            <w:pPr>
              <w:spacing w:after="0"/>
              <w:rPr>
                <w:sz w:val="13"/>
                <w:szCs w:val="13"/>
                <w:color w:val="auto"/>
              </w:rPr>
            </w:pPr>
          </w:p>
        </w:tc>
        <w:tc>
          <w:tcPr>
            <w:tcW w:w="380" w:type="dxa"/>
            <w:vAlign w:val="bottom"/>
            <w:tcBorders>
              <w:right w:val="single" w:sz="8" w:color="B2B2B2"/>
            </w:tcBorders>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Borders>
              <w:right w:val="single" w:sz="8" w:color="B2B2B2"/>
            </w:tcBorders>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Borders>
              <w:right w:val="single" w:sz="8" w:color="B2B2B2"/>
            </w:tcBorders>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right w:val="single" w:sz="8" w:color="B2B2B2"/>
            </w:tcBorders>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right w:val="single" w:sz="8" w:color="B2B2B2"/>
            </w:tcBorders>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right w:val="single" w:sz="8" w:color="B2B2B2"/>
            </w:tcBorders>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B2B2B2"/>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right w:val="single" w:sz="8" w:color="B2B2B2"/>
            </w:tcBorders>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5"/>
        </w:trPr>
        <w:tc>
          <w:tcPr>
            <w:tcW w:w="1580" w:type="dxa"/>
            <w:vAlign w:val="bottom"/>
            <w:tcBorders>
              <w:right w:val="single" w:sz="8" w:color="B2B2B2"/>
            </w:tcBorders>
          </w:tcPr>
          <w:p>
            <w:pPr>
              <w:ind w:left="80"/>
              <w:spacing w:after="0" w:line="155" w:lineRule="exact"/>
              <w:rPr>
                <w:sz w:val="20"/>
                <w:szCs w:val="20"/>
                <w:color w:val="auto"/>
              </w:rPr>
            </w:pPr>
            <w:r>
              <w:rPr>
                <w:rFonts w:ascii="Arial" w:cs="Arial" w:eastAsia="Arial" w:hAnsi="Arial"/>
                <w:sz w:val="14"/>
                <w:szCs w:val="14"/>
                <w:color w:val="auto"/>
              </w:rPr>
              <w:t>CEO of Hospital for</w:t>
            </w:r>
          </w:p>
        </w:tc>
        <w:tc>
          <w:tcPr>
            <w:tcW w:w="540" w:type="dxa"/>
            <w:vAlign w:val="bottom"/>
          </w:tcPr>
          <w:p>
            <w:pPr>
              <w:spacing w:after="0"/>
              <w:rPr>
                <w:sz w:val="13"/>
                <w:szCs w:val="13"/>
                <w:color w:val="auto"/>
              </w:rPr>
            </w:pPr>
          </w:p>
        </w:tc>
        <w:tc>
          <w:tcPr>
            <w:tcW w:w="380" w:type="dxa"/>
            <w:vAlign w:val="bottom"/>
            <w:tcBorders>
              <w:right w:val="single" w:sz="8" w:color="B2B2B2"/>
            </w:tcBorders>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Borders>
              <w:right w:val="single" w:sz="8" w:color="B2B2B2"/>
            </w:tcBorders>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Borders>
              <w:right w:val="single" w:sz="8" w:color="B2B2B2"/>
            </w:tcBorders>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right w:val="single" w:sz="8" w:color="B2B2B2"/>
            </w:tcBorders>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right w:val="single" w:sz="8" w:color="B2B2B2"/>
            </w:tcBorders>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right w:val="single" w:sz="8" w:color="B2B2B2"/>
            </w:tcBorders>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B2B2B2"/>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right w:val="single" w:sz="8" w:color="B2B2B2"/>
            </w:tcBorders>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81"/>
        </w:trPr>
        <w:tc>
          <w:tcPr>
            <w:tcW w:w="1580" w:type="dxa"/>
            <w:vAlign w:val="bottom"/>
            <w:tcBorders>
              <w:right w:val="single" w:sz="8" w:color="B2B2B2"/>
            </w:tcBorders>
          </w:tcPr>
          <w:p>
            <w:pPr>
              <w:ind w:left="80"/>
              <w:spacing w:after="0"/>
              <w:rPr>
                <w:sz w:val="20"/>
                <w:szCs w:val="20"/>
                <w:color w:val="auto"/>
              </w:rPr>
            </w:pPr>
            <w:r>
              <w:rPr>
                <w:rFonts w:ascii="Arial" w:cs="Arial" w:eastAsia="Arial" w:hAnsi="Arial"/>
                <w:sz w:val="14"/>
                <w:szCs w:val="14"/>
                <w:color w:val="auto"/>
              </w:rPr>
              <w:t>Special Surgery</w:t>
            </w:r>
          </w:p>
        </w:tc>
        <w:tc>
          <w:tcPr>
            <w:tcW w:w="540" w:type="dxa"/>
            <w:vAlign w:val="bottom"/>
          </w:tcPr>
          <w:p>
            <w:pPr>
              <w:spacing w:after="0"/>
              <w:rPr>
                <w:sz w:val="15"/>
                <w:szCs w:val="15"/>
                <w:color w:val="auto"/>
              </w:rPr>
            </w:pPr>
          </w:p>
        </w:tc>
        <w:tc>
          <w:tcPr>
            <w:tcW w:w="380" w:type="dxa"/>
            <w:vAlign w:val="bottom"/>
            <w:tcBorders>
              <w:right w:val="single" w:sz="8" w:color="B2B2B2"/>
            </w:tcBorders>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Borders>
              <w:right w:val="single" w:sz="8" w:color="B2B2B2"/>
            </w:tcBorders>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right w:val="single" w:sz="8" w:color="B2B2B2"/>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right w:val="single" w:sz="8" w:color="B2B2B2"/>
            </w:tcBorders>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47"/>
        </w:trPr>
        <w:tc>
          <w:tcPr>
            <w:tcW w:w="158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380" w:type="dxa"/>
            <w:vAlign w:val="bottom"/>
            <w:tcBorders>
              <w:bottom w:val="single" w:sz="8" w:color="B2B2B2"/>
              <w:right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c>
          <w:tcPr>
            <w:tcW w:w="320" w:type="dxa"/>
            <w:vAlign w:val="bottom"/>
            <w:tcBorders>
              <w:bottom w:val="single" w:sz="8" w:color="B2B2B2"/>
              <w:right w:val="single" w:sz="8" w:color="B2B2B2"/>
            </w:tcBorders>
          </w:tcPr>
          <w:p>
            <w:pPr>
              <w:spacing w:after="0"/>
              <w:rPr>
                <w:sz w:val="4"/>
                <w:szCs w:val="4"/>
                <w:color w:val="auto"/>
              </w:rPr>
            </w:pPr>
          </w:p>
        </w:tc>
        <w:tc>
          <w:tcPr>
            <w:tcW w:w="620" w:type="dxa"/>
            <w:vAlign w:val="bottom"/>
            <w:tcBorders>
              <w:bottom w:val="single" w:sz="8" w:color="B2B2B2"/>
            </w:tcBorders>
          </w:tcPr>
          <w:p>
            <w:pPr>
              <w:spacing w:after="0"/>
              <w:rPr>
                <w:sz w:val="4"/>
                <w:szCs w:val="4"/>
                <w:color w:val="auto"/>
              </w:rPr>
            </w:pPr>
          </w:p>
        </w:tc>
        <w:tc>
          <w:tcPr>
            <w:tcW w:w="4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2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660" w:type="dxa"/>
            <w:vAlign w:val="bottom"/>
            <w:tcBorders>
              <w:bottom w:val="single" w:sz="8" w:color="B2B2B2"/>
            </w:tcBorders>
          </w:tcPr>
          <w:p>
            <w:pPr>
              <w:spacing w:after="0"/>
              <w:rPr>
                <w:sz w:val="4"/>
                <w:szCs w:val="4"/>
                <w:color w:val="auto"/>
              </w:rPr>
            </w:pPr>
          </w:p>
        </w:tc>
        <w:tc>
          <w:tcPr>
            <w:tcW w:w="36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280" w:type="dxa"/>
            <w:vAlign w:val="bottom"/>
            <w:tcBorders>
              <w:bottom w:val="single" w:sz="8" w:color="B2B2B2"/>
              <w:right w:val="single" w:sz="8" w:color="B2B2B2"/>
            </w:tcBorders>
          </w:tcPr>
          <w:p>
            <w:pPr>
              <w:spacing w:after="0"/>
              <w:rPr>
                <w:sz w:val="4"/>
                <w:szCs w:val="4"/>
                <w:color w:val="auto"/>
              </w:rPr>
            </w:pPr>
          </w:p>
        </w:tc>
        <w:tc>
          <w:tcPr>
            <w:tcW w:w="56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1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00" w:type="dxa"/>
            <w:vAlign w:val="bottom"/>
            <w:tcBorders>
              <w:bottom w:val="single" w:sz="8" w:color="B2B2B2"/>
            </w:tcBorders>
          </w:tcPr>
          <w:p>
            <w:pPr>
              <w:spacing w:after="0"/>
              <w:rPr>
                <w:sz w:val="4"/>
                <w:szCs w:val="4"/>
                <w:color w:val="auto"/>
              </w:rPr>
            </w:pPr>
          </w:p>
        </w:tc>
        <w:tc>
          <w:tcPr>
            <w:tcW w:w="120" w:type="dxa"/>
            <w:vAlign w:val="bottom"/>
            <w:tcBorders>
              <w:bottom w:val="single" w:sz="8" w:color="B2B2B2"/>
              <w:right w:val="single" w:sz="8" w:color="B2B2B2"/>
            </w:tcBorders>
          </w:tcPr>
          <w:p>
            <w:pPr>
              <w:spacing w:after="0"/>
              <w:rPr>
                <w:sz w:val="4"/>
                <w:szCs w:val="4"/>
                <w:color w:val="auto"/>
              </w:rPr>
            </w:pPr>
          </w:p>
        </w:tc>
        <w:tc>
          <w:tcPr>
            <w:tcW w:w="52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r>
      <w:tr>
        <w:trPr>
          <w:trHeight w:val="141"/>
        </w:trPr>
        <w:tc>
          <w:tcPr>
            <w:tcW w:w="1580" w:type="dxa"/>
            <w:vAlign w:val="bottom"/>
            <w:tcBorders>
              <w:right w:val="single" w:sz="8" w:color="B2B2B2"/>
            </w:tcBorders>
          </w:tcPr>
          <w:p>
            <w:pPr>
              <w:ind w:left="80"/>
              <w:spacing w:after="0" w:line="141" w:lineRule="exact"/>
              <w:rPr>
                <w:sz w:val="20"/>
                <w:szCs w:val="20"/>
                <w:color w:val="auto"/>
              </w:rPr>
            </w:pPr>
            <w:r>
              <w:rPr>
                <w:rFonts w:ascii="Arial" w:cs="Arial" w:eastAsia="Arial" w:hAnsi="Arial"/>
                <w:sz w:val="14"/>
                <w:szCs w:val="14"/>
                <w:b w:val="1"/>
                <w:bCs w:val="1"/>
                <w:color w:val="3E8EDE"/>
              </w:rPr>
              <w:t>Dr. Mohsen M. Sohi</w:t>
            </w:r>
          </w:p>
        </w:tc>
        <w:tc>
          <w:tcPr>
            <w:tcW w:w="540" w:type="dxa"/>
            <w:vAlign w:val="bottom"/>
          </w:tcPr>
          <w:p>
            <w:pPr>
              <w:ind w:left="300"/>
              <w:spacing w:after="0" w:line="141" w:lineRule="exact"/>
              <w:rPr>
                <w:sz w:val="20"/>
                <w:szCs w:val="20"/>
                <w:color w:val="auto"/>
              </w:rPr>
            </w:pPr>
            <w:r>
              <w:rPr>
                <w:rFonts w:ascii="Arial" w:cs="Arial" w:eastAsia="Arial" w:hAnsi="Arial"/>
                <w:sz w:val="14"/>
                <w:szCs w:val="14"/>
                <w:color w:val="auto"/>
                <w:w w:val="74"/>
              </w:rPr>
              <w:t>67 </w:t>
            </w:r>
          </w:p>
        </w:tc>
        <w:tc>
          <w:tcPr>
            <w:tcW w:w="380" w:type="dxa"/>
            <w:vAlign w:val="bottom"/>
            <w:tcBorders>
              <w:right w:val="single" w:sz="8" w:color="B2B2B2"/>
            </w:tcBorders>
          </w:tcPr>
          <w:p>
            <w:pPr>
              <w:ind w:left="60"/>
              <w:spacing w:after="0" w:line="141" w:lineRule="exact"/>
              <w:rPr>
                <w:sz w:val="20"/>
                <w:szCs w:val="20"/>
                <w:color w:val="auto"/>
              </w:rPr>
            </w:pPr>
            <w:r>
              <w:rPr>
                <w:rFonts w:ascii="Arial" w:cs="Arial" w:eastAsia="Arial" w:hAnsi="Arial"/>
                <w:sz w:val="14"/>
                <w:szCs w:val="14"/>
                <w:color w:val="auto"/>
              </w:rPr>
              <w:t> </w:t>
            </w:r>
          </w:p>
        </w:tc>
        <w:tc>
          <w:tcPr>
            <w:tcW w:w="740" w:type="dxa"/>
            <w:vAlign w:val="bottom"/>
          </w:tcPr>
          <w:p>
            <w:pPr>
              <w:jc w:val="right"/>
              <w:ind w:right="31"/>
              <w:spacing w:after="0" w:line="141" w:lineRule="exact"/>
              <w:rPr>
                <w:sz w:val="20"/>
                <w:szCs w:val="20"/>
                <w:color w:val="auto"/>
              </w:rPr>
            </w:pPr>
            <w:r>
              <w:rPr>
                <w:rFonts w:ascii="Arial" w:cs="Arial" w:eastAsia="Arial" w:hAnsi="Arial"/>
                <w:sz w:val="14"/>
                <w:szCs w:val="14"/>
                <w:color w:val="auto"/>
              </w:rPr>
              <w:t>2005 </w:t>
            </w:r>
          </w:p>
        </w:tc>
        <w:tc>
          <w:tcPr>
            <w:tcW w:w="320" w:type="dxa"/>
            <w:vAlign w:val="bottom"/>
            <w:tcBorders>
              <w:right w:val="single" w:sz="8" w:color="B2B2B2"/>
            </w:tcBorders>
          </w:tcPr>
          <w:p>
            <w:pPr>
              <w:spacing w:after="0" w:line="141" w:lineRule="exact"/>
              <w:rPr>
                <w:sz w:val="20"/>
                <w:szCs w:val="20"/>
                <w:color w:val="auto"/>
              </w:rPr>
            </w:pPr>
            <w:r>
              <w:rPr>
                <w:rFonts w:ascii="Arial" w:cs="Arial" w:eastAsia="Arial" w:hAnsi="Arial"/>
                <w:sz w:val="14"/>
                <w:szCs w:val="14"/>
                <w:color w:val="auto"/>
              </w:rPr>
              <w:t> </w:t>
            </w:r>
          </w:p>
        </w:tc>
        <w:tc>
          <w:tcPr>
            <w:tcW w:w="620" w:type="dxa"/>
            <w:vAlign w:val="bottom"/>
          </w:tcPr>
          <w:p>
            <w:pPr>
              <w:jc w:val="center"/>
              <w:ind w:left="311"/>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400" w:type="dxa"/>
            <w:vAlign w:val="bottom"/>
            <w:tcBorders>
              <w:right w:val="single" w:sz="8" w:color="B2B2B2"/>
            </w:tcBorders>
          </w:tcPr>
          <w:p>
            <w:pPr>
              <w:ind w:left="60"/>
              <w:spacing w:after="0" w:line="141" w:lineRule="exact"/>
              <w:rPr>
                <w:sz w:val="20"/>
                <w:szCs w:val="20"/>
                <w:color w:val="auto"/>
              </w:rPr>
            </w:pPr>
            <w:r>
              <w:rPr>
                <w:rFonts w:ascii="Arial" w:cs="Arial" w:eastAsia="Arial" w:hAnsi="Arial"/>
                <w:sz w:val="14"/>
                <w:szCs w:val="14"/>
                <w:color w:val="3E8EDE"/>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right w:val="single" w:sz="8" w:color="B2B2B2"/>
            </w:tcBorders>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right w:val="single" w:sz="8" w:color="B2B2B2"/>
            </w:tcBorders>
          </w:tcPr>
          <w:p>
            <w:pPr>
              <w:spacing w:after="0"/>
              <w:rPr>
                <w:sz w:val="12"/>
                <w:szCs w:val="12"/>
                <w:color w:val="auto"/>
              </w:rPr>
            </w:pPr>
          </w:p>
        </w:tc>
        <w:tc>
          <w:tcPr>
            <w:tcW w:w="720" w:type="dxa"/>
            <w:vAlign w:val="bottom"/>
          </w:tcPr>
          <w:p>
            <w:pPr>
              <w:jc w:val="center"/>
              <w:ind w:left="419"/>
              <w:spacing w:after="0" w:line="141" w:lineRule="exact"/>
              <w:rPr>
                <w:sz w:val="20"/>
                <w:szCs w:val="20"/>
                <w:color w:val="auto"/>
              </w:rPr>
            </w:pPr>
            <w:r>
              <w:rPr>
                <w:rFonts w:ascii="MS PGothic" w:cs="MS PGothic" w:eastAsia="MS PGothic" w:hAnsi="MS PGothic"/>
                <w:sz w:val="14"/>
                <w:szCs w:val="14"/>
                <w:color w:val="3E8EDE"/>
              </w:rPr>
              <w:t>✓</w:t>
            </w:r>
            <w:r>
              <w:rPr>
                <w:rFonts w:ascii="Arial" w:cs="Arial" w:eastAsia="Arial" w:hAnsi="Arial"/>
                <w:sz w:val="14"/>
                <w:szCs w:val="14"/>
                <w:color w:val="3E8EDE"/>
              </w:rPr>
              <w:t xml:space="preserve"> </w:t>
            </w:r>
          </w:p>
        </w:tc>
        <w:tc>
          <w:tcPr>
            <w:tcW w:w="320" w:type="dxa"/>
            <w:vAlign w:val="bottom"/>
          </w:tcPr>
          <w:p>
            <w:pPr>
              <w:ind w:left="60"/>
              <w:spacing w:after="0" w:line="141" w:lineRule="exact"/>
              <w:rPr>
                <w:sz w:val="20"/>
                <w:szCs w:val="20"/>
                <w:color w:val="auto"/>
              </w:rPr>
            </w:pPr>
            <w:r>
              <w:rPr>
                <w:rFonts w:ascii="Arial" w:cs="Arial" w:eastAsia="Arial" w:hAnsi="Arial"/>
                <w:sz w:val="14"/>
                <w:szCs w:val="14"/>
                <w:color w:val="3E8EDE"/>
              </w:rPr>
              <w:t> </w:t>
            </w:r>
          </w:p>
        </w:tc>
        <w:tc>
          <w:tcPr>
            <w:tcW w:w="280" w:type="dxa"/>
            <w:vAlign w:val="bottom"/>
            <w:tcBorders>
              <w:right w:val="single" w:sz="8" w:color="B2B2B2"/>
            </w:tcBorders>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right w:val="single" w:sz="8" w:color="B2B2B2"/>
            </w:tcBorders>
          </w:tcPr>
          <w:p>
            <w:pPr>
              <w:spacing w:after="0"/>
              <w:rPr>
                <w:sz w:val="12"/>
                <w:szCs w:val="12"/>
                <w:color w:val="auto"/>
              </w:rPr>
            </w:pPr>
          </w:p>
        </w:tc>
        <w:tc>
          <w:tcPr>
            <w:tcW w:w="540" w:type="dxa"/>
            <w:vAlign w:val="bottom"/>
          </w:tcPr>
          <w:p>
            <w:pPr>
              <w:jc w:val="center"/>
              <w:ind w:left="241"/>
              <w:spacing w:after="0"/>
              <w:rPr>
                <w:sz w:val="20"/>
                <w:szCs w:val="20"/>
                <w:color w:val="auto"/>
              </w:rPr>
            </w:pPr>
            <w:r>
              <w:rPr>
                <w:rFonts w:ascii="Arial" w:cs="Arial" w:eastAsia="Arial" w:hAnsi="Arial"/>
                <w:sz w:val="10"/>
                <w:szCs w:val="10"/>
                <w:color w:val="auto"/>
                <w:w w:val="76"/>
              </w:rPr>
              <w:t>2 </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rPr>
              <w:t> </w:t>
            </w:r>
          </w:p>
        </w:tc>
        <w:tc>
          <w:tcPr>
            <w:tcW w:w="120" w:type="dxa"/>
            <w:vAlign w:val="bottom"/>
            <w:tcBorders>
              <w:right w:val="single" w:sz="8" w:color="B2B2B2"/>
            </w:tcBorders>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55"/>
        </w:trPr>
        <w:tc>
          <w:tcPr>
            <w:tcW w:w="1580" w:type="dxa"/>
            <w:vAlign w:val="bottom"/>
            <w:tcBorders>
              <w:right w:val="single" w:sz="8" w:color="B2B2B2"/>
            </w:tcBorders>
          </w:tcPr>
          <w:p>
            <w:pPr>
              <w:ind w:left="80"/>
              <w:spacing w:after="0" w:line="155" w:lineRule="exact"/>
              <w:rPr>
                <w:sz w:val="20"/>
                <w:szCs w:val="20"/>
                <w:color w:val="auto"/>
              </w:rPr>
            </w:pPr>
            <w:r>
              <w:rPr>
                <w:rFonts w:ascii="Arial" w:cs="Arial" w:eastAsia="Arial" w:hAnsi="Arial"/>
                <w:sz w:val="14"/>
                <w:szCs w:val="14"/>
                <w:color w:val="auto"/>
              </w:rPr>
              <w:t>Former CEO of</w:t>
            </w:r>
          </w:p>
        </w:tc>
        <w:tc>
          <w:tcPr>
            <w:tcW w:w="540" w:type="dxa"/>
            <w:vAlign w:val="bottom"/>
          </w:tcPr>
          <w:p>
            <w:pPr>
              <w:spacing w:after="0"/>
              <w:rPr>
                <w:sz w:val="13"/>
                <w:szCs w:val="13"/>
                <w:color w:val="auto"/>
              </w:rPr>
            </w:pPr>
          </w:p>
        </w:tc>
        <w:tc>
          <w:tcPr>
            <w:tcW w:w="380" w:type="dxa"/>
            <w:vAlign w:val="bottom"/>
            <w:tcBorders>
              <w:right w:val="single" w:sz="8" w:color="B2B2B2"/>
            </w:tcBorders>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Borders>
              <w:right w:val="single" w:sz="8" w:color="B2B2B2"/>
            </w:tcBorders>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Borders>
              <w:right w:val="single" w:sz="8" w:color="B2B2B2"/>
            </w:tcBorders>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right w:val="single" w:sz="8" w:color="B2B2B2"/>
            </w:tcBorders>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right w:val="single" w:sz="8" w:color="B2B2B2"/>
            </w:tcBorders>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right w:val="single" w:sz="8" w:color="B2B2B2"/>
            </w:tcBorders>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B2B2B2"/>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right w:val="single" w:sz="8" w:color="B2B2B2"/>
            </w:tcBorders>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81"/>
        </w:trPr>
        <w:tc>
          <w:tcPr>
            <w:tcW w:w="1580" w:type="dxa"/>
            <w:vAlign w:val="bottom"/>
            <w:tcBorders>
              <w:right w:val="single" w:sz="8" w:color="B2B2B2"/>
            </w:tcBorders>
          </w:tcPr>
          <w:p>
            <w:pPr>
              <w:ind w:left="80"/>
              <w:spacing w:after="0"/>
              <w:rPr>
                <w:sz w:val="20"/>
                <w:szCs w:val="20"/>
                <w:color w:val="auto"/>
              </w:rPr>
            </w:pPr>
            <w:r>
              <w:rPr>
                <w:rFonts w:ascii="Arial" w:cs="Arial" w:eastAsia="Arial" w:hAnsi="Arial"/>
                <w:sz w:val="14"/>
                <w:szCs w:val="14"/>
                <w:color w:val="auto"/>
              </w:rPr>
              <w:t>Freudenberg SE</w:t>
            </w:r>
          </w:p>
        </w:tc>
        <w:tc>
          <w:tcPr>
            <w:tcW w:w="540" w:type="dxa"/>
            <w:vAlign w:val="bottom"/>
          </w:tcPr>
          <w:p>
            <w:pPr>
              <w:spacing w:after="0"/>
              <w:rPr>
                <w:sz w:val="15"/>
                <w:szCs w:val="15"/>
                <w:color w:val="auto"/>
              </w:rPr>
            </w:pPr>
          </w:p>
        </w:tc>
        <w:tc>
          <w:tcPr>
            <w:tcW w:w="380" w:type="dxa"/>
            <w:vAlign w:val="bottom"/>
            <w:tcBorders>
              <w:right w:val="single" w:sz="8" w:color="B2B2B2"/>
            </w:tcBorders>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Borders>
              <w:right w:val="single" w:sz="8" w:color="B2B2B2"/>
            </w:tcBorders>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right w:val="single" w:sz="8" w:color="B2B2B2"/>
            </w:tcBorders>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right w:val="single" w:sz="8" w:color="B2B2B2"/>
            </w:tcBorders>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right w:val="single" w:sz="8" w:color="B2B2B2"/>
            </w:tcBorders>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right w:val="single" w:sz="8" w:color="B2B2B2"/>
            </w:tcBorders>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47"/>
        </w:trPr>
        <w:tc>
          <w:tcPr>
            <w:tcW w:w="158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380" w:type="dxa"/>
            <w:vAlign w:val="bottom"/>
            <w:tcBorders>
              <w:bottom w:val="single" w:sz="8" w:color="B2B2B2"/>
              <w:right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c>
          <w:tcPr>
            <w:tcW w:w="320" w:type="dxa"/>
            <w:vAlign w:val="bottom"/>
            <w:tcBorders>
              <w:bottom w:val="single" w:sz="8" w:color="B2B2B2"/>
              <w:right w:val="single" w:sz="8" w:color="B2B2B2"/>
            </w:tcBorders>
          </w:tcPr>
          <w:p>
            <w:pPr>
              <w:spacing w:after="0"/>
              <w:rPr>
                <w:sz w:val="4"/>
                <w:szCs w:val="4"/>
                <w:color w:val="auto"/>
              </w:rPr>
            </w:pPr>
          </w:p>
        </w:tc>
        <w:tc>
          <w:tcPr>
            <w:tcW w:w="620" w:type="dxa"/>
            <w:vAlign w:val="bottom"/>
            <w:tcBorders>
              <w:bottom w:val="single" w:sz="8" w:color="B2B2B2"/>
            </w:tcBorders>
          </w:tcPr>
          <w:p>
            <w:pPr>
              <w:spacing w:after="0"/>
              <w:rPr>
                <w:sz w:val="4"/>
                <w:szCs w:val="4"/>
                <w:color w:val="auto"/>
              </w:rPr>
            </w:pPr>
          </w:p>
        </w:tc>
        <w:tc>
          <w:tcPr>
            <w:tcW w:w="4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2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660" w:type="dxa"/>
            <w:vAlign w:val="bottom"/>
            <w:tcBorders>
              <w:bottom w:val="single" w:sz="8" w:color="B2B2B2"/>
            </w:tcBorders>
          </w:tcPr>
          <w:p>
            <w:pPr>
              <w:spacing w:after="0"/>
              <w:rPr>
                <w:sz w:val="4"/>
                <w:szCs w:val="4"/>
                <w:color w:val="auto"/>
              </w:rPr>
            </w:pPr>
          </w:p>
        </w:tc>
        <w:tc>
          <w:tcPr>
            <w:tcW w:w="360" w:type="dxa"/>
            <w:vAlign w:val="bottom"/>
            <w:tcBorders>
              <w:bottom w:val="single" w:sz="8" w:color="B2B2B2"/>
            </w:tcBorders>
          </w:tcPr>
          <w:p>
            <w:pPr>
              <w:spacing w:after="0"/>
              <w:rPr>
                <w:sz w:val="4"/>
                <w:szCs w:val="4"/>
                <w:color w:val="auto"/>
              </w:rPr>
            </w:pPr>
          </w:p>
        </w:tc>
        <w:tc>
          <w:tcPr>
            <w:tcW w:w="140" w:type="dxa"/>
            <w:vAlign w:val="bottom"/>
            <w:tcBorders>
              <w:bottom w:val="single" w:sz="8" w:color="B2B2B2"/>
              <w:right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280" w:type="dxa"/>
            <w:vAlign w:val="bottom"/>
            <w:tcBorders>
              <w:bottom w:val="single" w:sz="8" w:color="B2B2B2"/>
              <w:right w:val="single" w:sz="8" w:color="B2B2B2"/>
            </w:tcBorders>
          </w:tcPr>
          <w:p>
            <w:pPr>
              <w:spacing w:after="0"/>
              <w:rPr>
                <w:sz w:val="4"/>
                <w:szCs w:val="4"/>
                <w:color w:val="auto"/>
              </w:rPr>
            </w:pPr>
          </w:p>
        </w:tc>
        <w:tc>
          <w:tcPr>
            <w:tcW w:w="56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100" w:type="dxa"/>
            <w:vAlign w:val="bottom"/>
            <w:tcBorders>
              <w:bottom w:val="single" w:sz="8" w:color="B2B2B2"/>
              <w:right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200" w:type="dxa"/>
            <w:vAlign w:val="bottom"/>
            <w:tcBorders>
              <w:bottom w:val="single" w:sz="8" w:color="B2B2B2"/>
            </w:tcBorders>
          </w:tcPr>
          <w:p>
            <w:pPr>
              <w:spacing w:after="0"/>
              <w:rPr>
                <w:sz w:val="4"/>
                <w:szCs w:val="4"/>
                <w:color w:val="auto"/>
              </w:rPr>
            </w:pPr>
          </w:p>
        </w:tc>
        <w:tc>
          <w:tcPr>
            <w:tcW w:w="120" w:type="dxa"/>
            <w:vAlign w:val="bottom"/>
            <w:tcBorders>
              <w:bottom w:val="single" w:sz="8" w:color="B2B2B2"/>
              <w:right w:val="single" w:sz="8" w:color="B2B2B2"/>
            </w:tcBorders>
          </w:tcPr>
          <w:p>
            <w:pPr>
              <w:spacing w:after="0"/>
              <w:rPr>
                <w:sz w:val="4"/>
                <w:szCs w:val="4"/>
                <w:color w:val="auto"/>
              </w:rPr>
            </w:pPr>
          </w:p>
        </w:tc>
        <w:tc>
          <w:tcPr>
            <w:tcW w:w="52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5561330</wp:posOffset>
            </wp:positionH>
            <wp:positionV relativeFrom="paragraph">
              <wp:posOffset>-3502660</wp:posOffset>
            </wp:positionV>
            <wp:extent cx="82550" cy="123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0" cy="123190"/>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-2466340</wp:posOffset>
            </wp:positionV>
            <wp:extent cx="82550" cy="123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0" cy="123190"/>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-2022475</wp:posOffset>
            </wp:positionV>
            <wp:extent cx="82550" cy="1231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0" cy="123190"/>
                    </a:xfrm>
                    <a:prstGeom prst="rect">
                      <a:avLst/>
                    </a:prstGeom>
                    <a:noFill/>
                  </pic:spPr>
                </pic:pic>
              </a:graphicData>
            </a:graphic>
          </wp:anchor>
        </w:drawing>
      </w:r>
    </w:p>
    <w:p>
      <w:pPr>
        <w:spacing w:after="0" w:line="187" w:lineRule="exact"/>
        <w:rPr>
          <w:sz w:val="20"/>
          <w:szCs w:val="20"/>
          <w:color w:val="auto"/>
        </w:rPr>
      </w:pPr>
    </w:p>
    <w:p>
      <w:pPr>
        <w:ind w:left="340"/>
        <w:spacing w:after="0"/>
        <w:rPr>
          <w:sz w:val="20"/>
          <w:szCs w:val="20"/>
          <w:color w:val="auto"/>
        </w:rPr>
      </w:pPr>
      <w:r>
        <w:rPr>
          <w:sz w:val="1"/>
          <w:szCs w:val="1"/>
          <w:color w:val="auto"/>
        </w:rPr>
        <w:drawing>
          <wp:inline distT="0" distB="0" distL="0" distR="0">
            <wp:extent cx="74295" cy="12319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295" cy="123190"/>
                    </a:xfrm>
                    <a:prstGeom prst="rect">
                      <a:avLst/>
                    </a:prstGeom>
                    <a:noFill/>
                    <a:ln>
                      <a:noFill/>
                    </a:ln>
                  </pic:spPr>
                </pic:pic>
              </a:graphicData>
            </a:graphic>
          </wp:inline>
        </w:drawing>
      </w:r>
      <w:r>
        <w:rPr>
          <w:rFonts w:ascii="Arial" w:cs="Arial" w:eastAsia="Arial" w:hAnsi="Arial"/>
          <w:sz w:val="14"/>
          <w:szCs w:val="14"/>
          <w:color w:val="auto"/>
        </w:rPr>
        <w:t xml:space="preserve"> = Chairperson</w:t>
      </w:r>
    </w:p>
    <w:p>
      <w:pPr>
        <w:spacing w:after="0" w:line="105" w:lineRule="exact"/>
        <w:rPr>
          <w:sz w:val="20"/>
          <w:szCs w:val="20"/>
          <w:color w:val="auto"/>
        </w:rPr>
      </w:pPr>
    </w:p>
    <w:p>
      <w:pPr>
        <w:ind w:left="760" w:hanging="420"/>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age provided for each director is their age on the Record Date.</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Richard C. Breeden is the current chair of the Audit Committee. Mr. Breeden is not standing for re-election.</w:t>
      </w:r>
    </w:p>
    <w:p>
      <w:pPr>
        <w:spacing w:after="0" w:line="130"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3E8EDE"/>
        </w:rPr>
        <w:t xml:space="preserve">Notice of Annual Meeting of Shareholders </w:t>
      </w:r>
      <w:r>
        <w:rPr>
          <w:rFonts w:ascii="Arial" w:cs="Arial" w:eastAsia="Arial" w:hAnsi="Arial"/>
          <w:sz w:val="14"/>
          <w:szCs w:val="14"/>
          <w:color w:val="000000"/>
        </w:rPr>
        <w:t>and 2026 Proxy Statement   3</w:t>
      </w:r>
    </w:p>
    <w:p>
      <w:pPr>
        <w:sectPr>
          <w:pgSz w:w="11900" w:h="16838" w:orient="portrait"/>
          <w:cols w:equalWidth="0" w:num="1">
            <w:col w:w="10900"/>
          </w:cols>
          <w:pgMar w:left="320" w:top="469" w:right="6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752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Proxy Summary: </w:t>
      </w:r>
      <w:r>
        <w:rPr>
          <w:rFonts w:ascii="Arial" w:cs="Arial" w:eastAsia="Arial" w:hAnsi="Arial"/>
          <w:sz w:val="15"/>
          <w:szCs w:val="15"/>
          <w:b w:val="1"/>
          <w:bCs w:val="1"/>
          <w:color w:val="000000"/>
        </w:rPr>
        <w:t>Director Nominee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Director Nominee Demographics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demographic information is presented with respect to the Director nominees for election.</w:t>
      </w:r>
    </w:p>
    <w:p>
      <w:pPr>
        <w:spacing w:after="0" w:line="222" w:lineRule="exact"/>
        <w:rPr>
          <w:sz w:val="20"/>
          <w:szCs w:val="20"/>
          <w:color w:val="auto"/>
        </w:rPr>
      </w:pPr>
    </w:p>
    <w:p>
      <w:pPr>
        <w:ind w:left="1180"/>
        <w:spacing w:after="0"/>
        <w:tabs>
          <w:tab w:leader="none" w:pos="5000" w:val="left"/>
          <w:tab w:leader="none" w:pos="8900" w:val="left"/>
        </w:tabs>
        <w:rPr>
          <w:sz w:val="20"/>
          <w:szCs w:val="20"/>
          <w:color w:val="auto"/>
        </w:rPr>
      </w:pPr>
      <w:r>
        <w:rPr>
          <w:rFonts w:ascii="Arial" w:cs="Arial" w:eastAsia="Arial" w:hAnsi="Arial"/>
          <w:sz w:val="19"/>
          <w:szCs w:val="19"/>
          <w:b w:val="1"/>
          <w:bCs w:val="1"/>
          <w:color w:val="3E8EDE"/>
        </w:rPr>
        <w:t>Tenure Balance</w:t>
      </w:r>
      <w:r>
        <w:rPr>
          <w:rFonts w:ascii="Arial" w:cs="Arial" w:eastAsia="Arial" w:hAnsi="Arial"/>
          <w:sz w:val="28"/>
          <w:szCs w:val="28"/>
          <w:b w:val="1"/>
          <w:bCs w:val="1"/>
          <w:color w:val="3E8EDE"/>
          <w:vertAlign w:val="superscript"/>
        </w:rPr>
        <w:t>(1)</w:t>
      </w:r>
      <w:r>
        <w:rPr>
          <w:sz w:val="20"/>
          <w:szCs w:val="20"/>
          <w:color w:val="auto"/>
        </w:rPr>
        <w:tab/>
      </w:r>
      <w:r>
        <w:rPr>
          <w:rFonts w:ascii="Arial" w:cs="Arial" w:eastAsia="Arial" w:hAnsi="Arial"/>
          <w:sz w:val="19"/>
          <w:szCs w:val="19"/>
          <w:b w:val="1"/>
          <w:bCs w:val="1"/>
          <w:color w:val="3E8EDE"/>
        </w:rPr>
        <w:t>Independence</w:t>
      </w:r>
      <w:r>
        <w:rPr>
          <w:sz w:val="20"/>
          <w:szCs w:val="20"/>
          <w:color w:val="auto"/>
        </w:rPr>
        <w:tab/>
      </w:r>
      <w:r>
        <w:rPr>
          <w:rFonts w:ascii="Arial" w:cs="Arial" w:eastAsia="Arial" w:hAnsi="Arial"/>
          <w:sz w:val="18"/>
          <w:szCs w:val="18"/>
          <w:b w:val="1"/>
          <w:bCs w:val="1"/>
          <w:color w:val="3E8EDE"/>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22860</wp:posOffset>
            </wp:positionV>
            <wp:extent cx="6216650" cy="1217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1665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0" w:hanging="420"/>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Tenure is as of the Annual Meeting to be held on July 31, 2026 and is based on actual start date.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73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Proxy Summary: </w:t>
      </w:r>
      <w:r>
        <w:rPr>
          <w:rFonts w:ascii="Arial" w:cs="Arial" w:eastAsia="Arial" w:hAnsi="Arial"/>
          <w:sz w:val="15"/>
          <w:szCs w:val="15"/>
          <w:b w:val="1"/>
          <w:bCs w:val="1"/>
          <w:color w:val="000000"/>
        </w:rPr>
        <w:t>Director Nominee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Director Nominee Skills Matrix</w:t>
      </w:r>
    </w:p>
    <w:p>
      <w:pPr>
        <w:spacing w:after="0" w:line="114" w:lineRule="exact"/>
        <w:rPr>
          <w:sz w:val="20"/>
          <w:szCs w:val="20"/>
          <w:color w:val="auto"/>
        </w:rPr>
      </w:pPr>
    </w:p>
    <w:p>
      <w:pPr>
        <w:ind w:left="340" w:right="20"/>
        <w:spacing w:after="0" w:line="239" w:lineRule="auto"/>
        <w:rPr>
          <w:sz w:val="20"/>
          <w:szCs w:val="20"/>
          <w:color w:val="auto"/>
        </w:rPr>
      </w:pPr>
      <w:r>
        <w:rPr>
          <w:rFonts w:ascii="Arial" w:cs="Arial" w:eastAsia="Arial" w:hAnsi="Arial"/>
          <w:sz w:val="19"/>
          <w:szCs w:val="19"/>
          <w:color w:val="auto"/>
        </w:rPr>
        <w:t xml:space="preserve">Our Nominating and Governance Committee and our Board are focused on ensuring that a wide range of backgrounds, attributes, viewpoints and experiences are represented on our Board. The chart below highlights the diverse and balanced mix of attributes and experiences of the Director nominees as a whole. While the matrix is useful for determining the collective skills of the Board as a whole, it is not a comparative measure of the value of any director. Each mark </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indicates an experiential strength that was self-selected by each director.</w:t>
      </w:r>
    </w:p>
    <w:p>
      <w:pPr>
        <w:sectPr>
          <w:pgSz w:w="11900" w:h="16838" w:orient="portrait"/>
          <w:cols w:equalWidth="0" w:num="1">
            <w:col w:w="10900"/>
          </w:cols>
          <w:pgMar w:left="320" w:top="469" w:right="679" w:bottom="1440" w:gutter="0" w:footer="0" w:header="0"/>
        </w:sectPr>
      </w:pP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Capital Markets and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-121920</wp:posOffset>
            </wp:positionV>
            <wp:extent cx="6710045" cy="452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10045" cy="452120"/>
                    </a:xfrm>
                    <a:prstGeom prst="rect">
                      <a:avLst/>
                    </a:prstGeom>
                    <a:noFill/>
                  </pic:spPr>
                </pic:pic>
              </a:graphicData>
            </a:graphic>
          </wp:anchor>
        </w:drawing>
      </w:r>
    </w:p>
    <w:p>
      <w:pPr>
        <w:ind w:left="420" w:right="160"/>
        <w:spacing w:after="0" w:line="257" w:lineRule="auto"/>
        <w:rPr>
          <w:sz w:val="20"/>
          <w:szCs w:val="20"/>
          <w:color w:val="auto"/>
        </w:rPr>
      </w:pPr>
      <w:r>
        <w:rPr>
          <w:rFonts w:ascii="Arial" w:cs="Arial" w:eastAsia="Arial" w:hAnsi="Arial"/>
          <w:sz w:val="18"/>
          <w:szCs w:val="18"/>
          <w:color w:val="auto"/>
        </w:rPr>
        <w:t>Background or experience with an investment or brokerage firm, investment banking or similar financial experience.</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Corporate Governance</w:t>
      </w:r>
    </w:p>
    <w:p>
      <w:pPr>
        <w:spacing w:after="0" w:line="18" w:lineRule="exact"/>
        <w:rPr>
          <w:sz w:val="20"/>
          <w:szCs w:val="20"/>
          <w:color w:val="auto"/>
        </w:rPr>
      </w:pPr>
    </w:p>
    <w:p>
      <w:pPr>
        <w:ind w:left="420" w:right="160"/>
        <w:spacing w:after="0" w:line="249" w:lineRule="auto"/>
        <w:rPr>
          <w:sz w:val="20"/>
          <w:szCs w:val="20"/>
          <w:color w:val="auto"/>
        </w:rPr>
      </w:pPr>
      <w:r>
        <w:rPr>
          <w:rFonts w:ascii="Arial" w:cs="Arial" w:eastAsia="Arial" w:hAnsi="Arial"/>
          <w:sz w:val="18"/>
          <w:szCs w:val="18"/>
          <w:color w:val="auto"/>
        </w:rPr>
        <w:t>Experience with corporate governance issues faced by multi-national public companies as a governance committee member, securities regulator or as a senior executive responsible for the governance function.</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Executive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-121920</wp:posOffset>
            </wp:positionV>
            <wp:extent cx="6710045" cy="4521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10045" cy="452120"/>
                    </a:xfrm>
                    <a:prstGeom prst="rect">
                      <a:avLst/>
                    </a:prstGeom>
                    <a:noFill/>
                  </pic:spPr>
                </pic:pic>
              </a:graphicData>
            </a:graphic>
          </wp:anchor>
        </w:drawing>
      </w:r>
    </w:p>
    <w:p>
      <w:pPr>
        <w:ind w:left="420" w:right="440"/>
        <w:spacing w:after="0" w:line="257" w:lineRule="auto"/>
        <w:rPr>
          <w:sz w:val="20"/>
          <w:szCs w:val="20"/>
          <w:color w:val="auto"/>
        </w:rPr>
      </w:pPr>
      <w:r>
        <w:rPr>
          <w:rFonts w:ascii="Arial" w:cs="Arial" w:eastAsia="Arial" w:hAnsi="Arial"/>
          <w:sz w:val="18"/>
          <w:szCs w:val="18"/>
          <w:color w:val="auto"/>
        </w:rPr>
        <w:t>Experience in a significant leadership position, such as a CEO, CFO or other senior leadership position.</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Financial Literacy</w:t>
      </w:r>
    </w:p>
    <w:p>
      <w:pPr>
        <w:spacing w:after="0" w:line="18" w:lineRule="exact"/>
        <w:rPr>
          <w:sz w:val="20"/>
          <w:szCs w:val="20"/>
          <w:color w:val="auto"/>
        </w:rPr>
      </w:pPr>
    </w:p>
    <w:p>
      <w:pPr>
        <w:ind w:left="420" w:right="140"/>
        <w:spacing w:after="0" w:line="249" w:lineRule="auto"/>
        <w:rPr>
          <w:sz w:val="20"/>
          <w:szCs w:val="20"/>
          <w:color w:val="auto"/>
        </w:rPr>
      </w:pPr>
      <w:r>
        <w:rPr>
          <w:rFonts w:ascii="Arial" w:cs="Arial" w:eastAsia="Arial" w:hAnsi="Arial"/>
          <w:sz w:val="18"/>
          <w:szCs w:val="18"/>
          <w:color w:val="auto"/>
        </w:rPr>
        <w:t>Experience in positions requiring financial knowledge and analysis, including in accounting, corporate finance, treasury functions and risk management from a financial perspective.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-121920</wp:posOffset>
            </wp:positionV>
            <wp:extent cx="6710045" cy="4521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10045" cy="452120"/>
                    </a:xfrm>
                    <a:prstGeom prst="rect">
                      <a:avLst/>
                    </a:prstGeom>
                    <a:noFill/>
                  </pic:spPr>
                </pic:pic>
              </a:graphicData>
            </a:graphic>
          </wp:anchor>
        </w:drawing>
      </w:r>
    </w:p>
    <w:p>
      <w:pPr>
        <w:ind w:left="420"/>
        <w:spacing w:after="0" w:line="257" w:lineRule="auto"/>
        <w:rPr>
          <w:sz w:val="20"/>
          <w:szCs w:val="20"/>
          <w:color w:val="auto"/>
        </w:rPr>
      </w:pPr>
      <w:r>
        <w:rPr>
          <w:rFonts w:ascii="Arial" w:cs="Arial" w:eastAsia="Arial" w:hAnsi="Arial"/>
          <w:sz w:val="18"/>
          <w:szCs w:val="18"/>
          <w:color w:val="auto"/>
        </w:rPr>
        <w:t>Leadership position in an organization that operates internationally, especially on a broad basis and/or in the geographic regions in which the company operates.</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Human Capital Management</w:t>
      </w:r>
    </w:p>
    <w:p>
      <w:pPr>
        <w:spacing w:after="0" w:line="18" w:lineRule="exact"/>
        <w:rPr>
          <w:sz w:val="20"/>
          <w:szCs w:val="20"/>
          <w:color w:val="auto"/>
        </w:rPr>
      </w:pPr>
    </w:p>
    <w:p>
      <w:pPr>
        <w:jc w:val="both"/>
        <w:ind w:left="420" w:right="580"/>
        <w:spacing w:after="0" w:line="249" w:lineRule="auto"/>
        <w:rPr>
          <w:sz w:val="20"/>
          <w:szCs w:val="20"/>
          <w:color w:val="auto"/>
        </w:rPr>
      </w:pPr>
      <w:r>
        <w:rPr>
          <w:rFonts w:ascii="Arial" w:cs="Arial" w:eastAsia="Arial" w:hAnsi="Arial"/>
          <w:sz w:val="18"/>
          <w:szCs w:val="18"/>
          <w:color w:val="auto"/>
        </w:rPr>
        <w:t>Experience attracting, motivating and retaining top candidates for positions at the Company, evaluating performance and compensation of senior management, and overseeing strategic human capital planning.</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Industry &amp;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-121920</wp:posOffset>
            </wp:positionV>
            <wp:extent cx="6710045" cy="3206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10045" cy="32067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Experience in the healthcare and pharmaceutical industries.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Mergers &amp; Acquisition</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Experience in M&amp;A and implementation as an executive or director.</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-121920</wp:posOffset>
            </wp:positionV>
            <wp:extent cx="6710045" cy="3206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10045" cy="32067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Past or present Director on other public company board(s).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Regulatory Compliance and Public Policy</w:t>
      </w:r>
    </w:p>
    <w:p>
      <w:pPr>
        <w:spacing w:after="0" w:line="18" w:lineRule="exact"/>
        <w:rPr>
          <w:sz w:val="20"/>
          <w:szCs w:val="20"/>
          <w:color w:val="auto"/>
        </w:rPr>
      </w:pPr>
    </w:p>
    <w:p>
      <w:pPr>
        <w:ind w:left="420" w:right="60"/>
        <w:spacing w:after="0" w:line="257" w:lineRule="auto"/>
        <w:rPr>
          <w:sz w:val="20"/>
          <w:szCs w:val="20"/>
          <w:color w:val="auto"/>
        </w:rPr>
      </w:pPr>
      <w:r>
        <w:rPr>
          <w:rFonts w:ascii="Arial" w:cs="Arial" w:eastAsia="Arial" w:hAnsi="Arial"/>
          <w:sz w:val="18"/>
          <w:szCs w:val="18"/>
          <w:color w:val="auto"/>
        </w:rPr>
        <w:t>Experience in regulatory compliance and policy from the background in law, working in a government position or leading a regulatory affairs function.</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Sustainability/ESG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-121920</wp:posOffset>
            </wp:positionV>
            <wp:extent cx="6710045" cy="4521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10045" cy="452120"/>
                    </a:xfrm>
                    <a:prstGeom prst="rect">
                      <a:avLst/>
                    </a:prstGeom>
                    <a:noFill/>
                  </pic:spPr>
                </pic:pic>
              </a:graphicData>
            </a:graphic>
          </wp:anchor>
        </w:drawing>
      </w:r>
    </w:p>
    <w:p>
      <w:pPr>
        <w:ind w:left="420" w:right="120"/>
        <w:spacing w:after="0" w:line="257" w:lineRule="auto"/>
        <w:rPr>
          <w:sz w:val="20"/>
          <w:szCs w:val="20"/>
          <w:color w:val="auto"/>
        </w:rPr>
      </w:pPr>
      <w:r>
        <w:rPr>
          <w:rFonts w:ascii="Arial" w:cs="Arial" w:eastAsia="Arial" w:hAnsi="Arial"/>
          <w:sz w:val="18"/>
          <w:szCs w:val="18"/>
          <w:color w:val="auto"/>
        </w:rPr>
        <w:t>Experience as a senior executive with responsibility for ESG, or membership of a board committee with ESG oversight.</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Technology Management &amp; Cybersecurity</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Experience in technology, innovation or cybersecurity, particularly as a senior executive.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82"/>
        </w:trPr>
        <w:tc>
          <w:tcPr>
            <w:tcW w:w="2000" w:type="dxa"/>
            <w:vAlign w:val="bottom"/>
          </w:tcPr>
          <w:p>
            <w:pPr>
              <w:spacing w:after="0" w:line="414" w:lineRule="exact"/>
              <w:rPr>
                <w:sz w:val="20"/>
                <w:szCs w:val="20"/>
                <w:color w:val="auto"/>
              </w:rPr>
            </w:pPr>
            <w:r>
              <w:rPr>
                <w:rFonts w:ascii="Times New Roman" w:cs="Times New Roman" w:eastAsia="Times New Roman" w:hAnsi="Times New Roman"/>
                <w:sz w:val="36"/>
                <w:szCs w:val="36"/>
                <w:color w:val="auto"/>
                <w:vertAlign w:val="subscript"/>
              </w:rPr>
              <w:t xml:space="preserve">● ● ● </w:t>
            </w:r>
            <w:r>
              <w:rPr>
                <w:rFonts w:ascii="SimSun" w:cs="SimSun" w:eastAsia="SimSun" w:hAnsi="SimSun"/>
                <w:sz w:val="13"/>
                <w:szCs w:val="13"/>
                <w:color w:val="auto"/>
              </w:rPr>
              <w:t>〇 〇 〇 〇 〇 〇</w:t>
            </w:r>
          </w:p>
        </w:tc>
        <w:tc>
          <w:tcPr>
            <w:tcW w:w="880" w:type="dxa"/>
            <w:vAlign w:val="bottom"/>
          </w:tcPr>
          <w:p>
            <w:pPr>
              <w:ind w:left="420"/>
              <w:spacing w:after="0"/>
              <w:rPr>
                <w:sz w:val="20"/>
                <w:szCs w:val="20"/>
                <w:color w:val="auto"/>
              </w:rPr>
            </w:pPr>
            <w:r>
              <w:rPr>
                <w:rFonts w:ascii="Arial" w:cs="Arial" w:eastAsia="Arial" w:hAnsi="Arial"/>
                <w:sz w:val="18"/>
                <w:szCs w:val="18"/>
                <w:color w:val="auto"/>
                <w:w w:val="86"/>
              </w:rPr>
              <w:t>  33%</w:t>
            </w:r>
          </w:p>
        </w:tc>
      </w:tr>
      <w:tr>
        <w:trPr>
          <w:trHeight w:val="955"/>
        </w:trPr>
        <w:tc>
          <w:tcPr>
            <w:tcW w:w="2000" w:type="dxa"/>
            <w:vAlign w:val="bottom"/>
          </w:tcPr>
          <w:p>
            <w:pPr>
              <w:spacing w:after="0" w:line="329" w:lineRule="exact"/>
              <w:rPr>
                <w:sz w:val="20"/>
                <w:szCs w:val="20"/>
                <w:color w:val="auto"/>
              </w:rPr>
            </w:pPr>
            <w:r>
              <w:rPr>
                <w:rFonts w:ascii="Times New Roman" w:cs="Times New Roman" w:eastAsia="Times New Roman" w:hAnsi="Times New Roman"/>
                <w:sz w:val="18"/>
                <w:szCs w:val="18"/>
                <w:color w:val="auto"/>
              </w:rPr>
              <w:t xml:space="preserve">● ● ● ● ● ● ● ● </w:t>
            </w:r>
            <w:r>
              <w:rPr>
                <w:rFonts w:ascii="SimSun" w:cs="SimSun" w:eastAsia="SimSun" w:hAnsi="SimSun"/>
                <w:sz w:val="27"/>
                <w:szCs w:val="27"/>
                <w:color w:val="auto"/>
                <w:vertAlign w:val="superscript"/>
              </w:rPr>
              <w:t>〇</w:t>
            </w:r>
          </w:p>
        </w:tc>
        <w:tc>
          <w:tcPr>
            <w:tcW w:w="880" w:type="dxa"/>
            <w:vAlign w:val="bottom"/>
          </w:tcPr>
          <w:p>
            <w:pPr>
              <w:ind w:left="420"/>
              <w:spacing w:after="0"/>
              <w:rPr>
                <w:sz w:val="20"/>
                <w:szCs w:val="20"/>
                <w:color w:val="auto"/>
              </w:rPr>
            </w:pPr>
            <w:r>
              <w:rPr>
                <w:rFonts w:ascii="Arial" w:cs="Arial" w:eastAsia="Arial" w:hAnsi="Arial"/>
                <w:sz w:val="18"/>
                <w:szCs w:val="18"/>
                <w:color w:val="auto"/>
                <w:w w:val="86"/>
              </w:rPr>
              <w:t>  89%</w:t>
            </w:r>
          </w:p>
        </w:tc>
      </w:tr>
      <w:tr>
        <w:trPr>
          <w:trHeight w:val="67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 ● ● ● ● ● ● ● ●</w:t>
            </w:r>
          </w:p>
        </w:tc>
        <w:tc>
          <w:tcPr>
            <w:tcW w:w="880" w:type="dxa"/>
            <w:vAlign w:val="bottom"/>
          </w:tcPr>
          <w:p>
            <w:pPr>
              <w:ind w:left="420"/>
              <w:spacing w:after="0"/>
              <w:rPr>
                <w:sz w:val="20"/>
                <w:szCs w:val="20"/>
                <w:color w:val="auto"/>
              </w:rPr>
            </w:pPr>
            <w:r>
              <w:rPr>
                <w:rFonts w:ascii="Arial" w:cs="Arial" w:eastAsia="Arial" w:hAnsi="Arial"/>
                <w:sz w:val="18"/>
                <w:szCs w:val="18"/>
                <w:color w:val="auto"/>
                <w:w w:val="95"/>
              </w:rPr>
              <w:t>100%</w:t>
            </w:r>
          </w:p>
        </w:tc>
      </w:tr>
      <w:tr>
        <w:trPr>
          <w:trHeight w:val="955"/>
        </w:trPr>
        <w:tc>
          <w:tcPr>
            <w:tcW w:w="2000" w:type="dxa"/>
            <w:vAlign w:val="bottom"/>
          </w:tcPr>
          <w:p>
            <w:pPr>
              <w:spacing w:after="0" w:line="329" w:lineRule="exact"/>
              <w:rPr>
                <w:sz w:val="20"/>
                <w:szCs w:val="20"/>
                <w:color w:val="auto"/>
              </w:rPr>
            </w:pPr>
            <w:r>
              <w:rPr>
                <w:rFonts w:ascii="Times New Roman" w:cs="Times New Roman" w:eastAsia="Times New Roman" w:hAnsi="Times New Roman"/>
                <w:sz w:val="18"/>
                <w:szCs w:val="18"/>
                <w:color w:val="auto"/>
              </w:rPr>
              <w:t xml:space="preserve">● ● ● ● ● ● </w:t>
            </w:r>
            <w:r>
              <w:rPr>
                <w:rFonts w:ascii="SimSun" w:cs="SimSun" w:eastAsia="SimSun" w:hAnsi="SimSun"/>
                <w:sz w:val="27"/>
                <w:szCs w:val="27"/>
                <w:color w:val="auto"/>
                <w:vertAlign w:val="superscript"/>
              </w:rPr>
              <w:t>〇 〇 〇</w:t>
            </w:r>
          </w:p>
        </w:tc>
        <w:tc>
          <w:tcPr>
            <w:tcW w:w="880" w:type="dxa"/>
            <w:vAlign w:val="bottom"/>
          </w:tcPr>
          <w:p>
            <w:pPr>
              <w:ind w:left="420"/>
              <w:spacing w:after="0"/>
              <w:rPr>
                <w:sz w:val="20"/>
                <w:szCs w:val="20"/>
                <w:color w:val="auto"/>
              </w:rPr>
            </w:pPr>
            <w:r>
              <w:rPr>
                <w:rFonts w:ascii="Arial" w:cs="Arial" w:eastAsia="Arial" w:hAnsi="Arial"/>
                <w:sz w:val="18"/>
                <w:szCs w:val="18"/>
                <w:color w:val="auto"/>
                <w:w w:val="86"/>
              </w:rPr>
              <w:t>  67%</w:t>
            </w:r>
          </w:p>
        </w:tc>
      </w:tr>
      <w:tr>
        <w:trPr>
          <w:trHeight w:val="67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 ● ● ● ● ● ● ● ●</w:t>
            </w:r>
          </w:p>
        </w:tc>
        <w:tc>
          <w:tcPr>
            <w:tcW w:w="880" w:type="dxa"/>
            <w:vAlign w:val="bottom"/>
          </w:tcPr>
          <w:p>
            <w:pPr>
              <w:ind w:left="420"/>
              <w:spacing w:after="0"/>
              <w:rPr>
                <w:sz w:val="20"/>
                <w:szCs w:val="20"/>
                <w:color w:val="auto"/>
              </w:rPr>
            </w:pPr>
            <w:r>
              <w:rPr>
                <w:rFonts w:ascii="Arial" w:cs="Arial" w:eastAsia="Arial" w:hAnsi="Arial"/>
                <w:sz w:val="18"/>
                <w:szCs w:val="18"/>
                <w:color w:val="auto"/>
                <w:w w:val="95"/>
              </w:rPr>
              <w:t>100%</w:t>
            </w:r>
          </w:p>
        </w:tc>
      </w:tr>
      <w:tr>
        <w:trPr>
          <w:trHeight w:val="955"/>
        </w:trPr>
        <w:tc>
          <w:tcPr>
            <w:tcW w:w="2000" w:type="dxa"/>
            <w:vAlign w:val="bottom"/>
          </w:tcPr>
          <w:p>
            <w:pPr>
              <w:spacing w:after="0" w:line="329" w:lineRule="exact"/>
              <w:rPr>
                <w:sz w:val="20"/>
                <w:szCs w:val="20"/>
                <w:color w:val="auto"/>
              </w:rPr>
            </w:pPr>
            <w:r>
              <w:rPr>
                <w:rFonts w:ascii="Times New Roman" w:cs="Times New Roman" w:eastAsia="Times New Roman" w:hAnsi="Times New Roman"/>
                <w:sz w:val="18"/>
                <w:szCs w:val="18"/>
                <w:color w:val="auto"/>
              </w:rPr>
              <w:t xml:space="preserve">● ● ● ● ● ● ● </w:t>
            </w:r>
            <w:r>
              <w:rPr>
                <w:rFonts w:ascii="SimSun" w:cs="SimSun" w:eastAsia="SimSun" w:hAnsi="SimSun"/>
                <w:sz w:val="27"/>
                <w:szCs w:val="27"/>
                <w:color w:val="auto"/>
                <w:vertAlign w:val="superscript"/>
              </w:rPr>
              <w:t>〇 〇</w:t>
            </w:r>
          </w:p>
        </w:tc>
        <w:tc>
          <w:tcPr>
            <w:tcW w:w="880" w:type="dxa"/>
            <w:vAlign w:val="bottom"/>
          </w:tcPr>
          <w:p>
            <w:pPr>
              <w:ind w:left="420"/>
              <w:spacing w:after="0"/>
              <w:rPr>
                <w:sz w:val="20"/>
                <w:szCs w:val="20"/>
                <w:color w:val="auto"/>
              </w:rPr>
            </w:pPr>
            <w:r>
              <w:rPr>
                <w:rFonts w:ascii="Arial" w:cs="Arial" w:eastAsia="Arial" w:hAnsi="Arial"/>
                <w:sz w:val="18"/>
                <w:szCs w:val="18"/>
                <w:color w:val="auto"/>
                <w:w w:val="86"/>
              </w:rPr>
              <w:t>  78%</w:t>
            </w:r>
          </w:p>
        </w:tc>
      </w:tr>
      <w:tr>
        <w:trPr>
          <w:trHeight w:val="57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 ● ● ● ● ● ● ● ●</w:t>
            </w:r>
          </w:p>
        </w:tc>
        <w:tc>
          <w:tcPr>
            <w:tcW w:w="880" w:type="dxa"/>
            <w:vAlign w:val="bottom"/>
          </w:tcPr>
          <w:p>
            <w:pPr>
              <w:ind w:left="420"/>
              <w:spacing w:after="0"/>
              <w:rPr>
                <w:sz w:val="20"/>
                <w:szCs w:val="20"/>
                <w:color w:val="auto"/>
              </w:rPr>
            </w:pPr>
            <w:r>
              <w:rPr>
                <w:rFonts w:ascii="Arial" w:cs="Arial" w:eastAsia="Arial" w:hAnsi="Arial"/>
                <w:sz w:val="18"/>
                <w:szCs w:val="18"/>
                <w:color w:val="auto"/>
                <w:w w:val="95"/>
              </w:rPr>
              <w:t>100%</w:t>
            </w:r>
          </w:p>
        </w:tc>
      </w:tr>
      <w:tr>
        <w:trPr>
          <w:trHeight w:val="645"/>
        </w:trPr>
        <w:tc>
          <w:tcPr>
            <w:tcW w:w="2000" w:type="dxa"/>
            <w:vAlign w:val="bottom"/>
          </w:tcPr>
          <w:p>
            <w:pPr>
              <w:spacing w:after="0" w:line="329" w:lineRule="exact"/>
              <w:rPr>
                <w:sz w:val="20"/>
                <w:szCs w:val="20"/>
                <w:color w:val="auto"/>
              </w:rPr>
            </w:pPr>
            <w:r>
              <w:rPr>
                <w:rFonts w:ascii="Times New Roman" w:cs="Times New Roman" w:eastAsia="Times New Roman" w:hAnsi="Times New Roman"/>
                <w:sz w:val="18"/>
                <w:szCs w:val="18"/>
                <w:color w:val="auto"/>
              </w:rPr>
              <w:t xml:space="preserve">● ● ● ● ● ● ● </w:t>
            </w:r>
            <w:r>
              <w:rPr>
                <w:rFonts w:ascii="SimSun" w:cs="SimSun" w:eastAsia="SimSun" w:hAnsi="SimSun"/>
                <w:sz w:val="27"/>
                <w:szCs w:val="27"/>
                <w:color w:val="auto"/>
                <w:vertAlign w:val="superscript"/>
              </w:rPr>
              <w:t>〇 〇</w:t>
            </w:r>
          </w:p>
        </w:tc>
        <w:tc>
          <w:tcPr>
            <w:tcW w:w="880" w:type="dxa"/>
            <w:vAlign w:val="bottom"/>
          </w:tcPr>
          <w:p>
            <w:pPr>
              <w:ind w:left="420"/>
              <w:spacing w:after="0"/>
              <w:rPr>
                <w:sz w:val="20"/>
                <w:szCs w:val="20"/>
                <w:color w:val="auto"/>
              </w:rPr>
            </w:pPr>
            <w:r>
              <w:rPr>
                <w:rFonts w:ascii="Arial" w:cs="Arial" w:eastAsia="Arial" w:hAnsi="Arial"/>
                <w:sz w:val="18"/>
                <w:szCs w:val="18"/>
                <w:color w:val="auto"/>
                <w:w w:val="86"/>
              </w:rPr>
              <w:t>  78%</w:t>
            </w:r>
          </w:p>
        </w:tc>
      </w:tr>
      <w:tr>
        <w:trPr>
          <w:trHeight w:val="505"/>
        </w:trPr>
        <w:tc>
          <w:tcPr>
            <w:tcW w:w="2000" w:type="dxa"/>
            <w:vAlign w:val="bottom"/>
          </w:tcPr>
          <w:p>
            <w:pPr>
              <w:spacing w:after="0" w:line="329" w:lineRule="exact"/>
              <w:rPr>
                <w:sz w:val="20"/>
                <w:szCs w:val="20"/>
                <w:color w:val="auto"/>
              </w:rPr>
            </w:pPr>
            <w:r>
              <w:rPr>
                <w:rFonts w:ascii="Times New Roman" w:cs="Times New Roman" w:eastAsia="Times New Roman" w:hAnsi="Times New Roman"/>
                <w:sz w:val="18"/>
                <w:szCs w:val="18"/>
                <w:color w:val="auto"/>
              </w:rPr>
              <w:t xml:space="preserve">● ● ● ● ● ● </w:t>
            </w:r>
            <w:r>
              <w:rPr>
                <w:rFonts w:ascii="SimSun" w:cs="SimSun" w:eastAsia="SimSun" w:hAnsi="SimSun"/>
                <w:sz w:val="27"/>
                <w:szCs w:val="27"/>
                <w:color w:val="auto"/>
                <w:vertAlign w:val="superscript"/>
              </w:rPr>
              <w:t>〇 〇 〇</w:t>
            </w:r>
          </w:p>
        </w:tc>
        <w:tc>
          <w:tcPr>
            <w:tcW w:w="880" w:type="dxa"/>
            <w:vAlign w:val="bottom"/>
          </w:tcPr>
          <w:p>
            <w:pPr>
              <w:ind w:left="420"/>
              <w:spacing w:after="0"/>
              <w:rPr>
                <w:sz w:val="20"/>
                <w:szCs w:val="20"/>
                <w:color w:val="auto"/>
              </w:rPr>
            </w:pPr>
            <w:r>
              <w:rPr>
                <w:rFonts w:ascii="Arial" w:cs="Arial" w:eastAsia="Arial" w:hAnsi="Arial"/>
                <w:sz w:val="18"/>
                <w:szCs w:val="18"/>
                <w:color w:val="auto"/>
                <w:w w:val="86"/>
              </w:rPr>
              <w:t>  67%</w:t>
            </w:r>
          </w:p>
        </w:tc>
      </w:tr>
      <w:tr>
        <w:trPr>
          <w:trHeight w:val="609"/>
        </w:trPr>
        <w:tc>
          <w:tcPr>
            <w:tcW w:w="2000" w:type="dxa"/>
            <w:vAlign w:val="bottom"/>
          </w:tcPr>
          <w:p>
            <w:pPr>
              <w:spacing w:after="0" w:line="329" w:lineRule="exact"/>
              <w:rPr>
                <w:sz w:val="20"/>
                <w:szCs w:val="20"/>
                <w:color w:val="auto"/>
              </w:rPr>
            </w:pPr>
            <w:r>
              <w:rPr>
                <w:rFonts w:ascii="Times New Roman" w:cs="Times New Roman" w:eastAsia="Times New Roman" w:hAnsi="Times New Roman"/>
                <w:sz w:val="18"/>
                <w:szCs w:val="18"/>
                <w:color w:val="auto"/>
              </w:rPr>
              <w:t xml:space="preserve">● ● ● ● ● ● ● </w:t>
            </w:r>
            <w:r>
              <w:rPr>
                <w:rFonts w:ascii="SimSun" w:cs="SimSun" w:eastAsia="SimSun" w:hAnsi="SimSun"/>
                <w:sz w:val="27"/>
                <w:szCs w:val="27"/>
                <w:color w:val="auto"/>
                <w:vertAlign w:val="superscript"/>
              </w:rPr>
              <w:t>〇 〇</w:t>
            </w:r>
          </w:p>
        </w:tc>
        <w:tc>
          <w:tcPr>
            <w:tcW w:w="880" w:type="dxa"/>
            <w:vAlign w:val="bottom"/>
          </w:tcPr>
          <w:p>
            <w:pPr>
              <w:ind w:left="420"/>
              <w:spacing w:after="0"/>
              <w:rPr>
                <w:sz w:val="20"/>
                <w:szCs w:val="20"/>
                <w:color w:val="auto"/>
              </w:rPr>
            </w:pPr>
            <w:r>
              <w:rPr>
                <w:rFonts w:ascii="Arial" w:cs="Arial" w:eastAsia="Arial" w:hAnsi="Arial"/>
                <w:sz w:val="18"/>
                <w:szCs w:val="18"/>
                <w:color w:val="auto"/>
                <w:w w:val="86"/>
              </w:rPr>
              <w:t>  78%</w:t>
            </w:r>
          </w:p>
        </w:tc>
      </w:tr>
      <w:tr>
        <w:trPr>
          <w:trHeight w:val="712"/>
        </w:trPr>
        <w:tc>
          <w:tcPr>
            <w:tcW w:w="2000" w:type="dxa"/>
            <w:vAlign w:val="bottom"/>
          </w:tcPr>
          <w:p>
            <w:pPr>
              <w:spacing w:after="0" w:line="329" w:lineRule="exact"/>
              <w:rPr>
                <w:sz w:val="20"/>
                <w:szCs w:val="20"/>
                <w:color w:val="auto"/>
              </w:rPr>
            </w:pPr>
            <w:r>
              <w:rPr>
                <w:rFonts w:ascii="Times New Roman" w:cs="Times New Roman" w:eastAsia="Times New Roman" w:hAnsi="Times New Roman"/>
                <w:sz w:val="18"/>
                <w:szCs w:val="18"/>
                <w:color w:val="auto"/>
              </w:rPr>
              <w:t xml:space="preserve">● ● ● ● ● </w:t>
            </w:r>
            <w:r>
              <w:rPr>
                <w:rFonts w:ascii="SimSun" w:cs="SimSun" w:eastAsia="SimSun" w:hAnsi="SimSun"/>
                <w:sz w:val="27"/>
                <w:szCs w:val="27"/>
                <w:color w:val="auto"/>
                <w:vertAlign w:val="superscript"/>
              </w:rPr>
              <w:t>〇 〇 〇 〇</w:t>
            </w:r>
          </w:p>
        </w:tc>
        <w:tc>
          <w:tcPr>
            <w:tcW w:w="880" w:type="dxa"/>
            <w:vAlign w:val="bottom"/>
          </w:tcPr>
          <w:p>
            <w:pPr>
              <w:ind w:left="420"/>
              <w:spacing w:after="0"/>
              <w:rPr>
                <w:sz w:val="20"/>
                <w:szCs w:val="20"/>
                <w:color w:val="auto"/>
              </w:rPr>
            </w:pPr>
            <w:r>
              <w:rPr>
                <w:rFonts w:ascii="Arial" w:cs="Arial" w:eastAsia="Arial" w:hAnsi="Arial"/>
                <w:sz w:val="18"/>
                <w:szCs w:val="18"/>
                <w:color w:val="auto"/>
                <w:w w:val="86"/>
              </w:rPr>
              <w:t>  56%</w:t>
            </w:r>
          </w:p>
        </w:tc>
      </w:tr>
      <w:tr>
        <w:trPr>
          <w:trHeight w:val="609"/>
        </w:trPr>
        <w:tc>
          <w:tcPr>
            <w:tcW w:w="2000" w:type="dxa"/>
            <w:vAlign w:val="bottom"/>
          </w:tcPr>
          <w:p>
            <w:pPr>
              <w:spacing w:after="0" w:line="329" w:lineRule="exact"/>
              <w:rPr>
                <w:sz w:val="20"/>
                <w:szCs w:val="20"/>
                <w:color w:val="auto"/>
              </w:rPr>
            </w:pPr>
            <w:r>
              <w:rPr>
                <w:rFonts w:ascii="Times New Roman" w:cs="Times New Roman" w:eastAsia="Times New Roman" w:hAnsi="Times New Roman"/>
                <w:sz w:val="18"/>
                <w:szCs w:val="18"/>
                <w:color w:val="auto"/>
              </w:rPr>
              <w:t xml:space="preserve">● ● ● ● ● ● ● ● </w:t>
            </w:r>
            <w:r>
              <w:rPr>
                <w:rFonts w:ascii="SimSun" w:cs="SimSun" w:eastAsia="SimSun" w:hAnsi="SimSun"/>
                <w:sz w:val="27"/>
                <w:szCs w:val="27"/>
                <w:color w:val="auto"/>
                <w:vertAlign w:val="superscript"/>
              </w:rPr>
              <w:t>〇</w:t>
            </w:r>
          </w:p>
        </w:tc>
        <w:tc>
          <w:tcPr>
            <w:tcW w:w="880" w:type="dxa"/>
            <w:vAlign w:val="bottom"/>
          </w:tcPr>
          <w:p>
            <w:pPr>
              <w:ind w:left="420"/>
              <w:spacing w:after="0"/>
              <w:rPr>
                <w:sz w:val="20"/>
                <w:szCs w:val="20"/>
                <w:color w:val="auto"/>
              </w:rPr>
            </w:pPr>
            <w:r>
              <w:rPr>
                <w:rFonts w:ascii="Arial" w:cs="Arial" w:eastAsia="Arial" w:hAnsi="Arial"/>
                <w:sz w:val="18"/>
                <w:szCs w:val="18"/>
                <w:color w:val="auto"/>
                <w:w w:val="86"/>
              </w:rPr>
              <w:t>  89%</w:t>
            </w:r>
          </w:p>
        </w:tc>
      </w:tr>
    </w:tbl>
    <w:p>
      <w:pPr>
        <w:spacing w:after="0" w:line="125" w:lineRule="exact"/>
        <w:rPr>
          <w:sz w:val="20"/>
          <w:szCs w:val="20"/>
          <w:color w:val="auto"/>
        </w:rPr>
      </w:pPr>
    </w:p>
    <w:p>
      <w:pPr>
        <w:sectPr>
          <w:pgSz w:w="11900" w:h="16838" w:orient="portrait"/>
          <w:cols w:equalWidth="0" w:num="2">
            <w:col w:w="7560" w:space="280"/>
            <w:col w:w="3060"/>
          </w:cols>
          <w:pgMar w:left="320" w:top="469" w:right="679" w:bottom="1440" w:gutter="0" w:footer="0" w:header="0"/>
          <w:type w:val="continuous"/>
        </w:sectPr>
      </w:pPr>
    </w:p>
    <w:p>
      <w:pPr>
        <w:ind w:left="5700"/>
        <w:spacing w:after="0"/>
        <w:rPr>
          <w:sz w:val="20"/>
          <w:szCs w:val="20"/>
          <w:color w:val="auto"/>
        </w:rPr>
      </w:pPr>
      <w:r>
        <w:rPr>
          <w:rFonts w:ascii="Arial" w:cs="Arial" w:eastAsia="Arial" w:hAnsi="Arial"/>
          <w:sz w:val="14"/>
          <w:szCs w:val="14"/>
          <w:b w:val="1"/>
          <w:bCs w:val="1"/>
          <w:color w:val="3E8EDE"/>
        </w:rPr>
        <w:t xml:space="preserve">Notice of Annual Meeting of Shareholders </w:t>
      </w:r>
      <w:r>
        <w:rPr>
          <w:rFonts w:ascii="Arial" w:cs="Arial" w:eastAsia="Arial" w:hAnsi="Arial"/>
          <w:sz w:val="14"/>
          <w:szCs w:val="14"/>
          <w:color w:val="000000"/>
        </w:rPr>
        <w:t>and 2026 Proxy Statement   5</w:t>
      </w:r>
    </w:p>
    <w:p>
      <w:pPr>
        <w:sectPr>
          <w:pgSz w:w="11900" w:h="16838" w:orient="portrait"/>
          <w:cols w:equalWidth="0" w:num="1">
            <w:col w:w="10900"/>
          </w:cols>
          <w:pgMar w:left="320" w:top="469" w:right="6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79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Proxy Summary: </w:t>
      </w:r>
      <w:r>
        <w:rPr>
          <w:rFonts w:ascii="Arial" w:cs="Arial" w:eastAsia="Arial" w:hAnsi="Arial"/>
          <w:sz w:val="15"/>
          <w:szCs w:val="15"/>
          <w:b w:val="1"/>
          <w:bCs w:val="1"/>
          <w:color w:val="000000"/>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93980</wp:posOffset>
            </wp:positionV>
            <wp:extent cx="6710045" cy="1809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10045" cy="180975"/>
                    </a:xfrm>
                    <a:prstGeom prst="rect">
                      <a:avLst/>
                    </a:prstGeom>
                    <a:noFill/>
                  </pic:spPr>
                </pic:pic>
              </a:graphicData>
            </a:graphic>
          </wp:anchor>
        </w:drawing>
      </w:r>
    </w:p>
    <w:p>
      <w:pPr>
        <w:spacing w:after="0" w:line="158" w:lineRule="exact"/>
        <w:rPr>
          <w:sz w:val="20"/>
          <w:szCs w:val="20"/>
          <w:color w:val="auto"/>
        </w:rPr>
      </w:pPr>
    </w:p>
    <w:p>
      <w:pPr>
        <w:ind w:left="720" w:hanging="285"/>
        <w:spacing w:after="0"/>
        <w:tabs>
          <w:tab w:leader="none" w:pos="7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Strong Board independence (all but one of our directors and director nominees are independent);</w:t>
      </w:r>
    </w:p>
    <w:p>
      <w:pPr>
        <w:spacing w:after="0" w:line="66" w:lineRule="exact"/>
        <w:rPr>
          <w:rFonts w:ascii="Arial" w:cs="Arial" w:eastAsia="Arial" w:hAnsi="Arial"/>
          <w:sz w:val="19"/>
          <w:szCs w:val="19"/>
          <w:color w:val="auto"/>
        </w:rPr>
      </w:pPr>
    </w:p>
    <w:p>
      <w:pPr>
        <w:ind w:left="720" w:right="200" w:hanging="285"/>
        <w:spacing w:after="0" w:line="262" w:lineRule="auto"/>
        <w:tabs>
          <w:tab w:leader="none" w:pos="7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All members of the Audit, Compensation and Organization Development and Nominating and Governance Committees are independent;</w:t>
      </w:r>
    </w:p>
    <w:p>
      <w:pPr>
        <w:spacing w:after="0" w:line="15" w:lineRule="exact"/>
        <w:rPr>
          <w:rFonts w:ascii="Arial" w:cs="Arial" w:eastAsia="Arial" w:hAnsi="Arial"/>
          <w:sz w:val="19"/>
          <w:szCs w:val="19"/>
          <w:color w:val="auto"/>
        </w:rPr>
      </w:pPr>
    </w:p>
    <w:p>
      <w:pPr>
        <w:ind w:left="720" w:hanging="285"/>
        <w:spacing w:after="0"/>
        <w:tabs>
          <w:tab w:leader="none" w:pos="7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Annual election of directors;</w:t>
      </w:r>
    </w:p>
    <w:p>
      <w:pPr>
        <w:spacing w:after="0" w:line="66" w:lineRule="exact"/>
        <w:rPr>
          <w:rFonts w:ascii="Arial" w:cs="Arial" w:eastAsia="Arial" w:hAnsi="Arial"/>
          <w:sz w:val="19"/>
          <w:szCs w:val="19"/>
          <w:color w:val="auto"/>
        </w:rPr>
      </w:pPr>
    </w:p>
    <w:p>
      <w:pPr>
        <w:ind w:left="720" w:hanging="285"/>
        <w:spacing w:after="0"/>
        <w:tabs>
          <w:tab w:leader="none" w:pos="7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Board conducts annual self-evaluation;</w:t>
      </w:r>
    </w:p>
    <w:p>
      <w:pPr>
        <w:spacing w:after="0" w:line="66" w:lineRule="exact"/>
        <w:rPr>
          <w:rFonts w:ascii="Arial" w:cs="Arial" w:eastAsia="Arial" w:hAnsi="Arial"/>
          <w:sz w:val="19"/>
          <w:szCs w:val="19"/>
          <w:color w:val="auto"/>
        </w:rPr>
      </w:pPr>
    </w:p>
    <w:p>
      <w:pPr>
        <w:ind w:left="720" w:right="200" w:hanging="285"/>
        <w:spacing w:after="0" w:line="244" w:lineRule="auto"/>
        <w:tabs>
          <w:tab w:leader="none" w:pos="7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Independent non-employee Chairman of the Board; if the Company does not have an independent Chairman, a lead independent director will preside over executive sessions of independent directors (which will occur at least every other regularly scheduled Board meeting);</w:t>
      </w:r>
    </w:p>
    <w:p>
      <w:pPr>
        <w:spacing w:after="0" w:line="32" w:lineRule="exact"/>
        <w:rPr>
          <w:rFonts w:ascii="Arial" w:cs="Arial" w:eastAsia="Arial" w:hAnsi="Arial"/>
          <w:sz w:val="19"/>
          <w:szCs w:val="19"/>
          <w:color w:val="auto"/>
        </w:rPr>
      </w:pPr>
    </w:p>
    <w:p>
      <w:pPr>
        <w:ind w:left="720" w:hanging="285"/>
        <w:spacing w:after="0"/>
        <w:tabs>
          <w:tab w:leader="none" w:pos="7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Robust stock ownership guidelines for non-employee directors, officers and other key employees;</w:t>
      </w:r>
    </w:p>
    <w:p>
      <w:pPr>
        <w:spacing w:after="0" w:line="66" w:lineRule="exact"/>
        <w:rPr>
          <w:rFonts w:ascii="Arial" w:cs="Arial" w:eastAsia="Arial" w:hAnsi="Arial"/>
          <w:sz w:val="19"/>
          <w:szCs w:val="19"/>
          <w:color w:val="auto"/>
        </w:rPr>
      </w:pPr>
    </w:p>
    <w:p>
      <w:pPr>
        <w:ind w:left="720" w:hanging="285"/>
        <w:spacing w:after="0"/>
        <w:tabs>
          <w:tab w:leader="none" w:pos="7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Clawback policies applicable in specified situations to incentive compensation and equity awards;</w:t>
      </w:r>
    </w:p>
    <w:p>
      <w:pPr>
        <w:spacing w:after="0" w:line="66" w:lineRule="exact"/>
        <w:rPr>
          <w:rFonts w:ascii="Arial" w:cs="Arial" w:eastAsia="Arial" w:hAnsi="Arial"/>
          <w:sz w:val="19"/>
          <w:szCs w:val="19"/>
          <w:color w:val="auto"/>
        </w:rPr>
      </w:pPr>
    </w:p>
    <w:p>
      <w:pPr>
        <w:ind w:left="720" w:hanging="285"/>
        <w:spacing w:after="0"/>
        <w:tabs>
          <w:tab w:leader="none" w:pos="7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No hedging or pledging or short sales of our shares is permitted by our directors, officers or employees;</w:t>
      </w:r>
    </w:p>
    <w:p>
      <w:pPr>
        <w:spacing w:after="0" w:line="66" w:lineRule="exact"/>
        <w:rPr>
          <w:rFonts w:ascii="Arial" w:cs="Arial" w:eastAsia="Arial" w:hAnsi="Arial"/>
          <w:sz w:val="19"/>
          <w:szCs w:val="19"/>
          <w:color w:val="auto"/>
        </w:rPr>
      </w:pPr>
    </w:p>
    <w:p>
      <w:pPr>
        <w:ind w:left="720" w:hanging="285"/>
        <w:spacing w:after="0"/>
        <w:tabs>
          <w:tab w:leader="none" w:pos="7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Annual compensation risk assessment;</w:t>
      </w:r>
    </w:p>
    <w:p>
      <w:pPr>
        <w:spacing w:after="0" w:line="66" w:lineRule="exact"/>
        <w:rPr>
          <w:rFonts w:ascii="Arial" w:cs="Arial" w:eastAsia="Arial" w:hAnsi="Arial"/>
          <w:sz w:val="19"/>
          <w:szCs w:val="19"/>
          <w:color w:val="auto"/>
        </w:rPr>
      </w:pPr>
    </w:p>
    <w:p>
      <w:pPr>
        <w:ind w:left="720" w:hanging="285"/>
        <w:spacing w:after="0"/>
        <w:tabs>
          <w:tab w:leader="none" w:pos="7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Incentive-based compensation programs linked to Company performance; and</w:t>
      </w:r>
    </w:p>
    <w:p>
      <w:pPr>
        <w:spacing w:after="0" w:line="66" w:lineRule="exact"/>
        <w:rPr>
          <w:rFonts w:ascii="Arial" w:cs="Arial" w:eastAsia="Arial" w:hAnsi="Arial"/>
          <w:sz w:val="19"/>
          <w:szCs w:val="19"/>
          <w:color w:val="auto"/>
        </w:rPr>
      </w:pPr>
    </w:p>
    <w:p>
      <w:pPr>
        <w:ind w:left="720" w:hanging="285"/>
        <w:spacing w:after="0"/>
        <w:tabs>
          <w:tab w:leader="none" w:pos="7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No shareholder rights plan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-1867535</wp:posOffset>
            </wp:positionV>
            <wp:extent cx="6710045" cy="180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10045" cy="18097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-1506220</wp:posOffset>
            </wp:positionV>
            <wp:extent cx="6710045" cy="44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10045" cy="44386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-880745</wp:posOffset>
            </wp:positionV>
            <wp:extent cx="6710045" cy="180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10045" cy="18097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-519430</wp:posOffset>
            </wp:positionV>
            <wp:extent cx="6710045" cy="180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10045" cy="18097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-157480</wp:posOffset>
            </wp:positionV>
            <wp:extent cx="6710045" cy="180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10045" cy="180975"/>
                    </a:xfrm>
                    <a:prstGeom prst="rect">
                      <a:avLst/>
                    </a:prstGeom>
                    <a:noFill/>
                  </pic:spPr>
                </pic:pic>
              </a:graphicData>
            </a:graphic>
          </wp:anchor>
        </w:drawing>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Chief Executive Officer Compensation Highlights</w:t>
      </w:r>
    </w:p>
    <w:p>
      <w:pPr>
        <w:spacing w:after="0" w:line="114" w:lineRule="exact"/>
        <w:rPr>
          <w:sz w:val="20"/>
          <w:szCs w:val="20"/>
          <w:color w:val="auto"/>
        </w:rPr>
      </w:pPr>
    </w:p>
    <w:p>
      <w:pPr>
        <w:ind w:left="340" w:right="40"/>
        <w:spacing w:after="0" w:line="244" w:lineRule="auto"/>
        <w:rPr>
          <w:sz w:val="20"/>
          <w:szCs w:val="20"/>
          <w:color w:val="auto"/>
        </w:rPr>
      </w:pPr>
      <w:r>
        <w:rPr>
          <w:rFonts w:ascii="Arial" w:cs="Arial" w:eastAsia="Arial" w:hAnsi="Arial"/>
          <w:sz w:val="19"/>
          <w:szCs w:val="19"/>
          <w:b w:val="1"/>
          <w:bCs w:val="1"/>
          <w:color w:val="auto"/>
        </w:rPr>
        <w:t>Our fiscal 2026 Compensation Programs Reward the Performance of Daniel Carestio, our President and Chief Executive Officer (“CEO”)</w:t>
      </w:r>
      <w:r>
        <w:rPr>
          <w:rFonts w:ascii="Arial" w:cs="Arial" w:eastAsia="Arial" w:hAnsi="Arial"/>
          <w:sz w:val="19"/>
          <w:szCs w:val="19"/>
          <w:color w:val="auto"/>
        </w:rPr>
        <w:t>. Our 2026 compensation programs were intended to reward our CEO for generating value for our</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shareholders, as demonstrated by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59055</wp:posOffset>
            </wp:positionV>
            <wp:extent cx="6710045" cy="180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10045" cy="180975"/>
                    </a:xfrm>
                    <a:prstGeom prst="rect">
                      <a:avLst/>
                    </a:prstGeom>
                    <a:noFill/>
                  </pic:spPr>
                </pic:pic>
              </a:graphicData>
            </a:graphic>
          </wp:anchor>
        </w:drawing>
      </w:r>
    </w:p>
    <w:p>
      <w:pPr>
        <w:spacing w:after="0" w:line="104" w:lineRule="exact"/>
        <w:rPr>
          <w:sz w:val="20"/>
          <w:szCs w:val="20"/>
          <w:color w:val="auto"/>
        </w:rPr>
      </w:pPr>
    </w:p>
    <w:p>
      <w:pPr>
        <w:ind w:left="720" w:hanging="285"/>
        <w:spacing w:after="0"/>
        <w:tabs>
          <w:tab w:leader="none" w:pos="7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90.3% of total compensation delivered to our CEO was variable;</w:t>
      </w:r>
    </w:p>
    <w:p>
      <w:pPr>
        <w:spacing w:after="0" w:line="66" w:lineRule="exact"/>
        <w:rPr>
          <w:rFonts w:ascii="Arial" w:cs="Arial" w:eastAsia="Arial" w:hAnsi="Arial"/>
          <w:sz w:val="19"/>
          <w:szCs w:val="19"/>
          <w:color w:val="auto"/>
        </w:rPr>
      </w:pPr>
    </w:p>
    <w:p>
      <w:pPr>
        <w:ind w:left="720" w:right="80" w:hanging="285"/>
        <w:spacing w:after="0" w:line="236" w:lineRule="auto"/>
        <w:tabs>
          <w:tab w:leader="none" w:pos="7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100% of annual incentive compensation delivered to our CEO was tied to annual financial performance measures based on Adjusted EBIT and Adjusted free cash flow (“FCF”), paying out an aggregate amount of $1,725,007 at 125.1% of target for fiscal 2026 with no adjustments based upon personal achievement (see the section titled “2026 Compensation Decisions – STERIS Annual Incentive Compensation (Cash Bonus)” for more information on the calculation and definition of these metrics under the bonus plan);</w:t>
      </w:r>
    </w:p>
    <w:p>
      <w:pPr>
        <w:spacing w:after="0" w:line="39" w:lineRule="exact"/>
        <w:rPr>
          <w:rFonts w:ascii="Arial" w:cs="Arial" w:eastAsia="Arial" w:hAnsi="Arial"/>
          <w:sz w:val="19"/>
          <w:szCs w:val="19"/>
          <w:color w:val="auto"/>
        </w:rPr>
      </w:pPr>
    </w:p>
    <w:p>
      <w:pPr>
        <w:jc w:val="both"/>
        <w:ind w:left="720" w:right="340" w:hanging="285"/>
        <w:spacing w:after="0" w:line="244" w:lineRule="auto"/>
        <w:tabs>
          <w:tab w:leader="none" w:pos="7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50% of variable Long-Term Incentive Plan (“LTIP”) opportunity was delivered to our CEO in the form of premium-price stock options, subject to an exercise price equal to 110% of the closing price per share of our Ordinary Shares on the grant date and pro-rata four-year vesting conditions; and</w:t>
      </w:r>
    </w:p>
    <w:p>
      <w:pPr>
        <w:spacing w:after="0" w:line="32" w:lineRule="exact"/>
        <w:rPr>
          <w:rFonts w:ascii="Arial" w:cs="Arial" w:eastAsia="Arial" w:hAnsi="Arial"/>
          <w:sz w:val="19"/>
          <w:szCs w:val="19"/>
          <w:color w:val="auto"/>
        </w:rPr>
      </w:pPr>
    </w:p>
    <w:p>
      <w:pPr>
        <w:ind w:left="720" w:right="180" w:hanging="285"/>
        <w:spacing w:after="0" w:line="262" w:lineRule="auto"/>
        <w:tabs>
          <w:tab w:leader="none" w:pos="7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50% of variable LTIP opportunity was delivered to our CEO in the form of restricted stock, subject to pro-rata three-year 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-765810</wp:posOffset>
            </wp:positionV>
            <wp:extent cx="6710045" cy="44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10045" cy="443865"/>
                    </a:xfrm>
                    <a:prstGeom prst="rect">
                      <a:avLst/>
                    </a:prstGeom>
                    <a:noFill/>
                  </pic:spPr>
                </pic:pic>
              </a:graphicData>
            </a:graphic>
          </wp:anchor>
        </w:drawing>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6 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Arial" w:cs="Arial" w:eastAsia="Arial" w:hAnsi="Arial"/>
                <w:sz w:val="17"/>
                <w:szCs w:val="17"/>
                <w:b w:val="1"/>
                <w:bCs w:val="1"/>
                <w:color w:val="auto"/>
              </w:rPr>
              <w:t> </w:t>
            </w:r>
          </w:p>
        </w:tc>
        <w:tc>
          <w:tcPr>
            <w:tcW w:w="9800" w:type="dxa"/>
            <w:vAlign w:val="bottom"/>
            <w:gridSpan w:val="2"/>
          </w:tcPr>
          <w:p>
            <w:pPr>
              <w:jc w:val="right"/>
              <w:spacing w:after="0"/>
              <w:rPr>
                <w:sz w:val="20"/>
                <w:szCs w:val="20"/>
                <w:color w:val="auto"/>
              </w:rPr>
            </w:pPr>
            <w:r>
              <w:rPr>
                <w:rFonts w:ascii="Arial" w:cs="Arial" w:eastAsia="Arial" w:hAnsi="Arial"/>
                <w:sz w:val="16"/>
                <w:szCs w:val="16"/>
                <w:b w:val="1"/>
                <w:bCs w:val="1"/>
                <w:color w:val="3E8EDE"/>
              </w:rPr>
              <w:t xml:space="preserve">Proxy Summary: </w:t>
            </w:r>
            <w:r>
              <w:rPr>
                <w:rFonts w:ascii="Arial" w:cs="Arial" w:eastAsia="Arial" w:hAnsi="Arial"/>
                <w:sz w:val="16"/>
                <w:szCs w:val="16"/>
                <w:b w:val="1"/>
                <w:bCs w:val="1"/>
                <w:color w:val="000000"/>
              </w:rPr>
              <w:t>Summary of Voting Proposals and Board Recommendations</w:t>
            </w:r>
          </w:p>
        </w:tc>
      </w:tr>
      <w:tr>
        <w:trPr>
          <w:trHeight w:val="27"/>
        </w:trPr>
        <w:tc>
          <w:tcPr>
            <w:tcW w:w="760" w:type="dxa"/>
            <w:vAlign w:val="bottom"/>
            <w:tcBorders>
              <w:bottom w:val="single" w:sz="8" w:color="3E8EDE"/>
            </w:tcBorders>
          </w:tcPr>
          <w:p>
            <w:pPr>
              <w:spacing w:after="0"/>
              <w:rPr>
                <w:sz w:val="2"/>
                <w:szCs w:val="2"/>
                <w:color w:val="auto"/>
              </w:rPr>
            </w:pPr>
          </w:p>
        </w:tc>
        <w:tc>
          <w:tcPr>
            <w:tcW w:w="8340" w:type="dxa"/>
            <w:vAlign w:val="bottom"/>
            <w:tcBorders>
              <w:bottom w:val="single" w:sz="8" w:color="3E8EDE"/>
            </w:tcBorders>
          </w:tcPr>
          <w:p>
            <w:pPr>
              <w:spacing w:after="0"/>
              <w:rPr>
                <w:sz w:val="2"/>
                <w:szCs w:val="2"/>
                <w:color w:val="auto"/>
              </w:rPr>
            </w:pPr>
          </w:p>
        </w:tc>
        <w:tc>
          <w:tcPr>
            <w:tcW w:w="1460" w:type="dxa"/>
            <w:vAlign w:val="bottom"/>
            <w:tcBorders>
              <w:bottom w:val="single" w:sz="8" w:color="3E8EDE"/>
            </w:tcBorders>
          </w:tcPr>
          <w:p>
            <w:pPr>
              <w:spacing w:after="0"/>
              <w:rPr>
                <w:sz w:val="2"/>
                <w:szCs w:val="2"/>
                <w:color w:val="auto"/>
              </w:rPr>
            </w:pPr>
          </w:p>
        </w:tc>
      </w:tr>
      <w:tr>
        <w:trPr>
          <w:trHeight w:val="484"/>
        </w:trPr>
        <w:tc>
          <w:tcPr>
            <w:tcW w:w="9100" w:type="dxa"/>
            <w:vAlign w:val="bottom"/>
            <w:gridSpan w:val="2"/>
          </w:tcPr>
          <w:p>
            <w:pPr>
              <w:spacing w:after="0"/>
              <w:rPr>
                <w:sz w:val="20"/>
                <w:szCs w:val="20"/>
                <w:color w:val="auto"/>
              </w:rPr>
            </w:pPr>
            <w:r>
              <w:rPr>
                <w:rFonts w:ascii="Arial" w:cs="Arial" w:eastAsia="Arial" w:hAnsi="Arial"/>
                <w:sz w:val="24"/>
                <w:szCs w:val="24"/>
                <w:b w:val="1"/>
                <w:bCs w:val="1"/>
                <w:color w:val="auto"/>
              </w:rPr>
              <w:t>Summary of Voting Proposals and Board Recommendations</w:t>
            </w:r>
          </w:p>
        </w:tc>
        <w:tc>
          <w:tcPr>
            <w:tcW w:w="1460" w:type="dxa"/>
            <w:vAlign w:val="bottom"/>
          </w:tcPr>
          <w:p>
            <w:pPr>
              <w:spacing w:after="0"/>
              <w:rPr>
                <w:sz w:val="24"/>
                <w:szCs w:val="24"/>
                <w:color w:val="auto"/>
              </w:rPr>
            </w:pPr>
          </w:p>
        </w:tc>
      </w:tr>
      <w:tr>
        <w:trPr>
          <w:trHeight w:val="208"/>
        </w:trPr>
        <w:tc>
          <w:tcPr>
            <w:tcW w:w="76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93"/>
        </w:trPr>
        <w:tc>
          <w:tcPr>
            <w:tcW w:w="760" w:type="dxa"/>
            <w:vAlign w:val="bottom"/>
            <w:shd w:val="clear" w:color="auto" w:fill="3E8EDE"/>
          </w:tcPr>
          <w:p>
            <w:pPr>
              <w:ind w:left="80"/>
              <w:spacing w:after="0"/>
              <w:rPr>
                <w:sz w:val="20"/>
                <w:szCs w:val="20"/>
                <w:color w:val="auto"/>
              </w:rPr>
            </w:pPr>
            <w:r>
              <w:rPr>
                <w:rFonts w:ascii="Arial" w:cs="Arial" w:eastAsia="Arial" w:hAnsi="Arial"/>
                <w:sz w:val="16"/>
                <w:szCs w:val="16"/>
                <w:b w:val="1"/>
                <w:bCs w:val="1"/>
                <w:color w:val="FFFFFF"/>
                <w:w w:val="96"/>
              </w:rPr>
              <w:t>Proposal</w:t>
            </w:r>
          </w:p>
        </w:tc>
        <w:tc>
          <w:tcPr>
            <w:tcW w:w="8340" w:type="dxa"/>
            <w:vAlign w:val="bottom"/>
            <w:shd w:val="clear" w:color="auto" w:fill="3E8EDE"/>
          </w:tcPr>
          <w:p>
            <w:pPr>
              <w:spacing w:after="0"/>
              <w:rPr>
                <w:sz w:val="16"/>
                <w:szCs w:val="16"/>
                <w:color w:val="auto"/>
              </w:rPr>
            </w:pPr>
          </w:p>
        </w:tc>
        <w:tc>
          <w:tcPr>
            <w:tcW w:w="1460" w:type="dxa"/>
            <w:vAlign w:val="bottom"/>
            <w:shd w:val="clear" w:color="auto" w:fill="3E8EDE"/>
          </w:tcPr>
          <w:p>
            <w:pPr>
              <w:jc w:val="right"/>
              <w:ind w:right="14"/>
              <w:spacing w:after="0"/>
              <w:rPr>
                <w:sz w:val="20"/>
                <w:szCs w:val="20"/>
                <w:color w:val="auto"/>
              </w:rPr>
            </w:pPr>
            <w:r>
              <w:rPr>
                <w:rFonts w:ascii="Arial" w:cs="Arial" w:eastAsia="Arial" w:hAnsi="Arial"/>
                <w:sz w:val="16"/>
                <w:szCs w:val="16"/>
                <w:b w:val="1"/>
                <w:bCs w:val="1"/>
                <w:color w:val="FFFFFF"/>
              </w:rPr>
              <w:t>Board Voting</w:t>
            </w:r>
          </w:p>
        </w:tc>
      </w:tr>
      <w:tr>
        <w:trPr>
          <w:trHeight w:val="208"/>
        </w:trPr>
        <w:tc>
          <w:tcPr>
            <w:tcW w:w="760" w:type="dxa"/>
            <w:vAlign w:val="bottom"/>
            <w:shd w:val="clear" w:color="auto" w:fill="3E8EDE"/>
          </w:tcPr>
          <w:p>
            <w:pPr>
              <w:spacing w:after="0"/>
              <w:rPr>
                <w:sz w:val="20"/>
                <w:szCs w:val="20"/>
                <w:color w:val="auto"/>
              </w:rPr>
            </w:pPr>
            <w:r>
              <w:rPr>
                <w:rFonts w:ascii="Arial" w:cs="Arial" w:eastAsia="Arial" w:hAnsi="Arial"/>
                <w:sz w:val="16"/>
                <w:szCs w:val="16"/>
                <w:b w:val="1"/>
                <w:bCs w:val="1"/>
                <w:color w:val="FFFFFF"/>
              </w:rPr>
              <w:t>  Number</w:t>
            </w:r>
          </w:p>
        </w:tc>
        <w:tc>
          <w:tcPr>
            <w:tcW w:w="8340" w:type="dxa"/>
            <w:vAlign w:val="bottom"/>
            <w:shd w:val="clear" w:color="auto" w:fill="3E8EDE"/>
          </w:tcPr>
          <w:p>
            <w:pPr>
              <w:ind w:left="3880"/>
              <w:spacing w:after="0"/>
              <w:rPr>
                <w:sz w:val="20"/>
                <w:szCs w:val="20"/>
                <w:color w:val="auto"/>
              </w:rPr>
            </w:pPr>
            <w:r>
              <w:rPr>
                <w:rFonts w:ascii="Arial" w:cs="Arial" w:eastAsia="Arial" w:hAnsi="Arial"/>
                <w:sz w:val="16"/>
                <w:szCs w:val="16"/>
                <w:b w:val="1"/>
                <w:bCs w:val="1"/>
                <w:color w:val="FFFFFF"/>
              </w:rPr>
              <w:t>Proposal</w:t>
            </w:r>
          </w:p>
        </w:tc>
        <w:tc>
          <w:tcPr>
            <w:tcW w:w="1460" w:type="dxa"/>
            <w:vAlign w:val="bottom"/>
            <w:shd w:val="clear" w:color="auto" w:fill="3E8EDE"/>
          </w:tcPr>
          <w:p>
            <w:pPr>
              <w:jc w:val="right"/>
              <w:ind w:right="14"/>
              <w:spacing w:after="0"/>
              <w:rPr>
                <w:sz w:val="20"/>
                <w:szCs w:val="20"/>
                <w:color w:val="auto"/>
              </w:rPr>
            </w:pPr>
            <w:r>
              <w:rPr>
                <w:rFonts w:ascii="Arial" w:cs="Arial" w:eastAsia="Arial" w:hAnsi="Arial"/>
                <w:sz w:val="16"/>
                <w:szCs w:val="16"/>
                <w:b w:val="1"/>
                <w:bCs w:val="1"/>
                <w:color w:val="FFFFFF"/>
                <w:w w:val="99"/>
              </w:rPr>
              <w:t>Recommendation</w:t>
            </w:r>
          </w:p>
        </w:tc>
      </w:tr>
      <w:tr>
        <w:trPr>
          <w:trHeight w:val="238"/>
        </w:trPr>
        <w:tc>
          <w:tcPr>
            <w:tcW w:w="760" w:type="dxa"/>
            <w:vAlign w:val="bottom"/>
            <w:shd w:val="clear" w:color="auto" w:fill="E2EEFA"/>
          </w:tcPr>
          <w:p>
            <w:pPr>
              <w:spacing w:after="0"/>
              <w:rPr>
                <w:sz w:val="20"/>
                <w:szCs w:val="20"/>
                <w:color w:val="auto"/>
              </w:rPr>
            </w:pPr>
            <w:r>
              <w:rPr>
                <w:rFonts w:ascii="Arial" w:cs="Arial" w:eastAsia="Arial" w:hAnsi="Arial"/>
                <w:sz w:val="19"/>
                <w:szCs w:val="19"/>
                <w:b w:val="1"/>
                <w:bCs w:val="1"/>
                <w:color w:val="auto"/>
              </w:rPr>
              <w:t>  No. 1</w:t>
            </w:r>
          </w:p>
        </w:tc>
        <w:tc>
          <w:tcPr>
            <w:tcW w:w="8340" w:type="dxa"/>
            <w:vAlign w:val="bottom"/>
            <w:shd w:val="clear" w:color="auto" w:fill="E2EEFA"/>
          </w:tcPr>
          <w:p>
            <w:pPr>
              <w:ind w:left="80"/>
              <w:spacing w:after="0"/>
              <w:rPr>
                <w:sz w:val="20"/>
                <w:szCs w:val="20"/>
                <w:color w:val="auto"/>
              </w:rPr>
            </w:pPr>
            <w:r>
              <w:rPr>
                <w:rFonts w:ascii="Arial" w:cs="Arial" w:eastAsia="Arial" w:hAnsi="Arial"/>
                <w:sz w:val="19"/>
                <w:szCs w:val="19"/>
                <w:b w:val="1"/>
                <w:bCs w:val="1"/>
                <w:color w:val="auto"/>
              </w:rPr>
              <w:t>By separate resolutions, to elect as directors the nine nominees named in the Proxy</w:t>
            </w:r>
          </w:p>
        </w:tc>
        <w:tc>
          <w:tcPr>
            <w:tcW w:w="1460" w:type="dxa"/>
            <w:vAlign w:val="bottom"/>
            <w:shd w:val="clear" w:color="auto" w:fill="E2EEFA"/>
          </w:tcPr>
          <w:p>
            <w:pPr>
              <w:jc w:val="right"/>
              <w:ind w:right="14"/>
              <w:spacing w:after="0"/>
              <w:rPr>
                <w:sz w:val="20"/>
                <w:szCs w:val="20"/>
                <w:color w:val="auto"/>
              </w:rPr>
            </w:pPr>
            <w:r>
              <w:rPr>
                <w:rFonts w:ascii="Arial" w:cs="Arial" w:eastAsia="Arial" w:hAnsi="Arial"/>
                <w:sz w:val="19"/>
                <w:szCs w:val="19"/>
                <w:b w:val="1"/>
                <w:bCs w:val="1"/>
                <w:color w:val="auto"/>
              </w:rPr>
              <w:t>FOR</w:t>
            </w:r>
          </w:p>
        </w:tc>
      </w:tr>
      <w:tr>
        <w:trPr>
          <w:trHeight w:val="260"/>
        </w:trPr>
        <w:tc>
          <w:tcPr>
            <w:tcW w:w="760" w:type="dxa"/>
            <w:vAlign w:val="bottom"/>
            <w:shd w:val="clear" w:color="auto" w:fill="E2EEFA"/>
          </w:tcPr>
          <w:p>
            <w:pPr>
              <w:spacing w:after="0"/>
              <w:rPr>
                <w:sz w:val="22"/>
                <w:szCs w:val="22"/>
                <w:color w:val="auto"/>
              </w:rPr>
            </w:pPr>
          </w:p>
        </w:tc>
        <w:tc>
          <w:tcPr>
            <w:tcW w:w="8340" w:type="dxa"/>
            <w:vAlign w:val="bottom"/>
            <w:shd w:val="clear" w:color="auto" w:fill="E2EEFA"/>
          </w:tcPr>
          <w:p>
            <w:pPr>
              <w:ind w:left="80"/>
              <w:spacing w:after="0"/>
              <w:rPr>
                <w:sz w:val="20"/>
                <w:szCs w:val="20"/>
                <w:color w:val="auto"/>
              </w:rPr>
            </w:pPr>
            <w:r>
              <w:rPr>
                <w:rFonts w:ascii="Arial" w:cs="Arial" w:eastAsia="Arial" w:hAnsi="Arial"/>
                <w:sz w:val="19"/>
                <w:szCs w:val="19"/>
                <w:b w:val="1"/>
                <w:bCs w:val="1"/>
                <w:color w:val="auto"/>
              </w:rPr>
              <w:t>Statement.</w:t>
            </w:r>
          </w:p>
        </w:tc>
        <w:tc>
          <w:tcPr>
            <w:tcW w:w="1460" w:type="dxa"/>
            <w:vAlign w:val="bottom"/>
            <w:shd w:val="clear" w:color="auto" w:fill="E2EEFA"/>
          </w:tcPr>
          <w:p>
            <w:pPr>
              <w:jc w:val="right"/>
              <w:ind w:right="14"/>
              <w:spacing w:after="0"/>
              <w:rPr>
                <w:sz w:val="20"/>
                <w:szCs w:val="20"/>
                <w:color w:val="auto"/>
              </w:rPr>
            </w:pPr>
            <w:r>
              <w:rPr>
                <w:rFonts w:ascii="Arial" w:cs="Arial" w:eastAsia="Arial" w:hAnsi="Arial"/>
                <w:sz w:val="19"/>
                <w:szCs w:val="19"/>
                <w:b w:val="1"/>
                <w:bCs w:val="1"/>
                <w:color w:val="auto"/>
              </w:rPr>
              <w:t>EACH</w:t>
            </w:r>
          </w:p>
        </w:tc>
      </w:tr>
      <w:tr>
        <w:trPr>
          <w:trHeight w:val="21"/>
        </w:trPr>
        <w:tc>
          <w:tcPr>
            <w:tcW w:w="760" w:type="dxa"/>
            <w:vAlign w:val="bottom"/>
            <w:shd w:val="clear" w:color="auto" w:fill="E2EEFA"/>
          </w:tcPr>
          <w:p>
            <w:pPr>
              <w:spacing w:after="0" w:line="20" w:lineRule="exact"/>
              <w:rPr>
                <w:sz w:val="1"/>
                <w:szCs w:val="1"/>
                <w:color w:val="auto"/>
              </w:rPr>
            </w:pPr>
          </w:p>
        </w:tc>
        <w:tc>
          <w:tcPr>
            <w:tcW w:w="8340" w:type="dxa"/>
            <w:vAlign w:val="bottom"/>
            <w:shd w:val="clear" w:color="auto" w:fill="E2EEFA"/>
          </w:tcPr>
          <w:p>
            <w:pPr>
              <w:spacing w:after="0" w:line="20" w:lineRule="exact"/>
              <w:rPr>
                <w:sz w:val="1"/>
                <w:szCs w:val="1"/>
                <w:color w:val="auto"/>
              </w:rPr>
            </w:pPr>
          </w:p>
        </w:tc>
        <w:tc>
          <w:tcPr>
            <w:tcW w:w="1460" w:type="dxa"/>
            <w:vAlign w:val="bottom"/>
            <w:shd w:val="clear" w:color="auto" w:fill="E2EEFA"/>
          </w:tcPr>
          <w:p>
            <w:pPr>
              <w:spacing w:after="0" w:line="20" w:lineRule="exact"/>
              <w:rPr>
                <w:sz w:val="1"/>
                <w:szCs w:val="1"/>
                <w:color w:val="auto"/>
              </w:rPr>
            </w:pPr>
          </w:p>
        </w:tc>
      </w:tr>
    </w:tbl>
    <w:p>
      <w:pPr>
        <w:spacing w:after="0" w:line="100" w:lineRule="exact"/>
        <w:rPr>
          <w:sz w:val="20"/>
          <w:szCs w:val="20"/>
          <w:color w:val="auto"/>
        </w:rPr>
      </w:pPr>
    </w:p>
    <w:p>
      <w:pPr>
        <w:ind w:left="420" w:right="220"/>
        <w:spacing w:after="0" w:line="276" w:lineRule="auto"/>
        <w:rPr>
          <w:sz w:val="20"/>
          <w:szCs w:val="20"/>
          <w:color w:val="auto"/>
        </w:rPr>
      </w:pPr>
      <w:r>
        <w:rPr>
          <w:rFonts w:ascii="Arial" w:cs="Arial" w:eastAsia="Arial" w:hAnsi="Arial"/>
          <w:sz w:val="17"/>
          <w:szCs w:val="17"/>
          <w:color w:val="auto"/>
        </w:rPr>
        <w:t>Each nominee, if elected, will serve as a director for a term expiring at the next annual general meeting of shareholders and until his or her successor is duly elected and qualified. All of the director nominees are incumbent directors.</w:t>
      </w:r>
    </w:p>
    <w:tbl>
      <w:tblPr>
        <w:tblLayout w:type="fixed"/>
        <w:tblInd w:w="340" w:type="dxa"/>
        <w:tblCellMar>
          <w:top w:w="0" w:type="dxa"/>
          <w:left w:w="0" w:type="dxa"/>
          <w:bottom w:w="0" w:type="dxa"/>
          <w:right w:w="0" w:type="dxa"/>
        </w:tblCellMar>
      </w:tblPr>
      <w:tr>
        <w:trPr>
          <w:trHeight w:val="277"/>
        </w:trPr>
        <w:tc>
          <w:tcPr>
            <w:tcW w:w="760" w:type="dxa"/>
            <w:vAlign w:val="bottom"/>
            <w:tcBorders>
              <w:top w:val="single" w:sz="8" w:color="3E8EDE"/>
            </w:tcBorders>
            <w:shd w:val="clear" w:color="auto" w:fill="E2EEFA"/>
          </w:tcPr>
          <w:p>
            <w:pPr>
              <w:spacing w:after="0"/>
              <w:rPr>
                <w:sz w:val="20"/>
                <w:szCs w:val="20"/>
                <w:color w:val="auto"/>
              </w:rPr>
            </w:pPr>
            <w:r>
              <w:rPr>
                <w:rFonts w:ascii="Arial" w:cs="Arial" w:eastAsia="Arial" w:hAnsi="Arial"/>
                <w:sz w:val="19"/>
                <w:szCs w:val="19"/>
                <w:b w:val="1"/>
                <w:bCs w:val="1"/>
                <w:color w:val="auto"/>
              </w:rPr>
              <w:t>  No. 2</w:t>
            </w:r>
          </w:p>
        </w:tc>
        <w:tc>
          <w:tcPr>
            <w:tcW w:w="8740" w:type="dxa"/>
            <w:vAlign w:val="bottom"/>
            <w:tcBorders>
              <w:top w:val="single" w:sz="8" w:color="E2EEFA"/>
            </w:tcBorders>
            <w:shd w:val="clear" w:color="auto" w:fill="E2EEFA"/>
          </w:tcPr>
          <w:p>
            <w:pPr>
              <w:ind w:left="80"/>
              <w:spacing w:after="0"/>
              <w:rPr>
                <w:sz w:val="20"/>
                <w:szCs w:val="20"/>
                <w:color w:val="auto"/>
              </w:rPr>
            </w:pPr>
            <w:r>
              <w:rPr>
                <w:rFonts w:ascii="Arial" w:cs="Arial" w:eastAsia="Arial" w:hAnsi="Arial"/>
                <w:sz w:val="19"/>
                <w:szCs w:val="19"/>
                <w:b w:val="1"/>
                <w:bCs w:val="1"/>
                <w:color w:val="auto"/>
              </w:rPr>
              <w:t>To ratify the appointment of Ernst &amp; Young LLP as the Company’s independent registered</w:t>
            </w:r>
          </w:p>
        </w:tc>
        <w:tc>
          <w:tcPr>
            <w:tcW w:w="1060" w:type="dxa"/>
            <w:vAlign w:val="bottom"/>
            <w:tcBorders>
              <w:top w:val="single" w:sz="8" w:color="E2EEFA"/>
            </w:tcBorders>
            <w:shd w:val="clear" w:color="auto" w:fill="E2EEFA"/>
          </w:tcPr>
          <w:p>
            <w:pPr>
              <w:ind w:left="560"/>
              <w:spacing w:after="0"/>
              <w:rPr>
                <w:sz w:val="20"/>
                <w:szCs w:val="20"/>
                <w:color w:val="auto"/>
              </w:rPr>
            </w:pPr>
            <w:r>
              <w:rPr>
                <w:rFonts w:ascii="Arial" w:cs="Arial" w:eastAsia="Arial" w:hAnsi="Arial"/>
                <w:sz w:val="19"/>
                <w:szCs w:val="19"/>
                <w:b w:val="1"/>
                <w:bCs w:val="1"/>
                <w:color w:val="auto"/>
              </w:rPr>
              <w:t>FOR</w:t>
            </w:r>
          </w:p>
        </w:tc>
      </w:tr>
      <w:tr>
        <w:trPr>
          <w:trHeight w:val="260"/>
        </w:trPr>
        <w:tc>
          <w:tcPr>
            <w:tcW w:w="760" w:type="dxa"/>
            <w:vAlign w:val="bottom"/>
            <w:shd w:val="clear" w:color="auto" w:fill="E2EEFA"/>
          </w:tcPr>
          <w:p>
            <w:pPr>
              <w:spacing w:after="0"/>
              <w:rPr>
                <w:sz w:val="22"/>
                <w:szCs w:val="22"/>
                <w:color w:val="auto"/>
              </w:rPr>
            </w:pPr>
          </w:p>
        </w:tc>
        <w:tc>
          <w:tcPr>
            <w:tcW w:w="8740" w:type="dxa"/>
            <w:vAlign w:val="bottom"/>
            <w:shd w:val="clear" w:color="auto" w:fill="E2EEFA"/>
          </w:tcPr>
          <w:p>
            <w:pPr>
              <w:ind w:left="80"/>
              <w:spacing w:after="0"/>
              <w:rPr>
                <w:sz w:val="20"/>
                <w:szCs w:val="20"/>
                <w:color w:val="auto"/>
              </w:rPr>
            </w:pPr>
            <w:r>
              <w:rPr>
                <w:rFonts w:ascii="Arial" w:cs="Arial" w:eastAsia="Arial" w:hAnsi="Arial"/>
                <w:sz w:val="19"/>
                <w:szCs w:val="19"/>
                <w:b w:val="1"/>
                <w:bCs w:val="1"/>
                <w:color w:val="auto"/>
              </w:rPr>
              <w:t>public accounting firm for the year ending March 31, 2027.</w:t>
            </w:r>
          </w:p>
        </w:tc>
        <w:tc>
          <w:tcPr>
            <w:tcW w:w="1060" w:type="dxa"/>
            <w:vAlign w:val="bottom"/>
            <w:shd w:val="clear" w:color="auto" w:fill="E2EEFA"/>
          </w:tcPr>
          <w:p>
            <w:pPr>
              <w:spacing w:after="0"/>
              <w:rPr>
                <w:sz w:val="22"/>
                <w:szCs w:val="22"/>
                <w:color w:val="auto"/>
              </w:rPr>
            </w:pPr>
          </w:p>
        </w:tc>
      </w:tr>
      <w:tr>
        <w:trPr>
          <w:trHeight w:val="34"/>
        </w:trPr>
        <w:tc>
          <w:tcPr>
            <w:tcW w:w="760" w:type="dxa"/>
            <w:vAlign w:val="bottom"/>
            <w:shd w:val="clear" w:color="auto" w:fill="E2EEFA"/>
          </w:tcPr>
          <w:p>
            <w:pPr>
              <w:spacing w:after="0"/>
              <w:rPr>
                <w:sz w:val="2"/>
                <w:szCs w:val="2"/>
                <w:color w:val="auto"/>
              </w:rPr>
            </w:pPr>
          </w:p>
        </w:tc>
        <w:tc>
          <w:tcPr>
            <w:tcW w:w="8740" w:type="dxa"/>
            <w:vAlign w:val="bottom"/>
            <w:shd w:val="clear" w:color="auto" w:fill="E2EEFA"/>
          </w:tcPr>
          <w:p>
            <w:pPr>
              <w:spacing w:after="0"/>
              <w:rPr>
                <w:sz w:val="2"/>
                <w:szCs w:val="2"/>
                <w:color w:val="auto"/>
              </w:rPr>
            </w:pPr>
          </w:p>
        </w:tc>
        <w:tc>
          <w:tcPr>
            <w:tcW w:w="1060" w:type="dxa"/>
            <w:vAlign w:val="bottom"/>
            <w:shd w:val="clear" w:color="auto" w:fill="E2EEFA"/>
          </w:tcPr>
          <w:p>
            <w:pPr>
              <w:spacing w:after="0"/>
              <w:rPr>
                <w:sz w:val="2"/>
                <w:szCs w:val="2"/>
                <w:color w:val="auto"/>
              </w:rPr>
            </w:pPr>
          </w:p>
        </w:tc>
      </w:tr>
    </w:tbl>
    <w:p>
      <w:pPr>
        <w:spacing w:after="0" w:line="100" w:lineRule="exact"/>
        <w:rPr>
          <w:sz w:val="20"/>
          <w:szCs w:val="20"/>
          <w:color w:val="auto"/>
        </w:rPr>
      </w:pPr>
    </w:p>
    <w:p>
      <w:pPr>
        <w:ind w:left="420" w:right="240"/>
        <w:spacing w:after="0" w:line="247" w:lineRule="auto"/>
        <w:rPr>
          <w:sz w:val="20"/>
          <w:szCs w:val="20"/>
          <w:color w:val="auto"/>
        </w:rPr>
      </w:pPr>
      <w:r>
        <w:rPr>
          <w:rFonts w:ascii="Arial" w:cs="Arial" w:eastAsia="Arial" w:hAnsi="Arial"/>
          <w:sz w:val="17"/>
          <w:szCs w:val="17"/>
          <w:color w:val="auto"/>
        </w:rPr>
        <w:t>Our Audit Committee has appointed Ernst &amp; Young LLP as the independent registered public accounting firm to audit our books and records for the year ending March 31, 2027. Ernst &amp; Young LLP has acted as auditor for our predecessor since our predecessor was re-registered as a public limited company under the laws of England and Wales in November 2015 and previously served as auditor of STERIS Corporation. We are offering shareholders the opportunity to ratify the appointment of our independent registered public accounting firm as a matter of good corporate governance practice.</w:t>
      </w:r>
    </w:p>
    <w:p>
      <w:pPr>
        <w:spacing w:after="0" w:line="14" w:lineRule="exact"/>
        <w:rPr>
          <w:sz w:val="20"/>
          <w:szCs w:val="20"/>
          <w:color w:val="auto"/>
        </w:rPr>
      </w:pPr>
    </w:p>
    <w:tbl>
      <w:tblPr>
        <w:tblLayout w:type="fixed"/>
        <w:tblInd w:w="340" w:type="dxa"/>
        <w:tblCellMar>
          <w:top w:w="0" w:type="dxa"/>
          <w:left w:w="0" w:type="dxa"/>
          <w:bottom w:w="0" w:type="dxa"/>
          <w:right w:w="0" w:type="dxa"/>
        </w:tblCellMar>
      </w:tblPr>
      <w:tr>
        <w:trPr>
          <w:trHeight w:val="289"/>
        </w:trPr>
        <w:tc>
          <w:tcPr>
            <w:tcW w:w="760" w:type="dxa"/>
            <w:vAlign w:val="bottom"/>
            <w:tcBorders>
              <w:top w:val="single" w:sz="8" w:color="3E8EDE"/>
            </w:tcBorders>
            <w:shd w:val="clear" w:color="auto" w:fill="E2EEFA"/>
          </w:tcPr>
          <w:p>
            <w:pPr>
              <w:spacing w:after="0"/>
              <w:rPr>
                <w:sz w:val="20"/>
                <w:szCs w:val="20"/>
                <w:color w:val="auto"/>
              </w:rPr>
            </w:pPr>
            <w:r>
              <w:rPr>
                <w:rFonts w:ascii="Arial" w:cs="Arial" w:eastAsia="Arial" w:hAnsi="Arial"/>
                <w:sz w:val="19"/>
                <w:szCs w:val="19"/>
                <w:b w:val="1"/>
                <w:bCs w:val="1"/>
                <w:color w:val="auto"/>
              </w:rPr>
              <w:t>  No. 3</w:t>
            </w:r>
          </w:p>
        </w:tc>
        <w:tc>
          <w:tcPr>
            <w:tcW w:w="8760" w:type="dxa"/>
            <w:vAlign w:val="bottom"/>
            <w:tcBorders>
              <w:top w:val="single" w:sz="8" w:color="E2EEFA"/>
            </w:tcBorders>
            <w:shd w:val="clear" w:color="auto" w:fill="E2EEFA"/>
          </w:tcPr>
          <w:p>
            <w:pPr>
              <w:ind w:left="80"/>
              <w:spacing w:after="0"/>
              <w:rPr>
                <w:sz w:val="20"/>
                <w:szCs w:val="20"/>
                <w:color w:val="auto"/>
              </w:rPr>
            </w:pPr>
            <w:r>
              <w:rPr>
                <w:rFonts w:ascii="Arial" w:cs="Arial" w:eastAsia="Arial" w:hAnsi="Arial"/>
                <w:sz w:val="19"/>
                <w:szCs w:val="19"/>
                <w:b w:val="1"/>
                <w:bCs w:val="1"/>
                <w:color w:val="auto"/>
              </w:rPr>
              <w:t>To appoint Ernst &amp; Young Chartered Accountants as the Company’s Irish statutory auditor</w:t>
            </w:r>
          </w:p>
        </w:tc>
        <w:tc>
          <w:tcPr>
            <w:tcW w:w="1040" w:type="dxa"/>
            <w:vAlign w:val="bottom"/>
            <w:tcBorders>
              <w:top w:val="single" w:sz="8" w:color="E2EEFA"/>
            </w:tcBorders>
            <w:shd w:val="clear" w:color="auto" w:fill="E2EEFA"/>
          </w:tcPr>
          <w:p>
            <w:pPr>
              <w:ind w:left="540"/>
              <w:spacing w:after="0"/>
              <w:rPr>
                <w:sz w:val="20"/>
                <w:szCs w:val="20"/>
                <w:color w:val="auto"/>
              </w:rPr>
            </w:pPr>
            <w:r>
              <w:rPr>
                <w:rFonts w:ascii="Arial" w:cs="Arial" w:eastAsia="Arial" w:hAnsi="Arial"/>
                <w:sz w:val="19"/>
                <w:szCs w:val="19"/>
                <w:b w:val="1"/>
                <w:bCs w:val="1"/>
                <w:color w:val="auto"/>
              </w:rPr>
              <w:t>FOR</w:t>
            </w:r>
          </w:p>
        </w:tc>
      </w:tr>
      <w:tr>
        <w:trPr>
          <w:trHeight w:val="260"/>
        </w:trPr>
        <w:tc>
          <w:tcPr>
            <w:tcW w:w="760" w:type="dxa"/>
            <w:vAlign w:val="bottom"/>
            <w:shd w:val="clear" w:color="auto" w:fill="E2EEFA"/>
          </w:tcPr>
          <w:p>
            <w:pPr>
              <w:spacing w:after="0"/>
              <w:rPr>
                <w:sz w:val="22"/>
                <w:szCs w:val="22"/>
                <w:color w:val="auto"/>
              </w:rPr>
            </w:pPr>
          </w:p>
        </w:tc>
        <w:tc>
          <w:tcPr>
            <w:tcW w:w="8760" w:type="dxa"/>
            <w:vAlign w:val="bottom"/>
            <w:shd w:val="clear" w:color="auto" w:fill="E2EEFA"/>
          </w:tcPr>
          <w:p>
            <w:pPr>
              <w:ind w:left="80"/>
              <w:spacing w:after="0"/>
              <w:rPr>
                <w:sz w:val="20"/>
                <w:szCs w:val="20"/>
                <w:color w:val="auto"/>
              </w:rPr>
            </w:pPr>
            <w:r>
              <w:rPr>
                <w:rFonts w:ascii="Arial" w:cs="Arial" w:eastAsia="Arial" w:hAnsi="Arial"/>
                <w:sz w:val="19"/>
                <w:szCs w:val="19"/>
                <w:b w:val="1"/>
                <w:bCs w:val="1"/>
                <w:color w:val="auto"/>
              </w:rPr>
              <w:t>to hold office until the conclusion of the Company’s next annual general meeting.</w:t>
            </w:r>
          </w:p>
        </w:tc>
        <w:tc>
          <w:tcPr>
            <w:tcW w:w="1040" w:type="dxa"/>
            <w:vAlign w:val="bottom"/>
            <w:shd w:val="clear" w:color="auto" w:fill="E2EEFA"/>
          </w:tcPr>
          <w:p>
            <w:pPr>
              <w:spacing w:after="0"/>
              <w:rPr>
                <w:sz w:val="22"/>
                <w:szCs w:val="22"/>
                <w:color w:val="auto"/>
              </w:rPr>
            </w:pPr>
          </w:p>
        </w:tc>
      </w:tr>
      <w:tr>
        <w:trPr>
          <w:trHeight w:val="34"/>
        </w:trPr>
        <w:tc>
          <w:tcPr>
            <w:tcW w:w="760" w:type="dxa"/>
            <w:vAlign w:val="bottom"/>
            <w:shd w:val="clear" w:color="auto" w:fill="E2EEFA"/>
          </w:tcPr>
          <w:p>
            <w:pPr>
              <w:spacing w:after="0"/>
              <w:rPr>
                <w:sz w:val="2"/>
                <w:szCs w:val="2"/>
                <w:color w:val="auto"/>
              </w:rPr>
            </w:pPr>
          </w:p>
        </w:tc>
        <w:tc>
          <w:tcPr>
            <w:tcW w:w="8760" w:type="dxa"/>
            <w:vAlign w:val="bottom"/>
            <w:shd w:val="clear" w:color="auto" w:fill="E2EEFA"/>
          </w:tcPr>
          <w:p>
            <w:pPr>
              <w:spacing w:after="0"/>
              <w:rPr>
                <w:sz w:val="2"/>
                <w:szCs w:val="2"/>
                <w:color w:val="auto"/>
              </w:rPr>
            </w:pPr>
          </w:p>
        </w:tc>
        <w:tc>
          <w:tcPr>
            <w:tcW w:w="1040" w:type="dxa"/>
            <w:vAlign w:val="bottom"/>
            <w:shd w:val="clear" w:color="auto" w:fill="E2EEFA"/>
          </w:tcPr>
          <w:p>
            <w:pPr>
              <w:spacing w:after="0"/>
              <w:rPr>
                <w:sz w:val="2"/>
                <w:szCs w:val="2"/>
                <w:color w:val="auto"/>
              </w:rPr>
            </w:pPr>
          </w:p>
        </w:tc>
      </w:tr>
    </w:tbl>
    <w:p>
      <w:pPr>
        <w:spacing w:after="0" w:line="100" w:lineRule="exact"/>
        <w:rPr>
          <w:sz w:val="20"/>
          <w:szCs w:val="20"/>
          <w:color w:val="auto"/>
        </w:rPr>
      </w:pPr>
    </w:p>
    <w:p>
      <w:pPr>
        <w:ind w:left="420" w:right="140"/>
        <w:spacing w:after="0" w:line="244" w:lineRule="auto"/>
        <w:rPr>
          <w:sz w:val="20"/>
          <w:szCs w:val="20"/>
          <w:color w:val="auto"/>
        </w:rPr>
      </w:pPr>
      <w:r>
        <w:rPr>
          <w:rFonts w:ascii="Arial" w:cs="Arial" w:eastAsia="Arial" w:hAnsi="Arial"/>
          <w:sz w:val="17"/>
          <w:szCs w:val="17"/>
          <w:color w:val="auto"/>
        </w:rPr>
        <w:t>The Irish Companies Act requires that statutory auditor(s) be appointed at each annual general meeting of shareholders, to hold office from the conclusion of the annual general meeting until the conclusion of the next annual general meeting. Our Audit Committee has recommended that Ernst &amp; Young Chartered Accountants be appointed as our Irish statutory auditor to hold office from the conclusion of the Annual Meeting of the shareholders of the Company until the conclusion of the next annual general meeting of the shareholders of the Company. Ernst &amp; Young Chartered Accountants are based in Dublin and are affiliated with Ernst &amp; Young LLP, who served as our predecessor’s U.K. statutory auditor from 2015 to 2019. If this proposal is not approved by the shareholders, the Board may appoint the Irish statutory auditor.</w:t>
      </w:r>
    </w:p>
    <w:p>
      <w:pPr>
        <w:spacing w:after="0" w:line="17" w:lineRule="exact"/>
        <w:rPr>
          <w:sz w:val="20"/>
          <w:szCs w:val="20"/>
          <w:color w:val="auto"/>
        </w:rPr>
      </w:pPr>
    </w:p>
    <w:tbl>
      <w:tblPr>
        <w:tblLayout w:type="fixed"/>
        <w:tblInd w:w="340" w:type="dxa"/>
        <w:tblCellMar>
          <w:top w:w="0" w:type="dxa"/>
          <w:left w:w="0" w:type="dxa"/>
          <w:bottom w:w="0" w:type="dxa"/>
          <w:right w:w="0" w:type="dxa"/>
        </w:tblCellMar>
      </w:tblPr>
      <w:tr>
        <w:trPr>
          <w:trHeight w:val="289"/>
        </w:trPr>
        <w:tc>
          <w:tcPr>
            <w:tcW w:w="760" w:type="dxa"/>
            <w:vAlign w:val="bottom"/>
            <w:tcBorders>
              <w:top w:val="single" w:sz="8" w:color="3E8EDE"/>
            </w:tcBorders>
            <w:shd w:val="clear" w:color="auto" w:fill="E2EEFA"/>
          </w:tcPr>
          <w:p>
            <w:pPr>
              <w:spacing w:after="0"/>
              <w:rPr>
                <w:sz w:val="20"/>
                <w:szCs w:val="20"/>
                <w:color w:val="auto"/>
              </w:rPr>
            </w:pPr>
            <w:r>
              <w:rPr>
                <w:rFonts w:ascii="Arial" w:cs="Arial" w:eastAsia="Arial" w:hAnsi="Arial"/>
                <w:sz w:val="19"/>
                <w:szCs w:val="19"/>
                <w:b w:val="1"/>
                <w:bCs w:val="1"/>
                <w:color w:val="auto"/>
              </w:rPr>
              <w:t>  No. 4</w:t>
            </w:r>
          </w:p>
        </w:tc>
        <w:tc>
          <w:tcPr>
            <w:tcW w:w="8800" w:type="dxa"/>
            <w:vAlign w:val="bottom"/>
            <w:tcBorders>
              <w:top w:val="single" w:sz="8" w:color="E2EEFA"/>
            </w:tcBorders>
            <w:shd w:val="clear" w:color="auto" w:fill="E2EEFA"/>
          </w:tcPr>
          <w:p>
            <w:pPr>
              <w:ind w:left="80"/>
              <w:spacing w:after="0"/>
              <w:rPr>
                <w:sz w:val="20"/>
                <w:szCs w:val="20"/>
                <w:color w:val="auto"/>
              </w:rPr>
            </w:pPr>
            <w:r>
              <w:rPr>
                <w:rFonts w:ascii="Arial" w:cs="Arial" w:eastAsia="Arial" w:hAnsi="Arial"/>
                <w:sz w:val="19"/>
                <w:szCs w:val="19"/>
                <w:b w:val="1"/>
                <w:bCs w:val="1"/>
                <w:color w:val="auto"/>
              </w:rPr>
              <w:t>To authorize the Board of Directors of the Company or the Audit Committee of the Board to</w:t>
            </w:r>
          </w:p>
        </w:tc>
        <w:tc>
          <w:tcPr>
            <w:tcW w:w="1000" w:type="dxa"/>
            <w:vAlign w:val="bottom"/>
            <w:tcBorders>
              <w:top w:val="single" w:sz="8" w:color="E2EEFA"/>
            </w:tcBorders>
            <w:shd w:val="clear" w:color="auto" w:fill="E2EEFA"/>
          </w:tcPr>
          <w:p>
            <w:pPr>
              <w:ind w:left="500"/>
              <w:spacing w:after="0"/>
              <w:rPr>
                <w:sz w:val="20"/>
                <w:szCs w:val="20"/>
                <w:color w:val="auto"/>
              </w:rPr>
            </w:pPr>
            <w:r>
              <w:rPr>
                <w:rFonts w:ascii="Arial" w:cs="Arial" w:eastAsia="Arial" w:hAnsi="Arial"/>
                <w:sz w:val="19"/>
                <w:szCs w:val="19"/>
                <w:b w:val="1"/>
                <w:bCs w:val="1"/>
                <w:color w:val="auto"/>
              </w:rPr>
              <w:t>FOR</w:t>
            </w:r>
          </w:p>
        </w:tc>
      </w:tr>
      <w:tr>
        <w:trPr>
          <w:trHeight w:val="207"/>
        </w:trPr>
        <w:tc>
          <w:tcPr>
            <w:tcW w:w="760" w:type="dxa"/>
            <w:vAlign w:val="bottom"/>
            <w:shd w:val="clear" w:color="auto" w:fill="E2EEFA"/>
          </w:tcPr>
          <w:p>
            <w:pPr>
              <w:spacing w:after="0"/>
              <w:rPr>
                <w:sz w:val="18"/>
                <w:szCs w:val="18"/>
                <w:color w:val="auto"/>
              </w:rPr>
            </w:pPr>
          </w:p>
        </w:tc>
        <w:tc>
          <w:tcPr>
            <w:tcW w:w="8800" w:type="dxa"/>
            <w:vAlign w:val="bottom"/>
            <w:shd w:val="clear" w:color="auto" w:fill="E2EEFA"/>
          </w:tcPr>
          <w:p>
            <w:pPr>
              <w:ind w:left="80"/>
              <w:spacing w:after="0" w:line="207" w:lineRule="exact"/>
              <w:rPr>
                <w:sz w:val="20"/>
                <w:szCs w:val="20"/>
                <w:color w:val="auto"/>
              </w:rPr>
            </w:pPr>
            <w:r>
              <w:rPr>
                <w:rFonts w:ascii="Arial" w:cs="Arial" w:eastAsia="Arial" w:hAnsi="Arial"/>
                <w:sz w:val="19"/>
                <w:szCs w:val="19"/>
                <w:b w:val="1"/>
                <w:bCs w:val="1"/>
                <w:color w:val="auto"/>
              </w:rPr>
              <w:t>determine the remuneration of Ernst &amp; Young Chartered Accountants as the Company’s</w:t>
            </w:r>
          </w:p>
        </w:tc>
        <w:tc>
          <w:tcPr>
            <w:tcW w:w="1000" w:type="dxa"/>
            <w:vAlign w:val="bottom"/>
            <w:shd w:val="clear" w:color="auto" w:fill="E2EEFA"/>
          </w:tcPr>
          <w:p>
            <w:pPr>
              <w:spacing w:after="0"/>
              <w:rPr>
                <w:sz w:val="18"/>
                <w:szCs w:val="18"/>
                <w:color w:val="auto"/>
              </w:rPr>
            </w:pPr>
          </w:p>
        </w:tc>
      </w:tr>
      <w:tr>
        <w:trPr>
          <w:trHeight w:val="260"/>
        </w:trPr>
        <w:tc>
          <w:tcPr>
            <w:tcW w:w="760" w:type="dxa"/>
            <w:vAlign w:val="bottom"/>
            <w:shd w:val="clear" w:color="auto" w:fill="E2EEFA"/>
          </w:tcPr>
          <w:p>
            <w:pPr>
              <w:spacing w:after="0"/>
              <w:rPr>
                <w:sz w:val="22"/>
                <w:szCs w:val="22"/>
                <w:color w:val="auto"/>
              </w:rPr>
            </w:pPr>
          </w:p>
        </w:tc>
        <w:tc>
          <w:tcPr>
            <w:tcW w:w="8800" w:type="dxa"/>
            <w:vAlign w:val="bottom"/>
            <w:shd w:val="clear" w:color="auto" w:fill="E2EEFA"/>
          </w:tcPr>
          <w:p>
            <w:pPr>
              <w:ind w:left="80"/>
              <w:spacing w:after="0"/>
              <w:rPr>
                <w:sz w:val="20"/>
                <w:szCs w:val="20"/>
                <w:color w:val="auto"/>
              </w:rPr>
            </w:pPr>
            <w:r>
              <w:rPr>
                <w:rFonts w:ascii="Arial" w:cs="Arial" w:eastAsia="Arial" w:hAnsi="Arial"/>
                <w:sz w:val="19"/>
                <w:szCs w:val="19"/>
                <w:b w:val="1"/>
                <w:bCs w:val="1"/>
                <w:color w:val="auto"/>
              </w:rPr>
              <w:t>Irish statutory auditor.</w:t>
            </w:r>
          </w:p>
        </w:tc>
        <w:tc>
          <w:tcPr>
            <w:tcW w:w="1000" w:type="dxa"/>
            <w:vAlign w:val="bottom"/>
            <w:shd w:val="clear" w:color="auto" w:fill="E2EEFA"/>
          </w:tcPr>
          <w:p>
            <w:pPr>
              <w:spacing w:after="0"/>
              <w:rPr>
                <w:sz w:val="22"/>
                <w:szCs w:val="22"/>
                <w:color w:val="auto"/>
              </w:rPr>
            </w:pPr>
          </w:p>
        </w:tc>
      </w:tr>
      <w:tr>
        <w:trPr>
          <w:trHeight w:val="34"/>
        </w:trPr>
        <w:tc>
          <w:tcPr>
            <w:tcW w:w="760" w:type="dxa"/>
            <w:vAlign w:val="bottom"/>
            <w:shd w:val="clear" w:color="auto" w:fill="E2EEFA"/>
          </w:tcPr>
          <w:p>
            <w:pPr>
              <w:spacing w:after="0"/>
              <w:rPr>
                <w:sz w:val="2"/>
                <w:szCs w:val="2"/>
                <w:color w:val="auto"/>
              </w:rPr>
            </w:pPr>
          </w:p>
        </w:tc>
        <w:tc>
          <w:tcPr>
            <w:tcW w:w="8800" w:type="dxa"/>
            <w:vAlign w:val="bottom"/>
            <w:shd w:val="clear" w:color="auto" w:fill="E2EEFA"/>
          </w:tcPr>
          <w:p>
            <w:pPr>
              <w:spacing w:after="0"/>
              <w:rPr>
                <w:sz w:val="2"/>
                <w:szCs w:val="2"/>
                <w:color w:val="auto"/>
              </w:rPr>
            </w:pPr>
          </w:p>
        </w:tc>
        <w:tc>
          <w:tcPr>
            <w:tcW w:w="1000" w:type="dxa"/>
            <w:vAlign w:val="bottom"/>
            <w:shd w:val="clear" w:color="auto" w:fill="E2EEFA"/>
          </w:tcPr>
          <w:p>
            <w:pPr>
              <w:spacing w:after="0"/>
              <w:rPr>
                <w:sz w:val="2"/>
                <w:szCs w:val="2"/>
                <w:color w:val="auto"/>
              </w:rPr>
            </w:pPr>
          </w:p>
        </w:tc>
      </w:tr>
    </w:tbl>
    <w:p>
      <w:pPr>
        <w:spacing w:after="0" w:line="100" w:lineRule="exact"/>
        <w:rPr>
          <w:sz w:val="20"/>
          <w:szCs w:val="20"/>
          <w:color w:val="auto"/>
        </w:rPr>
      </w:pPr>
    </w:p>
    <w:p>
      <w:pPr>
        <w:ind w:left="420" w:right="120"/>
        <w:spacing w:after="0" w:line="257" w:lineRule="auto"/>
        <w:rPr>
          <w:sz w:val="20"/>
          <w:szCs w:val="20"/>
          <w:color w:val="auto"/>
        </w:rPr>
      </w:pPr>
      <w:r>
        <w:rPr>
          <w:rFonts w:ascii="Arial" w:cs="Arial" w:eastAsia="Arial" w:hAnsi="Arial"/>
          <w:sz w:val="17"/>
          <w:szCs w:val="17"/>
          <w:color w:val="auto"/>
        </w:rPr>
        <w:t>Under the Irish Companies Act, the remuneration of the Irish statutory auditor must be fixed by the shareholders at a general meeting or in such other manner as the shareholders may determine thereat. This resolution authorizes our Board or the Audit Committee of our Board to determine the remuneration of Ernst &amp; Young Chartered Accountants as the Company’s Irish statutory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39370</wp:posOffset>
            </wp:positionV>
            <wp:extent cx="67100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7</w:t>
      </w:r>
    </w:p>
    <w:p>
      <w:pPr>
        <w:sectPr>
          <w:pgSz w:w="11900" w:h="16838" w:orient="portrait"/>
          <w:cols w:equalWidth="0" w:num="1">
            <w:col w:w="10900"/>
          </w:cols>
          <w:pgMar w:left="320" w:top="469" w:right="6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Arial" w:cs="Arial" w:eastAsia="Arial" w:hAnsi="Arial"/>
                <w:sz w:val="17"/>
                <w:szCs w:val="17"/>
                <w:b w:val="1"/>
                <w:bCs w:val="1"/>
                <w:color w:val="auto"/>
              </w:rPr>
              <w:t> </w:t>
            </w:r>
          </w:p>
        </w:tc>
        <w:tc>
          <w:tcPr>
            <w:tcW w:w="9800" w:type="dxa"/>
            <w:vAlign w:val="bottom"/>
            <w:gridSpan w:val="2"/>
          </w:tcPr>
          <w:p>
            <w:pPr>
              <w:ind w:left="4080"/>
              <w:spacing w:after="0"/>
              <w:rPr>
                <w:sz w:val="20"/>
                <w:szCs w:val="20"/>
                <w:color w:val="auto"/>
              </w:rPr>
            </w:pPr>
            <w:r>
              <w:rPr>
                <w:rFonts w:ascii="Arial" w:cs="Arial" w:eastAsia="Arial" w:hAnsi="Arial"/>
                <w:sz w:val="16"/>
                <w:szCs w:val="16"/>
                <w:b w:val="1"/>
                <w:bCs w:val="1"/>
                <w:color w:val="3E8EDE"/>
                <w:w w:val="96"/>
              </w:rPr>
              <w:t xml:space="preserve">Proxy Summary: </w:t>
            </w:r>
            <w:r>
              <w:rPr>
                <w:rFonts w:ascii="Arial" w:cs="Arial" w:eastAsia="Arial" w:hAnsi="Arial"/>
                <w:sz w:val="16"/>
                <w:szCs w:val="16"/>
                <w:b w:val="1"/>
                <w:bCs w:val="1"/>
                <w:color w:val="000000"/>
                <w:w w:val="96"/>
              </w:rPr>
              <w:t>Summary of Voting Proposals and Board Recommendations</w:t>
            </w:r>
          </w:p>
        </w:tc>
      </w:tr>
      <w:tr>
        <w:trPr>
          <w:trHeight w:val="27"/>
        </w:trPr>
        <w:tc>
          <w:tcPr>
            <w:tcW w:w="760" w:type="dxa"/>
            <w:vAlign w:val="bottom"/>
            <w:tcBorders>
              <w:bottom w:val="single" w:sz="8" w:color="3E8EDE"/>
            </w:tcBorders>
          </w:tcPr>
          <w:p>
            <w:pPr>
              <w:spacing w:after="0"/>
              <w:rPr>
                <w:sz w:val="2"/>
                <w:szCs w:val="2"/>
                <w:color w:val="auto"/>
              </w:rPr>
            </w:pPr>
          </w:p>
        </w:tc>
        <w:tc>
          <w:tcPr>
            <w:tcW w:w="8340" w:type="dxa"/>
            <w:vAlign w:val="bottom"/>
            <w:tcBorders>
              <w:bottom w:val="single" w:sz="8" w:color="3E8EDE"/>
            </w:tcBorders>
          </w:tcPr>
          <w:p>
            <w:pPr>
              <w:spacing w:after="0"/>
              <w:rPr>
                <w:sz w:val="2"/>
                <w:szCs w:val="2"/>
                <w:color w:val="auto"/>
              </w:rPr>
            </w:pPr>
          </w:p>
        </w:tc>
        <w:tc>
          <w:tcPr>
            <w:tcW w:w="1460" w:type="dxa"/>
            <w:vAlign w:val="bottom"/>
            <w:tcBorders>
              <w:bottom w:val="single" w:sz="8" w:color="3E8EDE"/>
            </w:tcBorders>
          </w:tcPr>
          <w:p>
            <w:pPr>
              <w:spacing w:after="0"/>
              <w:rPr>
                <w:sz w:val="2"/>
                <w:szCs w:val="2"/>
                <w:color w:val="auto"/>
              </w:rPr>
            </w:pPr>
          </w:p>
        </w:tc>
      </w:tr>
      <w:tr>
        <w:trPr>
          <w:trHeight w:val="174"/>
        </w:trPr>
        <w:tc>
          <w:tcPr>
            <w:tcW w:w="76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3"/>
        </w:trPr>
        <w:tc>
          <w:tcPr>
            <w:tcW w:w="760" w:type="dxa"/>
            <w:vAlign w:val="bottom"/>
            <w:shd w:val="clear" w:color="auto" w:fill="3E8EDE"/>
          </w:tcPr>
          <w:p>
            <w:pPr>
              <w:ind w:left="80"/>
              <w:spacing w:after="0"/>
              <w:rPr>
                <w:sz w:val="20"/>
                <w:szCs w:val="20"/>
                <w:color w:val="auto"/>
              </w:rPr>
            </w:pPr>
            <w:r>
              <w:rPr>
                <w:rFonts w:ascii="Arial" w:cs="Arial" w:eastAsia="Arial" w:hAnsi="Arial"/>
                <w:sz w:val="16"/>
                <w:szCs w:val="16"/>
                <w:b w:val="1"/>
                <w:bCs w:val="1"/>
                <w:color w:val="FFFFFF"/>
                <w:w w:val="96"/>
              </w:rPr>
              <w:t>Proposal</w:t>
            </w:r>
          </w:p>
        </w:tc>
        <w:tc>
          <w:tcPr>
            <w:tcW w:w="8340" w:type="dxa"/>
            <w:vAlign w:val="bottom"/>
            <w:shd w:val="clear" w:color="auto" w:fill="3E8EDE"/>
          </w:tcPr>
          <w:p>
            <w:pPr>
              <w:spacing w:after="0"/>
              <w:rPr>
                <w:sz w:val="16"/>
                <w:szCs w:val="16"/>
                <w:color w:val="auto"/>
              </w:rPr>
            </w:pPr>
          </w:p>
        </w:tc>
        <w:tc>
          <w:tcPr>
            <w:tcW w:w="1460" w:type="dxa"/>
            <w:vAlign w:val="bottom"/>
            <w:shd w:val="clear" w:color="auto" w:fill="3E8EDE"/>
          </w:tcPr>
          <w:p>
            <w:pPr>
              <w:jc w:val="right"/>
              <w:ind w:right="17"/>
              <w:spacing w:after="0"/>
              <w:rPr>
                <w:sz w:val="20"/>
                <w:szCs w:val="20"/>
                <w:color w:val="auto"/>
              </w:rPr>
            </w:pPr>
            <w:r>
              <w:rPr>
                <w:rFonts w:ascii="Arial" w:cs="Arial" w:eastAsia="Arial" w:hAnsi="Arial"/>
                <w:sz w:val="16"/>
                <w:szCs w:val="16"/>
                <w:b w:val="1"/>
                <w:bCs w:val="1"/>
                <w:color w:val="FFFFFF"/>
              </w:rPr>
              <w:t>Board Voting</w:t>
            </w:r>
          </w:p>
        </w:tc>
      </w:tr>
      <w:tr>
        <w:trPr>
          <w:trHeight w:val="221"/>
        </w:trPr>
        <w:tc>
          <w:tcPr>
            <w:tcW w:w="760" w:type="dxa"/>
            <w:vAlign w:val="bottom"/>
            <w:shd w:val="clear" w:color="auto" w:fill="3E8EDE"/>
          </w:tcPr>
          <w:p>
            <w:pPr>
              <w:ind w:left="80"/>
              <w:spacing w:after="0"/>
              <w:rPr>
                <w:sz w:val="20"/>
                <w:szCs w:val="20"/>
                <w:color w:val="auto"/>
              </w:rPr>
            </w:pPr>
            <w:r>
              <w:rPr>
                <w:rFonts w:ascii="Arial" w:cs="Arial" w:eastAsia="Arial" w:hAnsi="Arial"/>
                <w:sz w:val="16"/>
                <w:szCs w:val="16"/>
                <w:b w:val="1"/>
                <w:bCs w:val="1"/>
                <w:color w:val="FFFFFF"/>
              </w:rPr>
              <w:t>Number</w:t>
            </w:r>
          </w:p>
        </w:tc>
        <w:tc>
          <w:tcPr>
            <w:tcW w:w="8340" w:type="dxa"/>
            <w:vAlign w:val="bottom"/>
            <w:shd w:val="clear" w:color="auto" w:fill="3E8EDE"/>
          </w:tcPr>
          <w:p>
            <w:pPr>
              <w:ind w:left="3880"/>
              <w:spacing w:after="0"/>
              <w:rPr>
                <w:sz w:val="20"/>
                <w:szCs w:val="20"/>
                <w:color w:val="auto"/>
              </w:rPr>
            </w:pPr>
            <w:r>
              <w:rPr>
                <w:rFonts w:ascii="Arial" w:cs="Arial" w:eastAsia="Arial" w:hAnsi="Arial"/>
                <w:sz w:val="16"/>
                <w:szCs w:val="16"/>
                <w:b w:val="1"/>
                <w:bCs w:val="1"/>
                <w:color w:val="FFFFFF"/>
              </w:rPr>
              <w:t>Proposal</w:t>
            </w:r>
          </w:p>
        </w:tc>
        <w:tc>
          <w:tcPr>
            <w:tcW w:w="1460" w:type="dxa"/>
            <w:vAlign w:val="bottom"/>
            <w:shd w:val="clear" w:color="auto" w:fill="3E8EDE"/>
          </w:tcPr>
          <w:p>
            <w:pPr>
              <w:jc w:val="right"/>
              <w:ind w:right="17"/>
              <w:spacing w:after="0"/>
              <w:rPr>
                <w:sz w:val="20"/>
                <w:szCs w:val="20"/>
                <w:color w:val="auto"/>
              </w:rPr>
            </w:pPr>
            <w:r>
              <w:rPr>
                <w:rFonts w:ascii="Arial" w:cs="Arial" w:eastAsia="Arial" w:hAnsi="Arial"/>
                <w:sz w:val="16"/>
                <w:szCs w:val="16"/>
                <w:b w:val="1"/>
                <w:bCs w:val="1"/>
                <w:color w:val="FFFFFF"/>
                <w:w w:val="99"/>
              </w:rPr>
              <w:t>Recommendation</w:t>
            </w:r>
          </w:p>
        </w:tc>
      </w:tr>
      <w:tr>
        <w:trPr>
          <w:trHeight w:val="238"/>
        </w:trPr>
        <w:tc>
          <w:tcPr>
            <w:tcW w:w="760" w:type="dxa"/>
            <w:vAlign w:val="bottom"/>
            <w:shd w:val="clear" w:color="auto" w:fill="E2EEFA"/>
          </w:tcPr>
          <w:p>
            <w:pPr>
              <w:spacing w:after="0"/>
              <w:rPr>
                <w:sz w:val="20"/>
                <w:szCs w:val="20"/>
                <w:color w:val="auto"/>
              </w:rPr>
            </w:pPr>
            <w:r>
              <w:rPr>
                <w:rFonts w:ascii="Arial" w:cs="Arial" w:eastAsia="Arial" w:hAnsi="Arial"/>
                <w:sz w:val="19"/>
                <w:szCs w:val="19"/>
                <w:b w:val="1"/>
                <w:bCs w:val="1"/>
                <w:color w:val="auto"/>
              </w:rPr>
              <w:t>  No. 5</w:t>
            </w:r>
          </w:p>
        </w:tc>
        <w:tc>
          <w:tcPr>
            <w:tcW w:w="8340" w:type="dxa"/>
            <w:vAlign w:val="bottom"/>
            <w:shd w:val="clear" w:color="auto" w:fill="E2EEFA"/>
          </w:tcPr>
          <w:p>
            <w:pPr>
              <w:ind w:left="80"/>
              <w:spacing w:after="0"/>
              <w:rPr>
                <w:sz w:val="20"/>
                <w:szCs w:val="20"/>
                <w:color w:val="auto"/>
              </w:rPr>
            </w:pPr>
            <w:r>
              <w:rPr>
                <w:rFonts w:ascii="Arial" w:cs="Arial" w:eastAsia="Arial" w:hAnsi="Arial"/>
                <w:sz w:val="19"/>
                <w:szCs w:val="19"/>
                <w:b w:val="1"/>
                <w:bCs w:val="1"/>
                <w:color w:val="auto"/>
              </w:rPr>
              <w:t>To approve, on a non-binding advisory basis, the compensation of the Company’s named</w:t>
            </w:r>
          </w:p>
        </w:tc>
        <w:tc>
          <w:tcPr>
            <w:tcW w:w="1460" w:type="dxa"/>
            <w:vAlign w:val="bottom"/>
            <w:shd w:val="clear" w:color="auto" w:fill="E2EEFA"/>
          </w:tcPr>
          <w:p>
            <w:pPr>
              <w:jc w:val="right"/>
              <w:ind w:right="17"/>
              <w:spacing w:after="0"/>
              <w:rPr>
                <w:sz w:val="20"/>
                <w:szCs w:val="20"/>
                <w:color w:val="auto"/>
              </w:rPr>
            </w:pPr>
            <w:r>
              <w:rPr>
                <w:rFonts w:ascii="Arial" w:cs="Arial" w:eastAsia="Arial" w:hAnsi="Arial"/>
                <w:sz w:val="19"/>
                <w:szCs w:val="19"/>
                <w:b w:val="1"/>
                <w:bCs w:val="1"/>
                <w:color w:val="auto"/>
              </w:rPr>
              <w:t>FOR</w:t>
            </w:r>
          </w:p>
        </w:tc>
      </w:tr>
      <w:tr>
        <w:trPr>
          <w:trHeight w:val="207"/>
        </w:trPr>
        <w:tc>
          <w:tcPr>
            <w:tcW w:w="760" w:type="dxa"/>
            <w:vAlign w:val="bottom"/>
            <w:shd w:val="clear" w:color="auto" w:fill="E2EEFA"/>
          </w:tcPr>
          <w:p>
            <w:pPr>
              <w:spacing w:after="0"/>
              <w:rPr>
                <w:sz w:val="18"/>
                <w:szCs w:val="18"/>
                <w:color w:val="auto"/>
              </w:rPr>
            </w:pPr>
          </w:p>
        </w:tc>
        <w:tc>
          <w:tcPr>
            <w:tcW w:w="8340" w:type="dxa"/>
            <w:vAlign w:val="bottom"/>
            <w:shd w:val="clear" w:color="auto" w:fill="E2EEFA"/>
          </w:tcPr>
          <w:p>
            <w:pPr>
              <w:ind w:left="80"/>
              <w:spacing w:after="0" w:line="207" w:lineRule="exact"/>
              <w:rPr>
                <w:sz w:val="20"/>
                <w:szCs w:val="20"/>
                <w:color w:val="auto"/>
              </w:rPr>
            </w:pPr>
            <w:r>
              <w:rPr>
                <w:rFonts w:ascii="Arial" w:cs="Arial" w:eastAsia="Arial" w:hAnsi="Arial"/>
                <w:sz w:val="19"/>
                <w:szCs w:val="19"/>
                <w:b w:val="1"/>
                <w:bCs w:val="1"/>
                <w:color w:val="auto"/>
              </w:rPr>
              <w:t>executive officers as disclosed pursuant to the disclosure rules of the Securities and</w:t>
            </w:r>
          </w:p>
        </w:tc>
        <w:tc>
          <w:tcPr>
            <w:tcW w:w="1460" w:type="dxa"/>
            <w:vAlign w:val="bottom"/>
            <w:shd w:val="clear" w:color="auto" w:fill="E2EEFA"/>
          </w:tcPr>
          <w:p>
            <w:pPr>
              <w:spacing w:after="0"/>
              <w:rPr>
                <w:sz w:val="18"/>
                <w:szCs w:val="18"/>
                <w:color w:val="auto"/>
              </w:rPr>
            </w:pPr>
          </w:p>
        </w:tc>
      </w:tr>
      <w:tr>
        <w:trPr>
          <w:trHeight w:val="207"/>
        </w:trPr>
        <w:tc>
          <w:tcPr>
            <w:tcW w:w="760" w:type="dxa"/>
            <w:vAlign w:val="bottom"/>
            <w:shd w:val="clear" w:color="auto" w:fill="E2EEFA"/>
          </w:tcPr>
          <w:p>
            <w:pPr>
              <w:spacing w:after="0"/>
              <w:rPr>
                <w:sz w:val="18"/>
                <w:szCs w:val="18"/>
                <w:color w:val="auto"/>
              </w:rPr>
            </w:pPr>
          </w:p>
        </w:tc>
        <w:tc>
          <w:tcPr>
            <w:tcW w:w="8340" w:type="dxa"/>
            <w:vAlign w:val="bottom"/>
            <w:shd w:val="clear" w:color="auto" w:fill="E2EEFA"/>
          </w:tcPr>
          <w:p>
            <w:pPr>
              <w:ind w:left="80"/>
              <w:spacing w:after="0" w:line="207" w:lineRule="exact"/>
              <w:rPr>
                <w:sz w:val="20"/>
                <w:szCs w:val="20"/>
                <w:color w:val="auto"/>
              </w:rPr>
            </w:pPr>
            <w:r>
              <w:rPr>
                <w:rFonts w:ascii="Arial" w:cs="Arial" w:eastAsia="Arial" w:hAnsi="Arial"/>
                <w:sz w:val="19"/>
                <w:szCs w:val="19"/>
                <w:b w:val="1"/>
                <w:bCs w:val="1"/>
                <w:color w:val="auto"/>
              </w:rPr>
              <w:t>Exchange Commission, including the Compensation Discussion and Analysis and the</w:t>
            </w:r>
          </w:p>
        </w:tc>
        <w:tc>
          <w:tcPr>
            <w:tcW w:w="1460" w:type="dxa"/>
            <w:vAlign w:val="bottom"/>
            <w:shd w:val="clear" w:color="auto" w:fill="E2EEFA"/>
          </w:tcPr>
          <w:p>
            <w:pPr>
              <w:spacing w:after="0"/>
              <w:rPr>
                <w:sz w:val="18"/>
                <w:szCs w:val="18"/>
                <w:color w:val="auto"/>
              </w:rPr>
            </w:pPr>
          </w:p>
        </w:tc>
      </w:tr>
      <w:tr>
        <w:trPr>
          <w:trHeight w:val="207"/>
        </w:trPr>
        <w:tc>
          <w:tcPr>
            <w:tcW w:w="760" w:type="dxa"/>
            <w:vAlign w:val="bottom"/>
            <w:shd w:val="clear" w:color="auto" w:fill="E2EEFA"/>
          </w:tcPr>
          <w:p>
            <w:pPr>
              <w:spacing w:after="0"/>
              <w:rPr>
                <w:sz w:val="18"/>
                <w:szCs w:val="18"/>
                <w:color w:val="auto"/>
              </w:rPr>
            </w:pPr>
          </w:p>
        </w:tc>
        <w:tc>
          <w:tcPr>
            <w:tcW w:w="8340" w:type="dxa"/>
            <w:vAlign w:val="bottom"/>
            <w:shd w:val="clear" w:color="auto" w:fill="E2EEFA"/>
          </w:tcPr>
          <w:p>
            <w:pPr>
              <w:ind w:left="80"/>
              <w:spacing w:after="0" w:line="207" w:lineRule="exact"/>
              <w:rPr>
                <w:sz w:val="20"/>
                <w:szCs w:val="20"/>
                <w:color w:val="auto"/>
              </w:rPr>
            </w:pPr>
            <w:r>
              <w:rPr>
                <w:rFonts w:ascii="Arial" w:cs="Arial" w:eastAsia="Arial" w:hAnsi="Arial"/>
                <w:sz w:val="19"/>
                <w:szCs w:val="19"/>
                <w:b w:val="1"/>
                <w:bCs w:val="1"/>
                <w:color w:val="auto"/>
              </w:rPr>
              <w:t>tabular and narrative disclosure contained in the Company’s Proxy Statement dated</w:t>
            </w:r>
          </w:p>
        </w:tc>
        <w:tc>
          <w:tcPr>
            <w:tcW w:w="1460" w:type="dxa"/>
            <w:vAlign w:val="bottom"/>
            <w:shd w:val="clear" w:color="auto" w:fill="E2EEFA"/>
          </w:tcPr>
          <w:p>
            <w:pPr>
              <w:spacing w:after="0"/>
              <w:rPr>
                <w:sz w:val="18"/>
                <w:szCs w:val="18"/>
                <w:color w:val="auto"/>
              </w:rPr>
            </w:pPr>
          </w:p>
        </w:tc>
      </w:tr>
      <w:tr>
        <w:trPr>
          <w:trHeight w:val="260"/>
        </w:trPr>
        <w:tc>
          <w:tcPr>
            <w:tcW w:w="760" w:type="dxa"/>
            <w:vAlign w:val="bottom"/>
            <w:shd w:val="clear" w:color="auto" w:fill="E2EEFA"/>
          </w:tcPr>
          <w:p>
            <w:pPr>
              <w:spacing w:after="0"/>
              <w:rPr>
                <w:sz w:val="22"/>
                <w:szCs w:val="22"/>
                <w:color w:val="auto"/>
              </w:rPr>
            </w:pPr>
          </w:p>
        </w:tc>
        <w:tc>
          <w:tcPr>
            <w:tcW w:w="8340" w:type="dxa"/>
            <w:vAlign w:val="bottom"/>
            <w:shd w:val="clear" w:color="auto" w:fill="E2EEFA"/>
          </w:tcPr>
          <w:p>
            <w:pPr>
              <w:ind w:left="80"/>
              <w:spacing w:after="0"/>
              <w:rPr>
                <w:sz w:val="20"/>
                <w:szCs w:val="20"/>
                <w:color w:val="auto"/>
              </w:rPr>
            </w:pPr>
            <w:r>
              <w:rPr>
                <w:rFonts w:ascii="Arial" w:cs="Arial" w:eastAsia="Arial" w:hAnsi="Arial"/>
                <w:sz w:val="19"/>
                <w:szCs w:val="19"/>
                <w:b w:val="1"/>
                <w:bCs w:val="1"/>
                <w:color w:val="auto"/>
              </w:rPr>
              <w:t>June 11, 2026.</w:t>
            </w:r>
          </w:p>
        </w:tc>
        <w:tc>
          <w:tcPr>
            <w:tcW w:w="1460" w:type="dxa"/>
            <w:vAlign w:val="bottom"/>
            <w:shd w:val="clear" w:color="auto" w:fill="E2EEFA"/>
          </w:tcPr>
          <w:p>
            <w:pPr>
              <w:spacing w:after="0"/>
              <w:rPr>
                <w:sz w:val="22"/>
                <w:szCs w:val="22"/>
                <w:color w:val="auto"/>
              </w:rPr>
            </w:pPr>
          </w:p>
        </w:tc>
      </w:tr>
      <w:tr>
        <w:trPr>
          <w:trHeight w:val="21"/>
        </w:trPr>
        <w:tc>
          <w:tcPr>
            <w:tcW w:w="760" w:type="dxa"/>
            <w:vAlign w:val="bottom"/>
            <w:shd w:val="clear" w:color="auto" w:fill="E2EEFA"/>
          </w:tcPr>
          <w:p>
            <w:pPr>
              <w:spacing w:after="0" w:line="20" w:lineRule="exact"/>
              <w:rPr>
                <w:sz w:val="1"/>
                <w:szCs w:val="1"/>
                <w:color w:val="auto"/>
              </w:rPr>
            </w:pPr>
          </w:p>
        </w:tc>
        <w:tc>
          <w:tcPr>
            <w:tcW w:w="8340" w:type="dxa"/>
            <w:vAlign w:val="bottom"/>
            <w:shd w:val="clear" w:color="auto" w:fill="E2EEFA"/>
          </w:tcPr>
          <w:p>
            <w:pPr>
              <w:spacing w:after="0" w:line="20" w:lineRule="exact"/>
              <w:rPr>
                <w:sz w:val="1"/>
                <w:szCs w:val="1"/>
                <w:color w:val="auto"/>
              </w:rPr>
            </w:pPr>
          </w:p>
        </w:tc>
        <w:tc>
          <w:tcPr>
            <w:tcW w:w="1460" w:type="dxa"/>
            <w:vAlign w:val="bottom"/>
            <w:shd w:val="clear" w:color="auto" w:fill="E2EEFA"/>
          </w:tcPr>
          <w:p>
            <w:pPr>
              <w:spacing w:after="0" w:line="20" w:lineRule="exact"/>
              <w:rPr>
                <w:sz w:val="1"/>
                <w:szCs w:val="1"/>
                <w:color w:val="auto"/>
              </w:rPr>
            </w:pPr>
          </w:p>
        </w:tc>
      </w:tr>
    </w:tbl>
    <w:p>
      <w:pPr>
        <w:spacing w:after="0" w:line="100" w:lineRule="exact"/>
        <w:rPr>
          <w:sz w:val="20"/>
          <w:szCs w:val="20"/>
          <w:color w:val="auto"/>
        </w:rPr>
      </w:pPr>
    </w:p>
    <w:p>
      <w:pPr>
        <w:ind w:left="420" w:right="180"/>
        <w:spacing w:after="0" w:line="257" w:lineRule="auto"/>
        <w:rPr>
          <w:sz w:val="20"/>
          <w:szCs w:val="20"/>
          <w:color w:val="auto"/>
        </w:rPr>
      </w:pPr>
      <w:r>
        <w:rPr>
          <w:rFonts w:ascii="Arial" w:cs="Arial" w:eastAsia="Arial" w:hAnsi="Arial"/>
          <w:sz w:val="17"/>
          <w:szCs w:val="17"/>
          <w:color w:val="auto"/>
        </w:rPr>
        <w:t>U.S. law requires that the shareholders periodically vote on a non-binding advisory basis on the compensation of our “named executive officers” as disclosed herein. Our shareholders have determined on a non-binding advisory basis that we should hold this vote every year, and our Board has concurred with this vote as a matter of good corporate governance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14605</wp:posOffset>
            </wp:positionV>
            <wp:extent cx="6710045" cy="2387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10045" cy="238760"/>
                    </a:xfrm>
                    <a:prstGeom prst="rect">
                      <a:avLst/>
                    </a:prstGeom>
                    <a:noFill/>
                  </pic:spPr>
                </pic:pic>
              </a:graphicData>
            </a:graphic>
          </wp:anchor>
        </w:drawing>
      </w:r>
    </w:p>
    <w:p>
      <w:pPr>
        <w:spacing w:after="0" w:line="86" w:lineRule="exact"/>
        <w:rPr>
          <w:sz w:val="20"/>
          <w:szCs w:val="20"/>
          <w:color w:val="auto"/>
        </w:rPr>
      </w:pPr>
    </w:p>
    <w:p>
      <w:pPr>
        <w:ind w:left="340"/>
        <w:spacing w:after="0"/>
        <w:tabs>
          <w:tab w:leader="none" w:pos="1160" w:val="left"/>
          <w:tab w:leader="none" w:pos="10380" w:val="left"/>
        </w:tabs>
        <w:rPr>
          <w:sz w:val="20"/>
          <w:szCs w:val="20"/>
          <w:color w:val="auto"/>
        </w:rPr>
      </w:pPr>
      <w:r>
        <w:rPr>
          <w:rFonts w:ascii="Arial" w:cs="Arial" w:eastAsia="Arial" w:hAnsi="Arial"/>
          <w:sz w:val="19"/>
          <w:szCs w:val="19"/>
          <w:b w:val="1"/>
          <w:bCs w:val="1"/>
          <w:color w:val="auto"/>
        </w:rPr>
        <w:t>  No. 6</w:t>
        <w:tab/>
        <w:t>To approve the renewal of the Board’s authority to issue shares under Irish law.</w:t>
      </w:r>
      <w:r>
        <w:rPr>
          <w:sz w:val="20"/>
          <w:szCs w:val="20"/>
          <w:color w:val="auto"/>
        </w:rPr>
        <w:tab/>
      </w:r>
      <w:r>
        <w:rPr>
          <w:rFonts w:ascii="Arial" w:cs="Arial" w:eastAsia="Arial" w:hAnsi="Arial"/>
          <w:sz w:val="18"/>
          <w:szCs w:val="18"/>
          <w:b w:val="1"/>
          <w:bCs w:val="1"/>
          <w:color w:val="auto"/>
        </w:rPr>
        <w:t>FOR</w:t>
      </w:r>
    </w:p>
    <w:p>
      <w:pPr>
        <w:spacing w:after="0" w:line="175" w:lineRule="exact"/>
        <w:rPr>
          <w:sz w:val="20"/>
          <w:szCs w:val="20"/>
          <w:color w:val="auto"/>
        </w:rPr>
      </w:pPr>
    </w:p>
    <w:p>
      <w:pPr>
        <w:ind w:left="420" w:right="160"/>
        <w:spacing w:after="0" w:line="246" w:lineRule="auto"/>
        <w:rPr>
          <w:sz w:val="20"/>
          <w:szCs w:val="20"/>
          <w:color w:val="auto"/>
        </w:rPr>
      </w:pPr>
      <w:r>
        <w:rPr>
          <w:rFonts w:ascii="Arial" w:cs="Arial" w:eastAsia="Arial" w:hAnsi="Arial"/>
          <w:sz w:val="17"/>
          <w:szCs w:val="17"/>
          <w:color w:val="auto"/>
        </w:rPr>
        <w:t>The Directors currently have authority, as approved by shareholders at our 2025 annual general meeting, to issue shares and to grant rights to acquire shares (e.g., pursuant to options, warrants and other convertible securities), including shares that are part of STERIS’s authorized but unissued share capital. Such authority will expire on the date of the Annual Meeting. This resolution, which requires shareholder approval, authorizes the renewal of the Board’s authority to issue authorized but unissued shares under Irish law (i) in an amount of up to 20% of the existing issued ordinary share capital of STERIS (calculated as of the Record Date) and (ii) until the earlier of the next annual general meeting or the expiration of 15 months.</w:t>
      </w:r>
    </w:p>
    <w:p>
      <w:pPr>
        <w:spacing w:after="0" w:line="12" w:lineRule="exact"/>
        <w:rPr>
          <w:sz w:val="20"/>
          <w:szCs w:val="20"/>
          <w:color w:val="auto"/>
        </w:rPr>
      </w:pPr>
    </w:p>
    <w:tbl>
      <w:tblPr>
        <w:tblLayout w:type="fixed"/>
        <w:tblInd w:w="340" w:type="dxa"/>
        <w:tblCellMar>
          <w:top w:w="0" w:type="dxa"/>
          <w:left w:w="0" w:type="dxa"/>
          <w:bottom w:w="0" w:type="dxa"/>
          <w:right w:w="0" w:type="dxa"/>
        </w:tblCellMar>
      </w:tblPr>
      <w:tr>
        <w:trPr>
          <w:trHeight w:val="289"/>
        </w:trPr>
        <w:tc>
          <w:tcPr>
            <w:tcW w:w="760" w:type="dxa"/>
            <w:vAlign w:val="bottom"/>
            <w:tcBorders>
              <w:top w:val="single" w:sz="8" w:color="3E8EDE"/>
            </w:tcBorders>
            <w:shd w:val="clear" w:color="auto" w:fill="E2EEFA"/>
          </w:tcPr>
          <w:p>
            <w:pPr>
              <w:spacing w:after="0"/>
              <w:rPr>
                <w:sz w:val="20"/>
                <w:szCs w:val="20"/>
                <w:color w:val="auto"/>
              </w:rPr>
            </w:pPr>
            <w:r>
              <w:rPr>
                <w:rFonts w:ascii="Arial" w:cs="Arial" w:eastAsia="Arial" w:hAnsi="Arial"/>
                <w:sz w:val="19"/>
                <w:szCs w:val="19"/>
                <w:b w:val="1"/>
                <w:bCs w:val="1"/>
                <w:color w:val="auto"/>
              </w:rPr>
              <w:t>  No. 7</w:t>
            </w:r>
          </w:p>
        </w:tc>
        <w:tc>
          <w:tcPr>
            <w:tcW w:w="8720" w:type="dxa"/>
            <w:vAlign w:val="bottom"/>
            <w:tcBorders>
              <w:top w:val="single" w:sz="8" w:color="E2EEFA"/>
            </w:tcBorders>
            <w:shd w:val="clear" w:color="auto" w:fill="E2EEFA"/>
          </w:tcPr>
          <w:p>
            <w:pPr>
              <w:ind w:left="80"/>
              <w:spacing w:after="0"/>
              <w:rPr>
                <w:sz w:val="20"/>
                <w:szCs w:val="20"/>
                <w:color w:val="auto"/>
              </w:rPr>
            </w:pPr>
            <w:r>
              <w:rPr>
                <w:rFonts w:ascii="Arial" w:cs="Arial" w:eastAsia="Arial" w:hAnsi="Arial"/>
                <w:sz w:val="19"/>
                <w:szCs w:val="19"/>
                <w:b w:val="1"/>
                <w:bCs w:val="1"/>
                <w:color w:val="auto"/>
              </w:rPr>
              <w:t>To approve the renewal of the Board’s authority to opt-out of statutory pre-emption rights</w:t>
            </w:r>
          </w:p>
        </w:tc>
        <w:tc>
          <w:tcPr>
            <w:tcW w:w="1080" w:type="dxa"/>
            <w:vAlign w:val="bottom"/>
            <w:tcBorders>
              <w:top w:val="single" w:sz="8" w:color="E2EEFA"/>
            </w:tcBorders>
            <w:shd w:val="clear" w:color="auto" w:fill="E2EEFA"/>
          </w:tcPr>
          <w:p>
            <w:pPr>
              <w:ind w:left="580"/>
              <w:spacing w:after="0"/>
              <w:rPr>
                <w:sz w:val="20"/>
                <w:szCs w:val="20"/>
                <w:color w:val="auto"/>
              </w:rPr>
            </w:pPr>
            <w:r>
              <w:rPr>
                <w:rFonts w:ascii="Arial" w:cs="Arial" w:eastAsia="Arial" w:hAnsi="Arial"/>
                <w:sz w:val="19"/>
                <w:szCs w:val="19"/>
                <w:b w:val="1"/>
                <w:bCs w:val="1"/>
                <w:color w:val="auto"/>
              </w:rPr>
              <w:t>FOR</w:t>
            </w:r>
          </w:p>
        </w:tc>
      </w:tr>
      <w:tr>
        <w:trPr>
          <w:trHeight w:val="260"/>
        </w:trPr>
        <w:tc>
          <w:tcPr>
            <w:tcW w:w="760" w:type="dxa"/>
            <w:vAlign w:val="bottom"/>
            <w:shd w:val="clear" w:color="auto" w:fill="E2EEFA"/>
          </w:tcPr>
          <w:p>
            <w:pPr>
              <w:spacing w:after="0"/>
              <w:rPr>
                <w:sz w:val="22"/>
                <w:szCs w:val="22"/>
                <w:color w:val="auto"/>
              </w:rPr>
            </w:pPr>
          </w:p>
        </w:tc>
        <w:tc>
          <w:tcPr>
            <w:tcW w:w="8720" w:type="dxa"/>
            <w:vAlign w:val="bottom"/>
            <w:shd w:val="clear" w:color="auto" w:fill="E2EEFA"/>
          </w:tcPr>
          <w:p>
            <w:pPr>
              <w:ind w:left="80"/>
              <w:spacing w:after="0"/>
              <w:rPr>
                <w:sz w:val="20"/>
                <w:szCs w:val="20"/>
                <w:color w:val="auto"/>
              </w:rPr>
            </w:pPr>
            <w:r>
              <w:rPr>
                <w:rFonts w:ascii="Arial" w:cs="Arial" w:eastAsia="Arial" w:hAnsi="Arial"/>
                <w:sz w:val="19"/>
                <w:szCs w:val="19"/>
                <w:b w:val="1"/>
                <w:bCs w:val="1"/>
                <w:color w:val="auto"/>
              </w:rPr>
              <w:t>under Irish law.</w:t>
            </w:r>
          </w:p>
        </w:tc>
        <w:tc>
          <w:tcPr>
            <w:tcW w:w="1080" w:type="dxa"/>
            <w:vAlign w:val="bottom"/>
            <w:shd w:val="clear" w:color="auto" w:fill="E2EEFA"/>
          </w:tcPr>
          <w:p>
            <w:pPr>
              <w:spacing w:after="0"/>
              <w:rPr>
                <w:sz w:val="22"/>
                <w:szCs w:val="22"/>
                <w:color w:val="auto"/>
              </w:rPr>
            </w:pPr>
          </w:p>
        </w:tc>
      </w:tr>
      <w:tr>
        <w:trPr>
          <w:trHeight w:val="34"/>
        </w:trPr>
        <w:tc>
          <w:tcPr>
            <w:tcW w:w="760" w:type="dxa"/>
            <w:vAlign w:val="bottom"/>
            <w:shd w:val="clear" w:color="auto" w:fill="E2EEFA"/>
          </w:tcPr>
          <w:p>
            <w:pPr>
              <w:spacing w:after="0"/>
              <w:rPr>
                <w:sz w:val="2"/>
                <w:szCs w:val="2"/>
                <w:color w:val="auto"/>
              </w:rPr>
            </w:pPr>
          </w:p>
        </w:tc>
        <w:tc>
          <w:tcPr>
            <w:tcW w:w="8720" w:type="dxa"/>
            <w:vAlign w:val="bottom"/>
            <w:shd w:val="clear" w:color="auto" w:fill="E2EEFA"/>
          </w:tcPr>
          <w:p>
            <w:pPr>
              <w:spacing w:after="0"/>
              <w:rPr>
                <w:sz w:val="2"/>
                <w:szCs w:val="2"/>
                <w:color w:val="auto"/>
              </w:rPr>
            </w:pPr>
          </w:p>
        </w:tc>
        <w:tc>
          <w:tcPr>
            <w:tcW w:w="1080" w:type="dxa"/>
            <w:vAlign w:val="bottom"/>
            <w:shd w:val="clear" w:color="auto" w:fill="E2EEFA"/>
          </w:tcPr>
          <w:p>
            <w:pPr>
              <w:spacing w:after="0"/>
              <w:rPr>
                <w:sz w:val="2"/>
                <w:szCs w:val="2"/>
                <w:color w:val="auto"/>
              </w:rPr>
            </w:pPr>
          </w:p>
        </w:tc>
      </w:tr>
    </w:tbl>
    <w:p>
      <w:pPr>
        <w:spacing w:after="0" w:line="100" w:lineRule="exact"/>
        <w:rPr>
          <w:sz w:val="20"/>
          <w:szCs w:val="20"/>
          <w:color w:val="auto"/>
        </w:rPr>
      </w:pPr>
    </w:p>
    <w:p>
      <w:pPr>
        <w:ind w:left="420" w:right="140"/>
        <w:spacing w:after="0" w:line="241" w:lineRule="auto"/>
        <w:rPr>
          <w:sz w:val="20"/>
          <w:szCs w:val="20"/>
          <w:color w:val="auto"/>
        </w:rPr>
      </w:pPr>
      <w:r>
        <w:rPr>
          <w:rFonts w:ascii="Arial" w:cs="Arial" w:eastAsia="Arial" w:hAnsi="Arial"/>
          <w:sz w:val="17"/>
          <w:szCs w:val="17"/>
          <w:color w:val="auto"/>
        </w:rPr>
        <w:t>The Directors currently have authority, as approved by shareholders at our 2025 annual general meeting, to opt-out of statutory pre-emption rights pursuant to the Articles. Such authority will expire on the date of the Annual Meeting. Under Irish law, unless its directors are otherwise authorized and empowered to opt-out, when an Irish public limited company proposes to issue, or grant rights to acquire, shares for cash, the company is required to first offer those shares or rights on the same or more favorable terms to existing shareholders of the company on a pro-rata basis (commonly referred to as statutory pre-emption rights). This resolution authorizes the renewal of the Board’s authority to opt-out of statutory pre-emption rights under Irish law in respect of the issuance of shares for cash</w:t>
      </w:r>
    </w:p>
    <w:p>
      <w:pPr>
        <w:spacing w:after="0" w:line="4" w:lineRule="exact"/>
        <w:rPr>
          <w:sz w:val="20"/>
          <w:szCs w:val="20"/>
          <w:color w:val="auto"/>
        </w:rPr>
      </w:pPr>
    </w:p>
    <w:p>
      <w:pPr>
        <w:ind w:left="420" w:right="160"/>
        <w:spacing w:after="0" w:line="244" w:lineRule="auto"/>
        <w:rPr>
          <w:sz w:val="20"/>
          <w:szCs w:val="20"/>
          <w:color w:val="auto"/>
        </w:rPr>
      </w:pPr>
      <w:r>
        <w:rPr>
          <w:rFonts w:ascii="Arial" w:cs="Arial" w:eastAsia="Arial" w:hAnsi="Arial"/>
          <w:sz w:val="17"/>
          <w:szCs w:val="17"/>
          <w:color w:val="auto"/>
        </w:rPr>
        <w:t>(i) in respect of up to 20% of the existing issued ordinary share capital of STERIS (calculated as of the Record Date), provided that, insofar as it relates to shares which represent greater than 10% in number of STERIS’s issued ordinary share capital (calculated as of the Record Date), such authority be used only for purposes of an acquisition or a specified capital investment, and (ii) until the earlier of the next annual general meeting or the expiration of 15 months.</w:t>
      </w:r>
    </w:p>
    <w:p>
      <w:pPr>
        <w:spacing w:after="0" w:line="116" w:lineRule="exact"/>
        <w:rPr>
          <w:sz w:val="20"/>
          <w:szCs w:val="20"/>
          <w:color w:val="auto"/>
        </w:rPr>
      </w:pPr>
    </w:p>
    <w:p>
      <w:pPr>
        <w:ind w:left="440" w:hanging="100"/>
        <w:spacing w:after="0"/>
        <w:tabs>
          <w:tab w:leader="none" w:pos="440"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No. 8   To transact such other business as may properly come before the Annual Meeting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-190500</wp:posOffset>
            </wp:positionV>
            <wp:extent cx="6710045" cy="3702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10045" cy="370205"/>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9"/>
          <w:szCs w:val="19"/>
          <w:b w:val="1"/>
          <w:bCs w:val="1"/>
          <w:color w:val="auto"/>
        </w:rPr>
        <w:t>adjournment thereof.</w:t>
      </w:r>
    </w:p>
    <w:p>
      <w:pPr>
        <w:spacing w:after="0" w:line="157" w:lineRule="exact"/>
        <w:rPr>
          <w:sz w:val="20"/>
          <w:szCs w:val="20"/>
          <w:color w:val="auto"/>
        </w:rPr>
      </w:pPr>
    </w:p>
    <w:p>
      <w:pPr>
        <w:jc w:val="both"/>
        <w:ind w:left="420" w:right="200"/>
        <w:spacing w:after="0" w:line="257" w:lineRule="auto"/>
        <w:rPr>
          <w:sz w:val="20"/>
          <w:szCs w:val="20"/>
          <w:color w:val="auto"/>
        </w:rPr>
      </w:pPr>
      <w:r>
        <w:rPr>
          <w:rFonts w:ascii="Arial" w:cs="Arial" w:eastAsia="Arial" w:hAnsi="Arial"/>
          <w:sz w:val="17"/>
          <w:szCs w:val="17"/>
          <w:color w:val="auto"/>
        </w:rPr>
        <w:t>We are not aware of any other proposals that may come before the Annual Meeting. This proposal authorizes the proxy holders to vote on any other business that may properly come before that meeting in their best judgment and to the extent permitted by applicable law with respect to such matters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39370</wp:posOffset>
            </wp:positionV>
            <wp:extent cx="67100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8 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287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10045" cy="2876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360"/>
        <w:spacing w:after="0"/>
        <w:rPr>
          <w:sz w:val="20"/>
          <w:szCs w:val="20"/>
          <w:color w:val="auto"/>
        </w:rPr>
      </w:pPr>
      <w:r>
        <w:rPr>
          <w:rFonts w:ascii="Arial" w:cs="Arial" w:eastAsia="Arial" w:hAnsi="Arial"/>
          <w:sz w:val="21"/>
          <w:szCs w:val="21"/>
          <w:b w:val="1"/>
          <w:bCs w:val="1"/>
          <w:color w:val="3E8ED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68580</wp:posOffset>
            </wp:positionV>
            <wp:extent cx="67100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Proxy Voting and Solicitation of Proxies</w:t>
      </w:r>
    </w:p>
    <w:p>
      <w:pPr>
        <w:spacing w:after="0" w:line="114" w:lineRule="exact"/>
        <w:rPr>
          <w:sz w:val="20"/>
          <w:szCs w:val="20"/>
          <w:color w:val="auto"/>
        </w:rPr>
      </w:pPr>
    </w:p>
    <w:p>
      <w:pPr>
        <w:ind w:left="340" w:right="60"/>
        <w:spacing w:after="0" w:line="231" w:lineRule="auto"/>
        <w:rPr>
          <w:sz w:val="20"/>
          <w:szCs w:val="20"/>
          <w:color w:val="auto"/>
        </w:rPr>
      </w:pPr>
      <w:r>
        <w:rPr>
          <w:rFonts w:ascii="Arial" w:cs="Arial" w:eastAsia="Arial" w:hAnsi="Arial"/>
          <w:sz w:val="19"/>
          <w:szCs w:val="19"/>
          <w:color w:val="auto"/>
        </w:rPr>
        <w:t>This Proxy Statement was furnished beginning on or about June 11, 2026, to the shareholders of record of STERIS plc (“STERIS,” the “Company,” “we,” “us,” or “our”) as of the close of the stock transfer books on June 2, 2026 (the “Record Date”). This Proxy Statement is provided in connection with the solicitation by the Board of Directors (the “Board” or “Board of Directors”) of proxies for the 2026 Annual Meeting of Shareholders of the Company (the “Annual Meeting”) to be held at 9:00 a.m. Irish Standard Time (4:00 a.m. Eastern Daylight Time), on Friday, July 31, 2026, at 70 Sir John Rogerson’s Quay, Dublin 2, D02 R296, Ireland. The cost of soliciting the proxies will be borne by the Company. Directors, officers, and designated employees of the Company and affiliates may solicit proxies in person, by mail, by telephone or email. They will not receive any additional compensation for these activities. STERIS has engaged a professional proxy solicitation firm, Georgeson LLC (“Georgeson”), to assist in tracking voting with brokers, banks and other institutional holders. The Company will pay Georgeson a fee of approximately $16,500 for these services. Additional shareholder meeting services may be provided for additional fees.</w:t>
      </w:r>
    </w:p>
    <w:p>
      <w:pPr>
        <w:spacing w:after="0" w:line="173" w:lineRule="exact"/>
        <w:rPr>
          <w:sz w:val="20"/>
          <w:szCs w:val="20"/>
          <w:color w:val="auto"/>
        </w:rPr>
      </w:pPr>
    </w:p>
    <w:p>
      <w:pPr>
        <w:ind w:left="340" w:right="80"/>
        <w:spacing w:after="0" w:line="233" w:lineRule="auto"/>
        <w:rPr>
          <w:sz w:val="20"/>
          <w:szCs w:val="20"/>
          <w:color w:val="auto"/>
        </w:rPr>
      </w:pPr>
      <w:r>
        <w:rPr>
          <w:rFonts w:ascii="Arial" w:cs="Arial" w:eastAsia="Arial" w:hAnsi="Arial"/>
          <w:sz w:val="19"/>
          <w:szCs w:val="19"/>
          <w:color w:val="auto"/>
        </w:rPr>
        <w:t xml:space="preserve">As permitted by rules adopted by the U.S. Securities and Exchange Commission (“SEC”), we are making this Proxy Statement, and our 2026 Annual Report to Shareholders (the “Annual Report”), which includes STERIS’s Annual Report on Form 10-K, and the Irish Statutory Accounts available at </w:t>
      </w:r>
      <w:r>
        <w:rPr>
          <w:rFonts w:ascii="Arial" w:cs="Arial" w:eastAsia="Arial" w:hAnsi="Arial"/>
          <w:sz w:val="19"/>
          <w:szCs w:val="19"/>
          <w:u w:val="single" w:color="auto"/>
          <w:color w:val="auto"/>
        </w:rPr>
        <w:t>www.proxyvote.com</w:t>
      </w:r>
      <w:r>
        <w:rPr>
          <w:rFonts w:ascii="Arial" w:cs="Arial" w:eastAsia="Arial" w:hAnsi="Arial"/>
          <w:sz w:val="19"/>
          <w:szCs w:val="19"/>
          <w:color w:val="auto"/>
        </w:rPr>
        <w:t>. If you received a Notice of Internet Availability (“Notice of Internet Availability”) regarding this availability, the Notice of Internet Availability instructs you how to access and review the Proxy Statement, the Annual Report and our Irish Statutory Accounts, as well as the alternative methods to vote your shares—over the Internet, by telephone, or by mailing a completed form of proxy (if requested). If you received a Notice of Internet Availability and would like to receive a printed copy of the Proxy Materials, you should follow the instructions in the Notice of Internet Availability for requesting such materials.</w:t>
      </w:r>
    </w:p>
    <w:p>
      <w:pPr>
        <w:spacing w:after="0" w:line="168" w:lineRule="exact"/>
        <w:rPr>
          <w:sz w:val="20"/>
          <w:szCs w:val="20"/>
          <w:color w:val="auto"/>
        </w:rPr>
      </w:pPr>
    </w:p>
    <w:p>
      <w:pPr>
        <w:ind w:left="340" w:right="40"/>
        <w:spacing w:after="0" w:line="244" w:lineRule="auto"/>
        <w:rPr>
          <w:sz w:val="20"/>
          <w:szCs w:val="20"/>
          <w:color w:val="auto"/>
        </w:rPr>
      </w:pPr>
      <w:r>
        <w:rPr>
          <w:rFonts w:ascii="Arial" w:cs="Arial" w:eastAsia="Arial" w:hAnsi="Arial"/>
          <w:sz w:val="19"/>
          <w:szCs w:val="19"/>
          <w:color w:val="auto"/>
        </w:rPr>
        <w:t>If you received a printed copy of the Proxy Materials, the Company offers the opportunity to electronically receive future proxy statements and annual reports over the Internet. By using this service, you are not only able to access these materials more quickly, but you are also helping STERIS save resources and reduce printing and postage costs.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Voting and Annual Meeting Attendance</w:t>
      </w:r>
    </w:p>
    <w:p>
      <w:pPr>
        <w:spacing w:after="0" w:line="114" w:lineRule="exact"/>
        <w:rPr>
          <w:sz w:val="20"/>
          <w:szCs w:val="20"/>
          <w:color w:val="auto"/>
        </w:rPr>
      </w:pPr>
    </w:p>
    <w:p>
      <w:pPr>
        <w:ind w:left="340" w:right="340"/>
        <w:spacing w:after="0" w:line="262" w:lineRule="auto"/>
        <w:rPr>
          <w:sz w:val="20"/>
          <w:szCs w:val="20"/>
          <w:color w:val="auto"/>
        </w:rPr>
      </w:pPr>
      <w:r>
        <w:rPr>
          <w:rFonts w:ascii="Arial" w:cs="Arial" w:eastAsia="Arial" w:hAnsi="Arial"/>
          <w:sz w:val="19"/>
          <w:szCs w:val="19"/>
          <w:color w:val="auto"/>
        </w:rPr>
        <w:t>As of the Record Date, the Company had 97,457,680 Ordinary Shares outstanding and entitled to notice of, and to attend, speak, ask questions and vote at the Annual Meeting, each of which is entitled to one vote.</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We encourage you to vote by proxy in advance of the Annual Meeting, even if you plan on attending in person.</w:t>
      </w:r>
    </w:p>
    <w:p>
      <w:pPr>
        <w:spacing w:after="0" w:line="196" w:lineRule="exact"/>
        <w:rPr>
          <w:sz w:val="20"/>
          <w:szCs w:val="20"/>
          <w:color w:val="auto"/>
        </w:rPr>
      </w:pPr>
    </w:p>
    <w:p>
      <w:pPr>
        <w:ind w:left="340" w:right="60"/>
        <w:spacing w:after="0" w:line="239" w:lineRule="auto"/>
        <w:rPr>
          <w:sz w:val="20"/>
          <w:szCs w:val="20"/>
          <w:color w:val="auto"/>
        </w:rPr>
      </w:pPr>
      <w:r>
        <w:rPr>
          <w:rFonts w:ascii="Arial" w:cs="Arial" w:eastAsia="Arial" w:hAnsi="Arial"/>
          <w:sz w:val="19"/>
          <w:szCs w:val="19"/>
          <w:color w:val="auto"/>
        </w:rPr>
        <w:t>To attend the meeting in person, you must present valid photo identification, such as a driver’s license or passport. If you are a beneficial owner and not a shareholder of record, you also must present a letter from your broker or other nominee showing that you were the beneficial owner of the shares on the Record Date together with a legal proxy from your broker or other nominee to vote your shares in person at the Annual Meeting.</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9</w:t>
      </w:r>
    </w:p>
    <w:p>
      <w:pPr>
        <w:sectPr>
          <w:pgSz w:w="11900" w:h="16838" w:orient="portrait"/>
          <w:cols w:equalWidth="0" w:num="1">
            <w:col w:w="10900"/>
          </w:cols>
          <w:pgMar w:left="320" w:top="469" w:right="6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84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General Information: </w:t>
      </w:r>
      <w:r>
        <w:rPr>
          <w:rFonts w:ascii="Arial" w:cs="Arial" w:eastAsia="Arial" w:hAnsi="Arial"/>
          <w:sz w:val="15"/>
          <w:szCs w:val="15"/>
          <w:b w:val="1"/>
          <w:bCs w:val="1"/>
          <w:color w:val="000000"/>
        </w:rPr>
        <w:t>Redomiciliation and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spacing w:after="0" w:line="262" w:lineRule="auto"/>
        <w:rPr>
          <w:sz w:val="20"/>
          <w:szCs w:val="20"/>
          <w:color w:val="auto"/>
        </w:rPr>
      </w:pPr>
      <w:r>
        <w:rPr>
          <w:rFonts w:ascii="Arial" w:cs="Arial" w:eastAsia="Arial" w:hAnsi="Arial"/>
          <w:sz w:val="19"/>
          <w:szCs w:val="19"/>
          <w:color w:val="auto"/>
        </w:rPr>
        <w:t>If you are a shareholder of record, you may appoint a proxy to attend, speak, ask questions and vote on your behalf using any of the following methods:</w:t>
      </w:r>
    </w:p>
    <w:p>
      <w:pPr>
        <w:spacing w:after="0" w:line="54" w:lineRule="exact"/>
        <w:rPr>
          <w:sz w:val="20"/>
          <w:szCs w:val="20"/>
          <w:color w:val="auto"/>
        </w:rPr>
      </w:pPr>
    </w:p>
    <w:p>
      <w:pPr>
        <w:ind w:left="540" w:hanging="200"/>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through the Internet, as instructed on the proxy card or the Notice of Internet Availability;</w:t>
      </w:r>
    </w:p>
    <w:p>
      <w:pPr>
        <w:spacing w:after="0" w:line="105" w:lineRule="exact"/>
        <w:rPr>
          <w:rFonts w:ascii="Arial" w:cs="Arial" w:eastAsia="Arial" w:hAnsi="Arial"/>
          <w:sz w:val="19"/>
          <w:szCs w:val="19"/>
          <w:color w:val="auto"/>
        </w:rPr>
      </w:pPr>
    </w:p>
    <w:p>
      <w:pPr>
        <w:ind w:left="540" w:hanging="200"/>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by telephone using the toll-free telephone number shown on the proxy card or the Notice of Internet Availability; or</w:t>
      </w:r>
    </w:p>
    <w:p>
      <w:pPr>
        <w:spacing w:after="0" w:line="105" w:lineRule="exact"/>
        <w:rPr>
          <w:rFonts w:ascii="Arial" w:cs="Arial" w:eastAsia="Arial" w:hAnsi="Arial"/>
          <w:sz w:val="19"/>
          <w:szCs w:val="19"/>
          <w:color w:val="auto"/>
        </w:rPr>
      </w:pPr>
    </w:p>
    <w:p>
      <w:pPr>
        <w:ind w:left="540" w:right="260" w:hanging="200"/>
        <w:spacing w:after="0" w:line="236"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if you received the Proxy Materials by mail or if you request a paper proxy card by telephone or through the Internet, you may elect to vote by mail by completing and signing the proxy card and returning it in the prepaid envelope provided to Vote Processing, c/o Broadridge, 51 Mercedes Way, Edgewood, NY 11717, United States of America (which will, upon receipt, be forwarded to the Company’s registered office in Ireland electronically) or otherwise depositing it at the Company’s registered office in Ireland.</w:t>
      </w:r>
    </w:p>
    <w:p>
      <w:pPr>
        <w:spacing w:after="0" w:line="169" w:lineRule="exact"/>
        <w:rPr>
          <w:sz w:val="20"/>
          <w:szCs w:val="20"/>
          <w:color w:val="auto"/>
        </w:rPr>
      </w:pPr>
    </w:p>
    <w:p>
      <w:pPr>
        <w:ind w:left="340" w:right="100"/>
        <w:spacing w:after="0" w:line="239" w:lineRule="auto"/>
        <w:rPr>
          <w:sz w:val="20"/>
          <w:szCs w:val="20"/>
          <w:color w:val="auto"/>
        </w:rPr>
      </w:pPr>
      <w:r>
        <w:rPr>
          <w:rFonts w:ascii="Arial" w:cs="Arial" w:eastAsia="Arial" w:hAnsi="Arial"/>
          <w:sz w:val="19"/>
          <w:szCs w:val="19"/>
          <w:color w:val="auto"/>
        </w:rPr>
        <w:t>To be valid, a proxy must be received using one of such procedures by no later than 4:59 a.m. Irish Standard Time on Thursday, July 30, 2026 (11:59 p.m. Eastern Daylight Time on Wednesday, July 29, 2026) (or in the case of any adjournment thereof, such later time as may be announced by the Company, not being greater than 48 hours before the adjourned meeting).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We have retained Broadridge Financial Solutions (“Broadridge”) to distribute, receive, count and tabulate proxies.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Redomiciliation and Combination</w:t>
      </w:r>
    </w:p>
    <w:p>
      <w:pPr>
        <w:spacing w:after="0" w:line="114" w:lineRule="exact"/>
        <w:rPr>
          <w:sz w:val="20"/>
          <w:szCs w:val="20"/>
          <w:color w:val="auto"/>
        </w:rPr>
      </w:pPr>
    </w:p>
    <w:p>
      <w:pPr>
        <w:ind w:left="340" w:right="500"/>
        <w:spacing w:after="0" w:line="235" w:lineRule="auto"/>
        <w:rPr>
          <w:sz w:val="20"/>
          <w:szCs w:val="20"/>
          <w:color w:val="auto"/>
        </w:rPr>
      </w:pPr>
      <w:r>
        <w:rPr>
          <w:rFonts w:ascii="Arial" w:cs="Arial" w:eastAsia="Arial" w:hAnsi="Arial"/>
          <w:sz w:val="19"/>
          <w:szCs w:val="19"/>
          <w:color w:val="auto"/>
        </w:rPr>
        <w:t>The Company is a public limited company incorporated under the laws of Ireland. On March 28, 2019, upon the consummation of a scheme of arrangement under the laws of the United Kingdom (“the Redomiciliation”), the Company became the owner of the entire issued ordinary share capital of STERIS plc, a company organized under the laws of the United Kingdom and since renamed “STERIS Limited” (“Old STERIS”). Previously, on November 2, 2015, pursuant to a combination under U.K. law (the “Combination”), STERIS Corporation became a wholly-owned indirect subsidiary of Old STERIS and Synergy Health plc became a wholly-owned direct subsidiary of Old STERIS.</w:t>
      </w:r>
    </w:p>
    <w:p>
      <w:pPr>
        <w:spacing w:after="0" w:line="167" w:lineRule="exact"/>
        <w:rPr>
          <w:sz w:val="20"/>
          <w:szCs w:val="20"/>
          <w:color w:val="auto"/>
        </w:rPr>
      </w:pPr>
    </w:p>
    <w:p>
      <w:pPr>
        <w:ind w:left="340"/>
        <w:spacing w:after="0" w:line="246" w:lineRule="auto"/>
        <w:rPr>
          <w:sz w:val="20"/>
          <w:szCs w:val="20"/>
          <w:color w:val="auto"/>
        </w:rPr>
      </w:pPr>
      <w:r>
        <w:rPr>
          <w:rFonts w:ascii="Arial" w:cs="Arial" w:eastAsia="Arial" w:hAnsi="Arial"/>
          <w:sz w:val="18"/>
          <w:szCs w:val="18"/>
          <w:color w:val="auto"/>
        </w:rPr>
        <w:t>References in this Proxy Statement to the actions of “the Company,” “us,” “we” or “STERIS” (or its Board of Directors, Committees of its Board of Directors, or its Directors and/or officers) or any similar references relating to periods from and after the consummation of the Redomiciliation should be construed as references to the actions of the Company (or where appropriate, its Board of Directors, Committees of its Board or its Directors and/or officers) unless the context requires otherwise, and references in this Proxy Statement to the actions of “the Company,” “us,” “we” or “STERIS” (or its Board of Directors, Committees of its Board of Directors, or any of its Directors and/or officers) or any similar references relating to periods before the consummation of the Redomiciliation or the Combination should be construed as references to the actions of Old STERIS or STERIS Corporation, as applicable (or, where appropriate, their respective Boards of Directors, Committees of their respective Board of Directors, or their respective Directors and/or officers) unless the context requires otherwise.</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10 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72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General Information: </w:t>
      </w:r>
      <w:r>
        <w:rPr>
          <w:rFonts w:ascii="Arial" w:cs="Arial" w:eastAsia="Arial" w:hAnsi="Arial"/>
          <w:sz w:val="15"/>
          <w:szCs w:val="15"/>
          <w:b w:val="1"/>
          <w:bCs w:val="1"/>
          <w:color w:val="000000"/>
        </w:rPr>
        <w:t>Votes Required to Adopt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80"/>
        <w:spacing w:after="0" w:line="234" w:lineRule="auto"/>
        <w:rPr>
          <w:sz w:val="20"/>
          <w:szCs w:val="20"/>
          <w:color w:val="auto"/>
        </w:rPr>
      </w:pPr>
      <w:r>
        <w:rPr>
          <w:rFonts w:ascii="Arial" w:cs="Arial" w:eastAsia="Arial" w:hAnsi="Arial"/>
          <w:sz w:val="19"/>
          <w:szCs w:val="19"/>
          <w:b w:val="1"/>
          <w:bCs w:val="1"/>
          <w:color w:val="auto"/>
        </w:rPr>
        <w:t xml:space="preserve">STERIS’s Annual Report to Shareholders, which includes STERIS’s Annual Report on Form 10-K, including consolidated financial statements for the year ended March 31, 2026, but excluding exhibits, and STERIS’s Irish Statutory Accounts accompany this Proxy Statement. Requests for copies of exhibits to STERIS’s Annual Report on Form 10-K should be submitted to the Office of the Company Secretary, STERIS plc, 70 Sir John Rogerson’s Quay, Dublin 2, D02 R296, Ireland. A nominal fee may be charged for Exhibits (which fee will be limited to the expenses we incur in providing you with the requested exhibits). STERIS’s Annual Report on Form 10-K, including exhibits, and STERIS’s Irish Statutory Accounts are also available free of charge through our website in the “Online IR Kit” in the “Shareholder Resources” section of </w:t>
      </w:r>
      <w:r>
        <w:rPr>
          <w:rFonts w:ascii="Arial" w:cs="Arial" w:eastAsia="Arial" w:hAnsi="Arial"/>
          <w:sz w:val="19"/>
          <w:szCs w:val="19"/>
          <w:b w:val="1"/>
          <w:bCs w:val="1"/>
          <w:u w:val="single" w:color="auto"/>
          <w:color w:val="auto"/>
        </w:rPr>
        <w:t>steris-ir.com</w:t>
      </w:r>
      <w:r>
        <w:rPr>
          <w:rFonts w:ascii="Arial" w:cs="Arial" w:eastAsia="Arial" w:hAnsi="Arial"/>
          <w:sz w:val="19"/>
          <w:szCs w:val="19"/>
          <w:b w:val="1"/>
          <w:bCs w:val="1"/>
          <w:color w:val="auto"/>
        </w:rPr>
        <w:t>. Nothing contained on or accessible through that website shall be deemed to be part of this Proxy Statement.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Votes Required to Adopt Proposals</w:t>
      </w:r>
    </w:p>
    <w:p>
      <w:pPr>
        <w:spacing w:after="0" w:line="114" w:lineRule="exact"/>
        <w:rPr>
          <w:sz w:val="20"/>
          <w:szCs w:val="20"/>
          <w:color w:val="auto"/>
        </w:rPr>
      </w:pPr>
    </w:p>
    <w:p>
      <w:pPr>
        <w:ind w:left="340" w:right="120"/>
        <w:spacing w:after="0" w:line="244" w:lineRule="auto"/>
        <w:rPr>
          <w:sz w:val="20"/>
          <w:szCs w:val="20"/>
          <w:color w:val="auto"/>
        </w:rPr>
      </w:pPr>
      <w:r>
        <w:rPr>
          <w:rFonts w:ascii="Arial" w:cs="Arial" w:eastAsia="Arial" w:hAnsi="Arial"/>
          <w:sz w:val="19"/>
          <w:szCs w:val="19"/>
          <w:color w:val="auto"/>
        </w:rPr>
        <w:t>Ordinary Shares represented by properly executed proxies will be voted in accordance with the specifications made thereon. If no specification is made, proxies will be voted “FOR” proposals 1 through 7 contained in the foregoing Notice of 2026 Annual Meeting of Shareholders.</w:t>
      </w:r>
    </w:p>
    <w:p>
      <w:pPr>
        <w:spacing w:after="0" w:line="162" w:lineRule="exact"/>
        <w:rPr>
          <w:sz w:val="20"/>
          <w:szCs w:val="20"/>
          <w:color w:val="auto"/>
        </w:rPr>
      </w:pPr>
    </w:p>
    <w:p>
      <w:pPr>
        <w:ind w:left="340" w:right="20"/>
        <w:spacing w:after="0" w:line="234" w:lineRule="auto"/>
        <w:rPr>
          <w:sz w:val="20"/>
          <w:szCs w:val="20"/>
          <w:color w:val="auto"/>
        </w:rPr>
      </w:pPr>
      <w:r>
        <w:rPr>
          <w:rFonts w:ascii="Arial" w:cs="Arial" w:eastAsia="Arial" w:hAnsi="Arial"/>
          <w:sz w:val="19"/>
          <w:szCs w:val="19"/>
          <w:color w:val="auto"/>
        </w:rPr>
        <w:t>The proposal to elect directors is presented as separate ordinary resolutions. Each Director nominee will be elected, assuming a quorum is present, if a majority of the votes cast are in favor of his or her election. Proposals 2, 3, 4, 5 and 6 will be proposed as ordinary resolutions under Irish law. In each case, provided that a quorum is present, the relevant resolution must be passed by a simple majority of the votes cast for or against such resolution, whether in person or by proxy, in order to be approved. Proposal 7 will be proposed as a special resolution under Irish law. Provided that a quorum is present, Proposal 7 must be passed by 75% of the votes cast for or against such resolution, whether in person or by proxy, in order to be approved.</w:t>
      </w:r>
    </w:p>
    <w:p>
      <w:pPr>
        <w:spacing w:after="0" w:line="166" w:lineRule="exact"/>
        <w:rPr>
          <w:sz w:val="20"/>
          <w:szCs w:val="20"/>
          <w:color w:val="auto"/>
        </w:rPr>
      </w:pPr>
    </w:p>
    <w:p>
      <w:pPr>
        <w:ind w:left="340" w:right="60"/>
        <w:spacing w:after="0" w:line="244" w:lineRule="auto"/>
        <w:rPr>
          <w:sz w:val="20"/>
          <w:szCs w:val="20"/>
          <w:color w:val="auto"/>
        </w:rPr>
      </w:pPr>
      <w:r>
        <w:rPr>
          <w:rFonts w:ascii="Arial" w:cs="Arial" w:eastAsia="Arial" w:hAnsi="Arial"/>
          <w:sz w:val="19"/>
          <w:szCs w:val="19"/>
          <w:color w:val="auto"/>
        </w:rPr>
        <w:t>Abstentions and broker non-votes are tabulated in determining the votes present at a meeting for purposes of determining a quorum. An abstention or broker non-vote also will have no effect on the passage of any of these proposals as the abstention or broker non-vote will not be counted in determining the number of votes cast.</w:t>
      </w:r>
    </w:p>
    <w:p>
      <w:pPr>
        <w:spacing w:after="0" w:line="162" w:lineRule="exact"/>
        <w:rPr>
          <w:sz w:val="20"/>
          <w:szCs w:val="20"/>
          <w:color w:val="auto"/>
        </w:rPr>
      </w:pPr>
    </w:p>
    <w:p>
      <w:pPr>
        <w:ind w:left="340" w:right="200"/>
        <w:spacing w:after="0" w:line="262" w:lineRule="auto"/>
        <w:rPr>
          <w:sz w:val="20"/>
          <w:szCs w:val="20"/>
          <w:color w:val="auto"/>
        </w:rPr>
      </w:pPr>
      <w:r>
        <w:rPr>
          <w:rFonts w:ascii="Arial" w:cs="Arial" w:eastAsia="Arial" w:hAnsi="Arial"/>
          <w:sz w:val="19"/>
          <w:szCs w:val="19"/>
          <w:color w:val="auto"/>
        </w:rPr>
        <w:t>Shareholder votes will be tabulated by a representative of Broadridge, our independent inspector of elections for the Annual Meeting.</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Purposes of Annual Meeting</w:t>
      </w:r>
    </w:p>
    <w:p>
      <w:pPr>
        <w:spacing w:after="0" w:line="114" w:lineRule="exact"/>
        <w:rPr>
          <w:sz w:val="20"/>
          <w:szCs w:val="20"/>
          <w:color w:val="auto"/>
        </w:rPr>
      </w:pPr>
    </w:p>
    <w:p>
      <w:pPr>
        <w:ind w:left="340" w:right="20"/>
        <w:spacing w:after="0" w:line="265" w:lineRule="auto"/>
        <w:rPr>
          <w:sz w:val="20"/>
          <w:szCs w:val="20"/>
          <w:color w:val="auto"/>
        </w:rPr>
      </w:pPr>
      <w:r>
        <w:rPr>
          <w:rFonts w:ascii="Arial" w:cs="Arial" w:eastAsia="Arial" w:hAnsi="Arial"/>
          <w:sz w:val="18"/>
          <w:szCs w:val="18"/>
          <w:color w:val="auto"/>
        </w:rPr>
        <w:t>The Annual Meeting has been called for the purposes set forth in the foregoing notice of Annual Meeting. The persons named in the accompanying proxy form have been selected by the Board of Directors and will vote shares represented by valid proxies. They have indicated that, unless otherwise directed in the proxy, they intend to vote “FOR” for proposals 1 through 7.</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11</w:t>
      </w:r>
    </w:p>
    <w:p>
      <w:pPr>
        <w:sectPr>
          <w:pgSz w:w="11900" w:h="16838" w:orient="portrait"/>
          <w:cols w:equalWidth="0" w:num="1">
            <w:col w:w="10900"/>
          </w:cols>
          <w:pgMar w:left="320" w:top="469" w:right="6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287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10045" cy="2876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840"/>
        <w:spacing w:after="0"/>
        <w:rPr>
          <w:sz w:val="20"/>
          <w:szCs w:val="20"/>
          <w:color w:val="auto"/>
        </w:rPr>
      </w:pPr>
      <w:r>
        <w:rPr>
          <w:rFonts w:ascii="Arial" w:cs="Arial" w:eastAsia="Arial" w:hAnsi="Arial"/>
          <w:sz w:val="21"/>
          <w:szCs w:val="21"/>
          <w:b w:val="1"/>
          <w:bCs w:val="1"/>
          <w:color w:val="3E8EDE"/>
        </w:rPr>
        <w:t>PROPOSAL 1—RESOLUTIONS REGARDING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68580</wp:posOffset>
            </wp:positionV>
            <wp:extent cx="67100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87" w:lineRule="exact"/>
        <w:rPr>
          <w:sz w:val="20"/>
          <w:szCs w:val="20"/>
          <w:color w:val="auto"/>
        </w:rPr>
      </w:pPr>
    </w:p>
    <w:p>
      <w:pPr>
        <w:ind w:left="340"/>
        <w:spacing w:after="0" w:line="233" w:lineRule="auto"/>
        <w:rPr>
          <w:sz w:val="20"/>
          <w:szCs w:val="20"/>
          <w:color w:val="auto"/>
        </w:rPr>
      </w:pPr>
      <w:r>
        <w:rPr>
          <w:rFonts w:ascii="Arial" w:cs="Arial" w:eastAsia="Arial" w:hAnsi="Arial"/>
          <w:sz w:val="19"/>
          <w:szCs w:val="19"/>
          <w:color w:val="auto"/>
        </w:rPr>
        <w:t>The Board of Directors currently consists of ten members, including the nine nominees identified herein and Richard C. Breeden, who is not standing for re-election. On the recommendation of the Nominating and Governance Committee, the Board has unanimously nominated current directors Dr. Esther M. Alegria, Pierre Boulud, Daniel A. Carestio, Cynthia L. Feldmann, Christopher S. Holland, Paul E. Martin, Dr. Nirav R. Shah, Louis A. Shapiro and Dr. Mohsen M. Sohi for election. Mr. Boulud was appointed to the Board in May 2026. Mr. Boulud was identified as a director candidate by a third-party search firm and, following an interview process, unanimously recommended by the Nominating and Governance Committee for appointment to the Board. Accordingly, on the recommendation of the Nominating and Governance Committee, the Board has unanimously nominated Pierre Boulud for election by the Company’s shareholders for the first time.</w:t>
      </w:r>
    </w:p>
    <w:p>
      <w:pPr>
        <w:spacing w:after="0" w:line="168" w:lineRule="exact"/>
        <w:rPr>
          <w:sz w:val="20"/>
          <w:szCs w:val="20"/>
          <w:color w:val="auto"/>
        </w:rPr>
      </w:pPr>
    </w:p>
    <w:p>
      <w:pPr>
        <w:ind w:left="340" w:right="100"/>
        <w:spacing w:after="0" w:line="235" w:lineRule="auto"/>
        <w:rPr>
          <w:sz w:val="20"/>
          <w:szCs w:val="20"/>
          <w:color w:val="auto"/>
        </w:rPr>
      </w:pPr>
      <w:r>
        <w:rPr>
          <w:rFonts w:ascii="Arial" w:cs="Arial" w:eastAsia="Arial" w:hAnsi="Arial"/>
          <w:sz w:val="19"/>
          <w:szCs w:val="19"/>
          <w:color w:val="auto"/>
        </w:rPr>
        <w:t>All nominees for Director have consented to be named and have agreed to serve as Directors, if elected. The term of each elected Director will expire at the next annual general meeting of shareholders, and each Director will continue in office until the election and qualification of his or her respective successor or until his or her earlier death, removal or resignation. Under the terms of the Company’s Articles, the Board shall consist of such number of Directors as the Board may determine from time to time (subject to a maximum of fifteen and a minimum of seven). Proxies cannot be voted for a greater number of directors than the nine nominees identified in this Proxy Statement.</w:t>
      </w:r>
    </w:p>
    <w:p>
      <w:pPr>
        <w:spacing w:after="0" w:line="167" w:lineRule="exact"/>
        <w:rPr>
          <w:sz w:val="20"/>
          <w:szCs w:val="20"/>
          <w:color w:val="auto"/>
        </w:rPr>
      </w:pPr>
    </w:p>
    <w:p>
      <w:pPr>
        <w:ind w:left="340"/>
        <w:spacing w:after="0" w:line="256" w:lineRule="auto"/>
        <w:rPr>
          <w:sz w:val="20"/>
          <w:szCs w:val="20"/>
          <w:color w:val="auto"/>
        </w:rPr>
      </w:pPr>
      <w:r>
        <w:rPr>
          <w:rFonts w:ascii="Arial" w:cs="Arial" w:eastAsia="Arial" w:hAnsi="Arial"/>
          <w:sz w:val="18"/>
          <w:szCs w:val="18"/>
          <w:color w:val="auto"/>
        </w:rPr>
        <w:t>Each of the nine nominees for Director will be elected by the vote of a majority of the votes cast with respect to such nominee, which means that the number of votes cast for a nominee must exceed the number of votes cast against that nominee. A shareholder may: (i) vote for the election of a nominee; (ii) vote against the election of a nominee; or (iii) abstain from voting for a nominee. For purposes of determining the outcome of the vote, abstentions will not be considered “votes cast.”</w:t>
      </w:r>
    </w:p>
    <w:p>
      <w:pPr>
        <w:spacing w:after="0" w:line="153" w:lineRule="exact"/>
        <w:rPr>
          <w:sz w:val="20"/>
          <w:szCs w:val="20"/>
          <w:color w:val="auto"/>
        </w:rPr>
      </w:pPr>
    </w:p>
    <w:p>
      <w:pPr>
        <w:ind w:left="340" w:right="620"/>
        <w:spacing w:after="0" w:line="262" w:lineRule="auto"/>
        <w:rPr>
          <w:sz w:val="20"/>
          <w:szCs w:val="20"/>
          <w:color w:val="auto"/>
        </w:rPr>
      </w:pPr>
      <w:r>
        <w:rPr>
          <w:rFonts w:ascii="Arial" w:cs="Arial" w:eastAsia="Arial" w:hAnsi="Arial"/>
          <w:sz w:val="19"/>
          <w:szCs w:val="19"/>
          <w:color w:val="auto"/>
        </w:rPr>
        <w:t>Unless a proxy contains instructions to the contrary, it is assumed that the proxy will be voted FOR the election of each nominee for Director named on the following pages.</w:t>
      </w:r>
    </w:p>
    <w:p>
      <w:pPr>
        <w:spacing w:after="0" w:line="145" w:lineRule="exact"/>
        <w:rPr>
          <w:sz w:val="20"/>
          <w:szCs w:val="20"/>
          <w:color w:val="auto"/>
        </w:rPr>
      </w:pPr>
    </w:p>
    <w:p>
      <w:pPr>
        <w:ind w:left="340" w:right="160"/>
        <w:spacing w:after="0" w:line="236" w:lineRule="auto"/>
        <w:rPr>
          <w:sz w:val="20"/>
          <w:szCs w:val="20"/>
          <w:color w:val="auto"/>
        </w:rPr>
      </w:pPr>
      <w:r>
        <w:rPr>
          <w:rFonts w:ascii="Arial" w:cs="Arial" w:eastAsia="Arial" w:hAnsi="Arial"/>
          <w:sz w:val="19"/>
          <w:szCs w:val="19"/>
          <w:color w:val="auto"/>
        </w:rPr>
        <w:t>STERIS values a number of attributes and criteria when identifying nominees to serve as a Director, including professional background, expertise, reputation for integrity, business, financial and management experience, leadership capabilities, time availability, and diversity. In addition to the specific experience and qualifications set forth below, we believe all of the nominees are individuals with a reputation for integrity, demonstrate strong leadership capabilities, and are able to work collaboratively to make contributions to the Board and Company.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4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Proposal 1: </w:t>
      </w:r>
      <w:r>
        <w:rPr>
          <w:rFonts w:ascii="Arial" w:cs="Arial" w:eastAsia="Arial" w:hAnsi="Arial"/>
          <w:sz w:val="15"/>
          <w:szCs w:val="15"/>
          <w:b w:val="1"/>
          <w:bCs w:val="1"/>
          <w:color w:val="000000"/>
        </w:rPr>
        <w:t>Resolutions Regarding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Nominees for Election as Directors</w:t>
      </w:r>
    </w:p>
    <w:p>
      <w:pPr>
        <w:spacing w:after="0" w:line="114" w:lineRule="exact"/>
        <w:rPr>
          <w:sz w:val="20"/>
          <w:szCs w:val="20"/>
          <w:color w:val="auto"/>
        </w:rPr>
      </w:pPr>
    </w:p>
    <w:p>
      <w:pPr>
        <w:ind w:left="340" w:right="60"/>
        <w:spacing w:after="0" w:line="232" w:lineRule="auto"/>
        <w:rPr>
          <w:sz w:val="20"/>
          <w:szCs w:val="20"/>
          <w:color w:val="auto"/>
        </w:rPr>
      </w:pPr>
      <w:r>
        <w:rPr>
          <w:rFonts w:ascii="Arial" w:cs="Arial" w:eastAsia="Arial" w:hAnsi="Arial"/>
          <w:sz w:val="19"/>
          <w:szCs w:val="19"/>
          <w:color w:val="auto"/>
        </w:rPr>
        <w:t>Biographical and other background information concerning each nominee for Director is set forth below. This information includes each nominee’s principal occupation as well as a discussion of the specific experience, qualifications, attributes, and skills of each nominee that led to the Board’s conclusion that such nominee should serve as a Director. Ages and other biographical information provided for all Directors are as of the Record Date. In addition, set forth below is the period during which each nominee has served as a Director of STERIS, if applicable. For those persons who served as Directors or executives of Old STERIS immediately prior to the Redomiciliation and STERIS Corporation immediately prior to the Combination, the specified period includes their periods of service as Directors or executives of Old STERIS or STERIS Corporation, as the case may be, as STERIS’s predecessors. The information presented below has been confirmed by each nominee for purposes of its inclusion in this Proxy Statement.</w:t>
      </w:r>
    </w:p>
    <w:p>
      <w:pPr>
        <w:sectPr>
          <w:pgSz w:w="11900" w:h="16838" w:orient="portrait"/>
          <w:cols w:equalWidth="0" w:num="1">
            <w:col w:w="10900"/>
          </w:cols>
          <w:pgMar w:left="320" w:top="46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line="262" w:lineRule="auto"/>
        <w:rPr>
          <w:sz w:val="20"/>
          <w:szCs w:val="20"/>
          <w:color w:val="auto"/>
        </w:rPr>
      </w:pPr>
      <w:r>
        <w:rPr>
          <w:rFonts w:ascii="Arial" w:cs="Arial" w:eastAsia="Arial" w:hAnsi="Arial"/>
          <w:sz w:val="12"/>
          <w:szCs w:val="12"/>
          <w:color w:val="auto"/>
        </w:rPr>
        <w:t>Executive Consultant and Advisor at The LaSalle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-1412875</wp:posOffset>
            </wp:positionV>
            <wp:extent cx="1019810" cy="12172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19810" cy="1217295"/>
                    </a:xfrm>
                    <a:prstGeom prst="rect">
                      <a:avLst/>
                    </a:prstGeom>
                    <a:noFill/>
                  </pic:spPr>
                </pic:pic>
              </a:graphicData>
            </a:graphic>
          </wp:anchor>
        </w:drawing>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2023</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67</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Committees:</w:t>
      </w:r>
    </w:p>
    <w:p>
      <w:pPr>
        <w:spacing w:after="0" w:line="69" w:lineRule="exact"/>
        <w:rPr>
          <w:sz w:val="20"/>
          <w:szCs w:val="20"/>
          <w:color w:val="auto"/>
        </w:rPr>
      </w:pPr>
    </w:p>
    <w:p>
      <w:pPr>
        <w:ind w:left="340" w:right="40"/>
        <w:spacing w:after="0" w:line="238" w:lineRule="auto"/>
        <w:rPr>
          <w:sz w:val="20"/>
          <w:szCs w:val="20"/>
          <w:color w:val="auto"/>
        </w:rPr>
      </w:pPr>
      <w:r>
        <w:rPr>
          <w:rFonts w:ascii="Arial" w:cs="Arial" w:eastAsia="Arial" w:hAnsi="Arial"/>
          <w:sz w:val="12"/>
          <w:szCs w:val="12"/>
          <w:color w:val="auto"/>
        </w:rPr>
        <w:t>Compliance and Technology Committee (Chair) 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247650</wp:posOffset>
            </wp:positionV>
            <wp:extent cx="1019810" cy="12172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1981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right="220"/>
        <w:spacing w:after="0" w:line="262" w:lineRule="auto"/>
        <w:rPr>
          <w:sz w:val="20"/>
          <w:szCs w:val="20"/>
          <w:color w:val="auto"/>
        </w:rPr>
      </w:pPr>
      <w:r>
        <w:rPr>
          <w:rFonts w:ascii="Arial" w:cs="Arial" w:eastAsia="Arial" w:hAnsi="Arial"/>
          <w:sz w:val="12"/>
          <w:szCs w:val="12"/>
          <w:color w:val="auto"/>
        </w:rPr>
        <w:t>Chief Executive Officer of bioMérieux</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2026</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54</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Committees: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2"/>
          <w:szCs w:val="12"/>
          <w:color w:val="auto"/>
        </w:rPr>
        <w:t>None</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Dr. Esther M. Alegria</w:t>
      </w:r>
    </w:p>
    <w:p>
      <w:pPr>
        <w:spacing w:after="0" w:line="255" w:lineRule="exact"/>
        <w:rPr>
          <w:sz w:val="20"/>
          <w:szCs w:val="20"/>
          <w:color w:val="auto"/>
        </w:rPr>
      </w:pPr>
    </w:p>
    <w:p>
      <w:pPr>
        <w:ind w:right="660"/>
        <w:spacing w:after="0" w:line="254" w:lineRule="auto"/>
        <w:rPr>
          <w:sz w:val="20"/>
          <w:szCs w:val="20"/>
          <w:color w:val="auto"/>
        </w:rPr>
      </w:pPr>
      <w:r>
        <w:rPr>
          <w:rFonts w:ascii="Arial" w:cs="Arial" w:eastAsia="Arial" w:hAnsi="Arial"/>
          <w:sz w:val="13"/>
          <w:szCs w:val="13"/>
          <w:color w:val="auto"/>
        </w:rPr>
        <w:t>Dr. Alegria has served as an Executive Consultant and Advisor with The LaSalle Group, an executive consulting firm, since May 2025. Dr. Alegria has over 25 years of experience in successful advancements of vaccines and therapeutic drugs from R&amp;D through commercialization. Previously, she was the Founder of APIE Therapeutics, a preclinical stage pharmaceutical company, where she served as the Chief Executive Officer from 2020 to 2023 and Chief Innovation Officer from 2023 to 2025. Dr. Alegria founded Catalyst Excel &amp; Advance, an advisory firm providing operational guidance to senior executives working to launch new pharmaceutical and biopharmaceutical companies, which she operated from 2016 to 2020. From 2005 to 2015, Dr. Alegria held positions of increasing responsibility at Biogen, Inc., most recently as Senior Vice President, Global Manufacturing, where she was responsible for the company’s successful manufacturing operations in Denmark, Massachusetts and North Carolina. Prior to 2005, Dr. Alegria held positions of increasing responsibilities at Banner Pharmacaps, Inc. and Wyeth (R&amp;D Vaccines). Dr. Alegria served as a director of AVID Bioservices, Inc. from 2021 to 2025. She is currently a member of the Board of Trustees for the Puerto Rico Science, Technology and Research Trust, where she focuses on economic and business development in the life science landscape.</w:t>
      </w:r>
    </w:p>
    <w:p>
      <w:pPr>
        <w:spacing w:after="0" w:line="86" w:lineRule="exact"/>
        <w:rPr>
          <w:sz w:val="20"/>
          <w:szCs w:val="20"/>
          <w:color w:val="auto"/>
        </w:rPr>
      </w:pPr>
    </w:p>
    <w:p>
      <w:pPr>
        <w:ind w:right="780"/>
        <w:spacing w:after="0" w:line="246" w:lineRule="auto"/>
        <w:rPr>
          <w:sz w:val="20"/>
          <w:szCs w:val="20"/>
          <w:color w:val="auto"/>
        </w:rPr>
      </w:pPr>
      <w:r>
        <w:rPr>
          <w:rFonts w:ascii="Arial" w:cs="Arial" w:eastAsia="Arial" w:hAnsi="Arial"/>
          <w:sz w:val="14"/>
          <w:szCs w:val="14"/>
          <w:b w:val="1"/>
          <w:bCs w:val="1"/>
          <w:i w:val="1"/>
          <w:iCs w:val="1"/>
          <w:color w:val="3E8EDE"/>
        </w:rPr>
        <w:t xml:space="preserve">Qualifications. </w:t>
      </w:r>
      <w:r>
        <w:rPr>
          <w:rFonts w:ascii="Arial" w:cs="Arial" w:eastAsia="Arial" w:hAnsi="Arial"/>
          <w:sz w:val="14"/>
          <w:szCs w:val="14"/>
          <w:color w:val="000000"/>
        </w:rPr>
        <w:t>Dr. Alegria’s extensive operational and leadership experience in the biopharmaceutical industry provides our Board</w:t>
      </w:r>
      <w:r>
        <w:rPr>
          <w:rFonts w:ascii="Arial" w:cs="Arial" w:eastAsia="Arial" w:hAnsi="Arial"/>
          <w:sz w:val="14"/>
          <w:szCs w:val="14"/>
          <w:b w:val="1"/>
          <w:bCs w:val="1"/>
          <w:i w:val="1"/>
          <w:iCs w:val="1"/>
          <w:color w:val="3E8EDE"/>
        </w:rPr>
        <w:t xml:space="preserve"> </w:t>
      </w:r>
      <w:r>
        <w:rPr>
          <w:rFonts w:ascii="Arial" w:cs="Arial" w:eastAsia="Arial" w:hAnsi="Arial"/>
          <w:sz w:val="14"/>
          <w:szCs w:val="14"/>
          <w:color w:val="000000"/>
        </w:rPr>
        <w:t>insight regarding the operational and strategic challenges facing STERIS’s Life Sciences and Applied Sterilization Technologies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Pierre Boulud</w:t>
      </w:r>
    </w:p>
    <w:p>
      <w:pPr>
        <w:spacing w:after="0" w:line="255" w:lineRule="exact"/>
        <w:rPr>
          <w:sz w:val="20"/>
          <w:szCs w:val="20"/>
          <w:color w:val="auto"/>
        </w:rPr>
      </w:pPr>
    </w:p>
    <w:p>
      <w:pPr>
        <w:ind w:right="680"/>
        <w:spacing w:after="0" w:line="238" w:lineRule="auto"/>
        <w:rPr>
          <w:sz w:val="20"/>
          <w:szCs w:val="20"/>
          <w:color w:val="auto"/>
        </w:rPr>
      </w:pPr>
      <w:r>
        <w:rPr>
          <w:rFonts w:ascii="Arial" w:cs="Arial" w:eastAsia="Arial" w:hAnsi="Arial"/>
          <w:sz w:val="14"/>
          <w:szCs w:val="14"/>
          <w:color w:val="auto"/>
        </w:rPr>
        <w:t>Mr. Boulud is the Chief Executive Officer of bioMérieux, a biotechnology company focused on in vitro diagnostics, cancer screening and consumer safety, having served in that role since June 2023. Mr. Boulud joined bioMérieux in 2016 as Corporate Vice President, Head of Asia Pacific Region, and was promoted to Chief Operating Officer in 2020. Previously, he worked at Ipsen, a pharmaceutical company, from 2002 until 2016, serving in various roles of increasing responsibility and ultimately as the Executive Vice President of Specialty Care Commercial Operations. Mr. Boulud began his career as a strategic consultant, working at Bossard Consultants from 1995 to 1997 and at the Boston Consulting Group from 1997 to 2002.</w:t>
      </w:r>
    </w:p>
    <w:p>
      <w:pPr>
        <w:spacing w:after="0" w:line="91" w:lineRule="exact"/>
        <w:rPr>
          <w:sz w:val="20"/>
          <w:szCs w:val="20"/>
          <w:color w:val="auto"/>
        </w:rPr>
      </w:pPr>
    </w:p>
    <w:p>
      <w:pPr>
        <w:ind w:right="1020"/>
        <w:spacing w:after="0" w:line="299" w:lineRule="auto"/>
        <w:rPr>
          <w:sz w:val="20"/>
          <w:szCs w:val="20"/>
          <w:color w:val="auto"/>
        </w:rPr>
      </w:pPr>
      <w:r>
        <w:rPr>
          <w:rFonts w:ascii="Arial" w:cs="Arial" w:eastAsia="Arial" w:hAnsi="Arial"/>
          <w:sz w:val="13"/>
          <w:szCs w:val="13"/>
          <w:b w:val="1"/>
          <w:bCs w:val="1"/>
          <w:i w:val="1"/>
          <w:iCs w:val="1"/>
          <w:color w:val="3E8EDE"/>
        </w:rPr>
        <w:t xml:space="preserve">Qualifications. </w:t>
      </w:r>
      <w:r>
        <w:rPr>
          <w:rFonts w:ascii="Arial" w:cs="Arial" w:eastAsia="Arial" w:hAnsi="Arial"/>
          <w:sz w:val="13"/>
          <w:szCs w:val="13"/>
          <w:color w:val="000000"/>
        </w:rPr>
        <w:t>Mr. Boulud’s role as a Chief Executive Officer of a European-based biotechnology company and many years of</w:t>
      </w:r>
      <w:r>
        <w:rPr>
          <w:rFonts w:ascii="Arial" w:cs="Arial" w:eastAsia="Arial" w:hAnsi="Arial"/>
          <w:sz w:val="13"/>
          <w:szCs w:val="13"/>
          <w:b w:val="1"/>
          <w:bCs w:val="1"/>
          <w:i w:val="1"/>
          <w:iCs w:val="1"/>
          <w:color w:val="3E8EDE"/>
        </w:rPr>
        <w:t xml:space="preserve"> </w:t>
      </w:r>
      <w:r>
        <w:rPr>
          <w:rFonts w:ascii="Arial" w:cs="Arial" w:eastAsia="Arial" w:hAnsi="Arial"/>
          <w:sz w:val="13"/>
          <w:szCs w:val="13"/>
          <w:color w:val="000000"/>
        </w:rPr>
        <w:t>industry experience. He brings extensive leadership experience, global perspective, and operational expertise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13</w:t>
      </w:r>
    </w:p>
    <w:p>
      <w:pPr>
        <w:sectPr>
          <w:pgSz w:w="11900" w:h="16838" w:orient="portrait"/>
          <w:cols w:equalWidth="0" w:num="2">
            <w:col w:w="1920" w:space="220"/>
            <w:col w:w="8760"/>
          </w:cols>
          <w:pgMar w:left="320" w:top="469" w:right="6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4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Proposal 1: </w:t>
      </w:r>
      <w:r>
        <w:rPr>
          <w:rFonts w:ascii="Arial" w:cs="Arial" w:eastAsia="Arial" w:hAnsi="Arial"/>
          <w:sz w:val="15"/>
          <w:szCs w:val="15"/>
          <w:b w:val="1"/>
          <w:bCs w:val="1"/>
          <w:color w:val="000000"/>
        </w:rPr>
        <w:t>Resolutions Regarding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257175</wp:posOffset>
            </wp:positionV>
            <wp:extent cx="1019810" cy="12172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19810" cy="1217295"/>
                    </a:xfrm>
                    <a:prstGeom prst="rect">
                      <a:avLst/>
                    </a:prstGeom>
                    <a:noFill/>
                  </pic:spPr>
                </pic:pic>
              </a:graphicData>
            </a:graphic>
          </wp:anchor>
        </w:drawing>
      </w:r>
    </w:p>
    <w:p>
      <w:pPr>
        <w:spacing w:after="0" w:line="388" w:lineRule="exact"/>
        <w:rPr>
          <w:sz w:val="20"/>
          <w:szCs w:val="20"/>
          <w:color w:val="auto"/>
        </w:rPr>
      </w:pPr>
    </w:p>
    <w:p>
      <w:pPr>
        <w:ind w:left="2060"/>
        <w:spacing w:after="0"/>
        <w:rPr>
          <w:sz w:val="20"/>
          <w:szCs w:val="20"/>
          <w:color w:val="auto"/>
        </w:rPr>
      </w:pPr>
      <w:r>
        <w:rPr>
          <w:rFonts w:ascii="Arial" w:cs="Arial" w:eastAsia="Arial" w:hAnsi="Arial"/>
          <w:sz w:val="22"/>
          <w:szCs w:val="22"/>
          <w:b w:val="1"/>
          <w:bCs w:val="1"/>
          <w:color w:val="auto"/>
        </w:rPr>
        <w:t>Daniel A. Carestio</w:t>
      </w:r>
    </w:p>
    <w:p>
      <w:pPr>
        <w:spacing w:after="0" w:line="255" w:lineRule="exact"/>
        <w:rPr>
          <w:sz w:val="20"/>
          <w:szCs w:val="20"/>
          <w:color w:val="auto"/>
        </w:rPr>
      </w:pPr>
    </w:p>
    <w:p>
      <w:pPr>
        <w:ind w:left="2060"/>
        <w:spacing w:after="0" w:line="241" w:lineRule="auto"/>
        <w:rPr>
          <w:sz w:val="20"/>
          <w:szCs w:val="20"/>
          <w:color w:val="auto"/>
        </w:rPr>
      </w:pPr>
      <w:r>
        <w:rPr>
          <w:rFonts w:ascii="Arial" w:cs="Arial" w:eastAsia="Arial" w:hAnsi="Arial"/>
          <w:sz w:val="14"/>
          <w:szCs w:val="14"/>
          <w:color w:val="auto"/>
        </w:rPr>
        <w:t>Mr. Carestio has served as President and CEO of the Company since July 2021. He served as Senior Vice President and Chief Operating Officer from August 2018 to July 2021. He served as Senior Vice President, Sterilization and Disinfection from February 2018 to August 2018 and as Senior Vice President, STERIS Applied Sterilization Technologies and Life Sciences from August 2015 to February 2018. Mr. Carestio joined STERIS in September 1997.</w:t>
      </w:r>
    </w:p>
    <w:p>
      <w:pPr>
        <w:spacing w:after="0" w:line="92" w:lineRule="exact"/>
        <w:rPr>
          <w:sz w:val="20"/>
          <w:szCs w:val="20"/>
          <w:color w:val="auto"/>
        </w:rPr>
      </w:pPr>
    </w:p>
    <w:p>
      <w:pPr>
        <w:ind w:left="2060" w:right="140"/>
        <w:spacing w:after="0" w:line="246" w:lineRule="auto"/>
        <w:rPr>
          <w:sz w:val="20"/>
          <w:szCs w:val="20"/>
          <w:color w:val="auto"/>
        </w:rPr>
      </w:pPr>
      <w:r>
        <w:rPr>
          <w:rFonts w:ascii="Arial" w:cs="Arial" w:eastAsia="Arial" w:hAnsi="Arial"/>
          <w:sz w:val="14"/>
          <w:szCs w:val="14"/>
          <w:b w:val="1"/>
          <w:bCs w:val="1"/>
          <w:i w:val="1"/>
          <w:iCs w:val="1"/>
          <w:color w:val="3E8EDE"/>
        </w:rPr>
        <w:t xml:space="preserve">Qualifications. </w:t>
      </w:r>
      <w:r>
        <w:rPr>
          <w:rFonts w:ascii="Arial" w:cs="Arial" w:eastAsia="Arial" w:hAnsi="Arial"/>
          <w:sz w:val="14"/>
          <w:szCs w:val="14"/>
          <w:color w:val="000000"/>
        </w:rPr>
        <w:t>Mr. Carestio’s many years of experience in all operating aspects of STERIS’s business and familiarity with healthcare and</w:t>
      </w:r>
      <w:r>
        <w:rPr>
          <w:rFonts w:ascii="Arial" w:cs="Arial" w:eastAsia="Arial" w:hAnsi="Arial"/>
          <w:sz w:val="14"/>
          <w:szCs w:val="14"/>
          <w:b w:val="1"/>
          <w:bCs w:val="1"/>
          <w:i w:val="1"/>
          <w:iCs w:val="1"/>
          <w:color w:val="3E8EDE"/>
        </w:rPr>
        <w:t xml:space="preserve"> </w:t>
      </w:r>
      <w:r>
        <w:rPr>
          <w:rFonts w:ascii="Arial" w:cs="Arial" w:eastAsia="Arial" w:hAnsi="Arial"/>
          <w:sz w:val="14"/>
          <w:szCs w:val="14"/>
          <w:color w:val="000000"/>
        </w:rPr>
        <w:t>related industries and the Company’s Customers. Mr. Carestio leads the management team, assists the Board in its oversight of the Company, and provides unique perspectives into healthcare and related industries and our operations, direction and strategies.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President and Chief</w:t>
      </w:r>
    </w:p>
    <w:p>
      <w:pPr>
        <w:ind w:left="340"/>
        <w:spacing w:after="0" w:line="231" w:lineRule="auto"/>
        <w:rPr>
          <w:sz w:val="20"/>
          <w:szCs w:val="20"/>
          <w:color w:val="auto"/>
        </w:rPr>
      </w:pPr>
      <w:r>
        <w:rPr>
          <w:rFonts w:ascii="Arial" w:cs="Arial" w:eastAsia="Arial" w:hAnsi="Arial"/>
          <w:sz w:val="12"/>
          <w:szCs w:val="12"/>
          <w:color w:val="auto"/>
        </w:rPr>
        <w:t>Executive Officer of STERIS</w:t>
      </w:r>
    </w:p>
    <w:p>
      <w:pPr>
        <w:ind w:left="340"/>
        <w:spacing w:after="0"/>
        <w:rPr>
          <w:sz w:val="20"/>
          <w:szCs w:val="20"/>
          <w:color w:val="auto"/>
        </w:rPr>
      </w:pPr>
      <w:r>
        <w:rPr>
          <w:rFonts w:ascii="Arial" w:cs="Arial" w:eastAsia="Arial" w:hAnsi="Arial"/>
          <w:sz w:val="12"/>
          <w:szCs w:val="12"/>
          <w:color w:val="auto"/>
        </w:rPr>
        <w:t>plc</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2021</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53</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Committees: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2"/>
          <w:szCs w:val="12"/>
          <w:color w:val="auto"/>
        </w:rPr>
        <w:t>Compliance and Technology</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474980</wp:posOffset>
            </wp:positionV>
            <wp:extent cx="1019810" cy="12172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19810" cy="1217295"/>
                    </a:xfrm>
                    <a:prstGeom prst="rect">
                      <a:avLst/>
                    </a:prstGeom>
                    <a:noFill/>
                  </pic:spPr>
                </pic:pic>
              </a:graphicData>
            </a:graphic>
          </wp:anchor>
        </w:drawing>
      </w:r>
    </w:p>
    <w:p>
      <w:pPr>
        <w:sectPr>
          <w:pgSz w:w="11900" w:h="16838" w:orient="portrait"/>
          <w:cols w:equalWidth="0" w:num="1">
            <w:col w:w="10900"/>
          </w:cols>
          <w:pgMar w:left="320" w:top="46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line="262" w:lineRule="auto"/>
        <w:rPr>
          <w:sz w:val="20"/>
          <w:szCs w:val="20"/>
          <w:color w:val="auto"/>
        </w:rPr>
      </w:pPr>
      <w:r>
        <w:rPr>
          <w:rFonts w:ascii="Arial" w:cs="Arial" w:eastAsia="Arial" w:hAnsi="Arial"/>
          <w:sz w:val="12"/>
          <w:szCs w:val="12"/>
          <w:color w:val="auto"/>
        </w:rPr>
        <w:t>Retired, Former President &amp; Founder Jetty Lane Associates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2005</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73</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Committees:</w:t>
      </w:r>
    </w:p>
    <w:p>
      <w:pPr>
        <w:spacing w:after="0" w:line="69" w:lineRule="exact"/>
        <w:rPr>
          <w:sz w:val="20"/>
          <w:szCs w:val="20"/>
          <w:color w:val="auto"/>
        </w:rPr>
      </w:pPr>
    </w:p>
    <w:p>
      <w:pPr>
        <w:ind w:left="340" w:right="120"/>
        <w:spacing w:after="0" w:line="243" w:lineRule="auto"/>
        <w:rPr>
          <w:sz w:val="20"/>
          <w:szCs w:val="20"/>
          <w:color w:val="auto"/>
        </w:rPr>
      </w:pPr>
      <w:r>
        <w:rPr>
          <w:rFonts w:ascii="Arial" w:cs="Arial" w:eastAsia="Arial" w:hAnsi="Arial"/>
          <w:sz w:val="12"/>
          <w:szCs w:val="12"/>
          <w:color w:val="auto"/>
        </w:rPr>
        <w:t>Audit Committee Nominating and Governance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Cynthia L. Feldmann</w:t>
      </w:r>
    </w:p>
    <w:p>
      <w:pPr>
        <w:spacing w:after="0" w:line="255" w:lineRule="exact"/>
        <w:rPr>
          <w:sz w:val="20"/>
          <w:szCs w:val="20"/>
          <w:color w:val="auto"/>
        </w:rPr>
      </w:pPr>
    </w:p>
    <w:p>
      <w:pPr>
        <w:ind w:right="60"/>
        <w:spacing w:after="0" w:line="236" w:lineRule="auto"/>
        <w:rPr>
          <w:sz w:val="20"/>
          <w:szCs w:val="20"/>
          <w:color w:val="auto"/>
        </w:rPr>
      </w:pPr>
      <w:r>
        <w:rPr>
          <w:rFonts w:ascii="Arial" w:cs="Arial" w:eastAsia="Arial" w:hAnsi="Arial"/>
          <w:sz w:val="14"/>
          <w:szCs w:val="14"/>
          <w:color w:val="auto"/>
        </w:rPr>
        <w:t>Ms. Feldmann is a retired certified public accountant with 27 years of experience in two large global accounting firms. From 2005 to 2011, Ms. Feldmann served as the Founder and President of Jetty Lane Associates, a consulting firm. From 2003 to 2005, Ms. Feldmann served as the Life Sciences Business Development Officer for the Boston law firm Palmer &amp; Dodge, LLP. From 1994 to 2002, Ms. Feldmann was a partner with KPMG LLP, primarily serving as Partner-in-Charge of its National Medical Technologies Practice. From 1975 to 1994, Ms. Feldmann was employed by Coopers &amp; Lybrand (now PricewaterhouseCoopers LLP), and during that time was named Partner-in-Charge of its Life Sciences practice. Ms. Feldmann served as a director of Hanger, Inc. from 2003 until 2018, as a director of Frequency Therapeutics, Inc. from 2020 until 2023 and as a director of Alexandria Real Estate Equities, Inc. from 2022 until 2025. Ms. Feldmann has served as a director of UFP Technologies, Inc. (NASDAQ: UFPT) since 2017.</w:t>
      </w:r>
    </w:p>
    <w:p>
      <w:pPr>
        <w:spacing w:after="0" w:line="93" w:lineRule="exact"/>
        <w:rPr>
          <w:sz w:val="20"/>
          <w:szCs w:val="20"/>
          <w:color w:val="auto"/>
        </w:rPr>
      </w:pPr>
    </w:p>
    <w:p>
      <w:pPr>
        <w:ind w:right="200"/>
        <w:spacing w:after="0" w:line="246" w:lineRule="auto"/>
        <w:rPr>
          <w:sz w:val="20"/>
          <w:szCs w:val="20"/>
          <w:color w:val="auto"/>
        </w:rPr>
      </w:pPr>
      <w:r>
        <w:rPr>
          <w:rFonts w:ascii="Arial" w:cs="Arial" w:eastAsia="Arial" w:hAnsi="Arial"/>
          <w:sz w:val="14"/>
          <w:szCs w:val="14"/>
          <w:b w:val="1"/>
          <w:bCs w:val="1"/>
          <w:i w:val="1"/>
          <w:iCs w:val="1"/>
          <w:color w:val="3E8EDE"/>
        </w:rPr>
        <w:t xml:space="preserve">Qualifications. </w:t>
      </w:r>
      <w:r>
        <w:rPr>
          <w:rFonts w:ascii="Arial" w:cs="Arial" w:eastAsia="Arial" w:hAnsi="Arial"/>
          <w:sz w:val="14"/>
          <w:szCs w:val="14"/>
          <w:color w:val="000000"/>
        </w:rPr>
        <w:t>Ms. Feldmann’s experience as Partner-in-Charge of a national medical technologies practice and Life Sciences practice for</w:t>
      </w:r>
      <w:r>
        <w:rPr>
          <w:rFonts w:ascii="Arial" w:cs="Arial" w:eastAsia="Arial" w:hAnsi="Arial"/>
          <w:sz w:val="14"/>
          <w:szCs w:val="14"/>
          <w:b w:val="1"/>
          <w:bCs w:val="1"/>
          <w:i w:val="1"/>
          <w:iCs w:val="1"/>
          <w:color w:val="3E8EDE"/>
        </w:rPr>
        <w:t xml:space="preserve"> </w:t>
      </w:r>
      <w:r>
        <w:rPr>
          <w:rFonts w:ascii="Arial" w:cs="Arial" w:eastAsia="Arial" w:hAnsi="Arial"/>
          <w:sz w:val="14"/>
          <w:szCs w:val="14"/>
          <w:color w:val="000000"/>
        </w:rPr>
        <w:t>leading public accounting firms and director of publicly traded companies. Ms. Feldmann’s overall experience and financial expertise supports the Board’s oversight of critical financial policy, reporting, and risk matters encountered by public companies.</w:t>
      </w:r>
    </w:p>
    <w:p>
      <w:pPr>
        <w:spacing w:after="0" w:line="1181" w:lineRule="exact"/>
        <w:rPr>
          <w:sz w:val="20"/>
          <w:szCs w:val="20"/>
          <w:color w:val="auto"/>
        </w:rPr>
      </w:pPr>
    </w:p>
    <w:p>
      <w:pPr>
        <w:sectPr>
          <w:pgSz w:w="11900" w:h="16838" w:orient="portrait"/>
          <w:cols w:equalWidth="0" w:num="2">
            <w:col w:w="2000" w:space="60"/>
            <w:col w:w="8840"/>
          </w:cols>
          <w:pgMar w:left="320" w:top="469" w:right="67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 xml:space="preserve">14   </w:t>
      </w:r>
      <w:r>
        <w:rPr>
          <w:rFonts w:ascii="Arial" w:cs="Arial" w:eastAsia="Arial" w:hAnsi="Arial"/>
          <w:sz w:val="14"/>
          <w:szCs w:val="14"/>
          <w:b w:val="1"/>
          <w:bCs w:val="1"/>
          <w:color w:val="3E8EDE"/>
        </w:rPr>
        <w:t>Notice of Annual Meeting of Shareholders</w:t>
      </w:r>
      <w:r>
        <w:rPr>
          <w:rFonts w:ascii="Arial" w:cs="Arial" w:eastAsia="Arial" w:hAnsi="Arial"/>
          <w:sz w:val="14"/>
          <w:szCs w:val="14"/>
          <w:color w:val="auto"/>
        </w:rPr>
        <w:t xml:space="preserve"> and 2026 Proxy Statement</w:t>
      </w:r>
    </w:p>
    <w:p>
      <w:pPr>
        <w:sectPr>
          <w:pgSz w:w="11900" w:h="16838" w:orient="portrait"/>
          <w:cols w:equalWidth="0" w:num="1">
            <w:col w:w="10900"/>
          </w:cols>
          <w:pgMar w:left="320" w:top="469" w:right="6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4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Proposal 1: </w:t>
      </w:r>
      <w:r>
        <w:rPr>
          <w:rFonts w:ascii="Arial" w:cs="Arial" w:eastAsia="Arial" w:hAnsi="Arial"/>
          <w:sz w:val="15"/>
          <w:szCs w:val="15"/>
          <w:b w:val="1"/>
          <w:bCs w:val="1"/>
          <w:color w:val="000000"/>
        </w:rPr>
        <w:t>Resolutions Regarding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257175</wp:posOffset>
            </wp:positionV>
            <wp:extent cx="1019810" cy="12172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19810" cy="1217295"/>
                    </a:xfrm>
                    <a:prstGeom prst="rect">
                      <a:avLst/>
                    </a:prstGeom>
                    <a:noFill/>
                  </pic:spPr>
                </pic:pic>
              </a:graphicData>
            </a:graphic>
          </wp:anchor>
        </w:drawing>
      </w:r>
    </w:p>
    <w:p>
      <w:pPr>
        <w:sectPr>
          <w:pgSz w:w="11900" w:h="16838" w:orient="portrait"/>
          <w:cols w:equalWidth="0" w:num="1">
            <w:col w:w="10900"/>
          </w:cols>
          <w:pgMar w:left="320" w:top="46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spacing w:after="0" w:line="243" w:lineRule="auto"/>
        <w:rPr>
          <w:sz w:val="20"/>
          <w:szCs w:val="20"/>
          <w:color w:val="auto"/>
        </w:rPr>
      </w:pPr>
      <w:r>
        <w:rPr>
          <w:rFonts w:ascii="Arial" w:cs="Arial" w:eastAsia="Arial" w:hAnsi="Arial"/>
          <w:sz w:val="12"/>
          <w:szCs w:val="12"/>
          <w:color w:val="auto"/>
        </w:rPr>
        <w:t>Retired, Former Senior Vice President and Chief Financial Officer of C.R. Bard</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2020</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59</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Committees:</w:t>
      </w:r>
    </w:p>
    <w:p>
      <w:pPr>
        <w:spacing w:after="0" w:line="69" w:lineRule="exact"/>
        <w:rPr>
          <w:sz w:val="20"/>
          <w:szCs w:val="20"/>
          <w:color w:val="auto"/>
        </w:rPr>
      </w:pPr>
    </w:p>
    <w:p>
      <w:pPr>
        <w:ind w:left="340" w:right="140"/>
        <w:spacing w:after="0" w:line="238" w:lineRule="auto"/>
        <w:rPr>
          <w:sz w:val="20"/>
          <w:szCs w:val="20"/>
          <w:color w:val="auto"/>
        </w:rPr>
      </w:pPr>
      <w:r>
        <w:rPr>
          <w:rFonts w:ascii="Arial" w:cs="Arial" w:eastAsia="Arial" w:hAnsi="Arial"/>
          <w:sz w:val="12"/>
          <w:szCs w:val="12"/>
          <w:color w:val="auto"/>
        </w:rPr>
        <w:t>Audit Committee Compensation and Organization Development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469900</wp:posOffset>
            </wp:positionV>
            <wp:extent cx="1019810" cy="12172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19810" cy="121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Christopher S. Holland</w:t>
      </w:r>
    </w:p>
    <w:p>
      <w:pPr>
        <w:spacing w:after="0" w:line="255"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color w:val="auto"/>
        </w:rPr>
        <w:t>Mr. Holland is the former Senior Vice President and Chief Financial Officer of C.R. Bard, a developer, manufacturer, and marketer of medical technologies, from May 2012 until its December 2017 acquisition by Becton, Dickinson and Company. From 2015 through 2017, Mr. Holland’s responsibilities also included business development, corporate marketing, reimbursement, healthcare economics and strategy. From 2013 through 2015, he also had operating responsibility for Bard Medical Division. Earlier, Mr. Holland was Senior VP, Finance, and Treasurer of Aramark Corporation, a global provider of food, facilities and uniform services, from 2006 through 2012, and Vice President and Treasurer from 2003 to 2006. Prior to joining Aramark, he served as Vice President and medical device sector head at J.P. Morgan and Company, Inc. from 1999 to 2003. Prior to that, Mr. Holland held various positions of increasing responsibility at J.P. Morgan. He has served as a director of Jabil Inc. (NYSE: JBL) since January 2018.</w:t>
      </w:r>
    </w:p>
    <w:p>
      <w:pPr>
        <w:spacing w:after="0" w:line="93" w:lineRule="exact"/>
        <w:rPr>
          <w:sz w:val="20"/>
          <w:szCs w:val="20"/>
          <w:color w:val="auto"/>
        </w:rPr>
      </w:pPr>
    </w:p>
    <w:p>
      <w:pPr>
        <w:ind w:right="20"/>
        <w:spacing w:after="0" w:line="274" w:lineRule="auto"/>
        <w:rPr>
          <w:sz w:val="20"/>
          <w:szCs w:val="20"/>
          <w:color w:val="auto"/>
        </w:rPr>
      </w:pPr>
      <w:r>
        <w:rPr>
          <w:rFonts w:ascii="Arial" w:cs="Arial" w:eastAsia="Arial" w:hAnsi="Arial"/>
          <w:sz w:val="13"/>
          <w:szCs w:val="13"/>
          <w:b w:val="1"/>
          <w:bCs w:val="1"/>
          <w:i w:val="1"/>
          <w:iCs w:val="1"/>
          <w:color w:val="3E8EDE"/>
        </w:rPr>
        <w:t xml:space="preserve">Qualifications. </w:t>
      </w:r>
      <w:r>
        <w:rPr>
          <w:rFonts w:ascii="Arial" w:cs="Arial" w:eastAsia="Arial" w:hAnsi="Arial"/>
          <w:sz w:val="13"/>
          <w:szCs w:val="13"/>
          <w:color w:val="000000"/>
        </w:rPr>
        <w:t>Mr. Holland’s over thirty years of combined professional experience as a finance executive and investment banker, including</w:t>
      </w:r>
      <w:r>
        <w:rPr>
          <w:rFonts w:ascii="Arial" w:cs="Arial" w:eastAsia="Arial" w:hAnsi="Arial"/>
          <w:sz w:val="13"/>
          <w:szCs w:val="13"/>
          <w:b w:val="1"/>
          <w:bCs w:val="1"/>
          <w:i w:val="1"/>
          <w:iCs w:val="1"/>
          <w:color w:val="3E8EDE"/>
        </w:rPr>
        <w:t xml:space="preserve"> </w:t>
      </w:r>
      <w:r>
        <w:rPr>
          <w:rFonts w:ascii="Arial" w:cs="Arial" w:eastAsia="Arial" w:hAnsi="Arial"/>
          <w:sz w:val="13"/>
          <w:szCs w:val="13"/>
          <w:color w:val="000000"/>
        </w:rPr>
        <w:t>experience as the CFO of a publicly traded medical technologies company. Mr. Holland’s extensive financial experience and experience relating to the healthcare industry, medical devices and technology, provide our Board with invaluable experience and expertise relative to those matters.</w:t>
      </w:r>
    </w:p>
    <w:p>
      <w:pPr>
        <w:spacing w:after="0" w:line="1494" w:lineRule="exact"/>
        <w:rPr>
          <w:sz w:val="20"/>
          <w:szCs w:val="20"/>
          <w:color w:val="auto"/>
        </w:rPr>
      </w:pPr>
    </w:p>
    <w:p>
      <w:pPr>
        <w:sectPr>
          <w:pgSz w:w="11900" w:h="16838" w:orient="portrait"/>
          <w:cols w:equalWidth="0" w:num="2">
            <w:col w:w="1920" w:space="140"/>
            <w:col w:w="8840"/>
          </w:cols>
          <w:pgMar w:left="320" w:top="469" w:right="67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2060"/>
        <w:spacing w:after="0"/>
        <w:rPr>
          <w:sz w:val="20"/>
          <w:szCs w:val="20"/>
          <w:color w:val="auto"/>
        </w:rPr>
      </w:pPr>
      <w:r>
        <w:rPr>
          <w:rFonts w:ascii="Arial" w:cs="Arial" w:eastAsia="Arial" w:hAnsi="Arial"/>
          <w:sz w:val="22"/>
          <w:szCs w:val="22"/>
          <w:b w:val="1"/>
          <w:bCs w:val="1"/>
          <w:color w:val="auto"/>
        </w:rPr>
        <w:t>Paul E. Martin</w:t>
      </w:r>
    </w:p>
    <w:p>
      <w:pPr>
        <w:spacing w:after="0" w:line="255" w:lineRule="exact"/>
        <w:rPr>
          <w:sz w:val="20"/>
          <w:szCs w:val="20"/>
          <w:color w:val="auto"/>
        </w:rPr>
      </w:pPr>
    </w:p>
    <w:p>
      <w:pPr>
        <w:ind w:left="2060" w:right="140"/>
        <w:spacing w:after="0" w:line="274" w:lineRule="auto"/>
        <w:rPr>
          <w:sz w:val="20"/>
          <w:szCs w:val="20"/>
          <w:color w:val="auto"/>
        </w:rPr>
      </w:pPr>
      <w:r>
        <w:rPr>
          <w:rFonts w:ascii="Arial" w:cs="Arial" w:eastAsia="Arial" w:hAnsi="Arial"/>
          <w:sz w:val="13"/>
          <w:szCs w:val="13"/>
          <w:color w:val="auto"/>
        </w:rPr>
        <w:t>Mr. Martin is the former Senior Vice President &amp; Chief Information Officer of Baxter International, a multinational healthcare company, from January 2011 to October 2020. Mr. Martin has served as a director of Unisys Corporation (NYSE: UIS) since 2017 and Owens Corning (NYSE: OC) since 2021. From January 2021 to October 2022, Mr. Martin served as a member of the board of directors of Ping Identity Holding Corp.</w:t>
      </w:r>
    </w:p>
    <w:p>
      <w:pPr>
        <w:spacing w:after="0" w:line="71" w:lineRule="exact"/>
        <w:rPr>
          <w:sz w:val="20"/>
          <w:szCs w:val="20"/>
          <w:color w:val="auto"/>
        </w:rPr>
      </w:pPr>
    </w:p>
    <w:p>
      <w:pPr>
        <w:ind w:left="2060"/>
        <w:spacing w:after="0" w:line="274" w:lineRule="auto"/>
        <w:rPr>
          <w:sz w:val="20"/>
          <w:szCs w:val="20"/>
          <w:color w:val="auto"/>
        </w:rPr>
      </w:pPr>
      <w:r>
        <w:rPr>
          <w:rFonts w:ascii="Arial" w:cs="Arial" w:eastAsia="Arial" w:hAnsi="Arial"/>
          <w:sz w:val="13"/>
          <w:szCs w:val="13"/>
          <w:b w:val="1"/>
          <w:bCs w:val="1"/>
          <w:i w:val="1"/>
          <w:iCs w:val="1"/>
          <w:color w:val="3E8EDE"/>
        </w:rPr>
        <w:t xml:space="preserve">Qualifications. </w:t>
      </w:r>
      <w:r>
        <w:rPr>
          <w:rFonts w:ascii="Arial" w:cs="Arial" w:eastAsia="Arial" w:hAnsi="Arial"/>
          <w:sz w:val="13"/>
          <w:szCs w:val="13"/>
          <w:color w:val="000000"/>
        </w:rPr>
        <w:t>Mr. Martin’s extensive professional management experience as an information technology executive, his technology and security</w:t>
      </w:r>
      <w:r>
        <w:rPr>
          <w:rFonts w:ascii="Arial" w:cs="Arial" w:eastAsia="Arial" w:hAnsi="Arial"/>
          <w:sz w:val="13"/>
          <w:szCs w:val="13"/>
          <w:b w:val="1"/>
          <w:bCs w:val="1"/>
          <w:i w:val="1"/>
          <w:iCs w:val="1"/>
          <w:color w:val="3E8EDE"/>
        </w:rPr>
        <w:t xml:space="preserve"> </w:t>
      </w:r>
      <w:r>
        <w:rPr>
          <w:rFonts w:ascii="Arial" w:cs="Arial" w:eastAsia="Arial" w:hAnsi="Arial"/>
          <w:sz w:val="13"/>
          <w:szCs w:val="13"/>
          <w:color w:val="000000"/>
        </w:rPr>
        <w:t>risk experience and his financial experience. Mr. Martin’s IT experience as well as international experience and life sciences and healthcare experience provide the Company with invaluable resources and strengthen our Board’s oversight of information security and healthcare matters.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2"/>
          <w:szCs w:val="12"/>
          <w:color w:val="auto"/>
        </w:rPr>
        <w:t>Retired, Former Senior Vice</w:t>
      </w:r>
    </w:p>
    <w:p>
      <w:pPr>
        <w:ind w:left="340"/>
        <w:spacing w:after="0" w:line="231" w:lineRule="auto"/>
        <w:rPr>
          <w:sz w:val="20"/>
          <w:szCs w:val="20"/>
          <w:color w:val="auto"/>
        </w:rPr>
      </w:pPr>
      <w:r>
        <w:rPr>
          <w:rFonts w:ascii="Arial" w:cs="Arial" w:eastAsia="Arial" w:hAnsi="Arial"/>
          <w:sz w:val="12"/>
          <w:szCs w:val="12"/>
          <w:color w:val="auto"/>
        </w:rPr>
        <w:t>President &amp; Chief Information</w:t>
      </w:r>
    </w:p>
    <w:p>
      <w:pPr>
        <w:ind w:left="340"/>
        <w:spacing w:after="0"/>
        <w:rPr>
          <w:sz w:val="20"/>
          <w:szCs w:val="20"/>
          <w:color w:val="auto"/>
        </w:rPr>
      </w:pPr>
      <w:r>
        <w:rPr>
          <w:rFonts w:ascii="Arial" w:cs="Arial" w:eastAsia="Arial" w:hAnsi="Arial"/>
          <w:sz w:val="12"/>
          <w:szCs w:val="12"/>
          <w:color w:val="auto"/>
        </w:rPr>
        <w:t>Officer of Baxter International</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2021</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68</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Committees: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Audit Committee</w:t>
      </w:r>
    </w:p>
    <w:p>
      <w:pPr>
        <w:ind w:left="340"/>
        <w:spacing w:after="0" w:line="231" w:lineRule="auto"/>
        <w:rPr>
          <w:sz w:val="20"/>
          <w:szCs w:val="20"/>
          <w:color w:val="auto"/>
        </w:rPr>
      </w:pPr>
      <w:r>
        <w:rPr>
          <w:rFonts w:ascii="Arial" w:cs="Arial" w:eastAsia="Arial" w:hAnsi="Arial"/>
          <w:sz w:val="12"/>
          <w:szCs w:val="12"/>
          <w:color w:val="auto"/>
        </w:rPr>
        <w:t>Compensation and</w:t>
      </w:r>
    </w:p>
    <w:p>
      <w:pPr>
        <w:ind w:left="340"/>
        <w:spacing w:after="0" w:line="225" w:lineRule="auto"/>
        <w:rPr>
          <w:sz w:val="20"/>
          <w:szCs w:val="20"/>
          <w:color w:val="auto"/>
        </w:rPr>
      </w:pPr>
      <w:r>
        <w:rPr>
          <w:rFonts w:ascii="Arial" w:cs="Arial" w:eastAsia="Arial" w:hAnsi="Arial"/>
          <w:sz w:val="12"/>
          <w:szCs w:val="12"/>
          <w:color w:val="auto"/>
        </w:rPr>
        <w:t>Organization Development</w:t>
      </w:r>
    </w:p>
    <w:p>
      <w:pPr>
        <w:ind w:left="340"/>
        <w:spacing w:after="0"/>
        <w:rPr>
          <w:sz w:val="20"/>
          <w:szCs w:val="20"/>
          <w:color w:val="auto"/>
        </w:rPr>
      </w:pPr>
      <w:r>
        <w:rPr>
          <w:rFonts w:ascii="Arial" w:cs="Arial" w:eastAsia="Arial" w:hAnsi="Arial"/>
          <w:sz w:val="12"/>
          <w:szCs w:val="12"/>
          <w:color w:val="auto"/>
        </w:rPr>
        <w:t>Committee</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15</w:t>
      </w:r>
    </w:p>
    <w:p>
      <w:pPr>
        <w:sectPr>
          <w:pgSz w:w="11900" w:h="16838" w:orient="portrait"/>
          <w:cols w:equalWidth="0" w:num="1">
            <w:col w:w="10900"/>
          </w:cols>
          <w:pgMar w:left="320" w:top="469" w:right="6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4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Proposal 1: </w:t>
      </w:r>
      <w:r>
        <w:rPr>
          <w:rFonts w:ascii="Arial" w:cs="Arial" w:eastAsia="Arial" w:hAnsi="Arial"/>
          <w:sz w:val="15"/>
          <w:szCs w:val="15"/>
          <w:b w:val="1"/>
          <w:bCs w:val="1"/>
          <w:color w:val="000000"/>
        </w:rPr>
        <w:t>Resolutions Regarding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257175</wp:posOffset>
            </wp:positionV>
            <wp:extent cx="1019810" cy="12255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19810" cy="1225550"/>
                    </a:xfrm>
                    <a:prstGeom prst="rect">
                      <a:avLst/>
                    </a:prstGeom>
                    <a:noFill/>
                  </pic:spPr>
                </pic:pic>
              </a:graphicData>
            </a:graphic>
          </wp:anchor>
        </w:drawing>
      </w:r>
    </w:p>
    <w:p>
      <w:pPr>
        <w:sectPr>
          <w:pgSz w:w="11900" w:h="16838" w:orient="portrait"/>
          <w:cols w:equalWidth="0" w:num="1">
            <w:col w:w="10900"/>
          </w:cols>
          <w:pgMar w:left="320" w:top="46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right="220"/>
        <w:spacing w:after="0" w:line="262" w:lineRule="auto"/>
        <w:rPr>
          <w:sz w:val="20"/>
          <w:szCs w:val="20"/>
          <w:color w:val="auto"/>
        </w:rPr>
      </w:pPr>
      <w:r>
        <w:rPr>
          <w:rFonts w:ascii="Arial" w:cs="Arial" w:eastAsia="Arial" w:hAnsi="Arial"/>
          <w:sz w:val="12"/>
          <w:szCs w:val="12"/>
          <w:color w:val="auto"/>
        </w:rPr>
        <w:t>Senior Scholar, Stanford University</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2018</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54</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Committees: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2"/>
          <w:szCs w:val="12"/>
          <w:color w:val="auto"/>
        </w:rPr>
        <w:t>Compensation and</w:t>
      </w:r>
    </w:p>
    <w:p>
      <w:pPr>
        <w:ind w:left="340"/>
        <w:spacing w:after="0" w:line="231" w:lineRule="auto"/>
        <w:rPr>
          <w:sz w:val="20"/>
          <w:szCs w:val="20"/>
          <w:color w:val="auto"/>
        </w:rPr>
      </w:pPr>
      <w:r>
        <w:rPr>
          <w:rFonts w:ascii="Arial" w:cs="Arial" w:eastAsia="Arial" w:hAnsi="Arial"/>
          <w:sz w:val="12"/>
          <w:szCs w:val="12"/>
          <w:color w:val="auto"/>
        </w:rPr>
        <w:t>Organization Development</w:t>
      </w:r>
    </w:p>
    <w:p>
      <w:pPr>
        <w:ind w:left="340"/>
        <w:spacing w:after="0" w:line="225" w:lineRule="auto"/>
        <w:rPr>
          <w:sz w:val="20"/>
          <w:szCs w:val="20"/>
          <w:color w:val="auto"/>
        </w:rPr>
      </w:pPr>
      <w:r>
        <w:rPr>
          <w:rFonts w:ascii="Arial" w:cs="Arial" w:eastAsia="Arial" w:hAnsi="Arial"/>
          <w:sz w:val="12"/>
          <w:szCs w:val="12"/>
          <w:color w:val="auto"/>
        </w:rPr>
        <w:t>Committee</w:t>
      </w:r>
    </w:p>
    <w:p>
      <w:pPr>
        <w:ind w:left="340"/>
        <w:spacing w:after="0"/>
        <w:rPr>
          <w:sz w:val="20"/>
          <w:szCs w:val="20"/>
          <w:color w:val="auto"/>
        </w:rPr>
      </w:pPr>
      <w:r>
        <w:rPr>
          <w:rFonts w:ascii="Arial" w:cs="Arial" w:eastAsia="Arial" w:hAnsi="Arial"/>
          <w:sz w:val="11"/>
          <w:szCs w:val="11"/>
          <w:color w:val="auto"/>
        </w:rPr>
        <w:t>Compliance and Technology</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474980</wp:posOffset>
            </wp:positionV>
            <wp:extent cx="1019810" cy="12172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19810" cy="121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Dr. Nirav R. Shah</w:t>
      </w:r>
    </w:p>
    <w:p>
      <w:pPr>
        <w:spacing w:after="0" w:line="255" w:lineRule="exact"/>
        <w:rPr>
          <w:sz w:val="20"/>
          <w:szCs w:val="20"/>
          <w:color w:val="auto"/>
        </w:rPr>
      </w:pPr>
    </w:p>
    <w:p>
      <w:pPr>
        <w:ind w:right="60"/>
        <w:spacing w:after="0" w:line="238" w:lineRule="auto"/>
        <w:rPr>
          <w:sz w:val="20"/>
          <w:szCs w:val="20"/>
          <w:color w:val="auto"/>
        </w:rPr>
      </w:pPr>
      <w:r>
        <w:rPr>
          <w:rFonts w:ascii="Arial" w:cs="Arial" w:eastAsia="Arial" w:hAnsi="Arial"/>
          <w:sz w:val="14"/>
          <w:szCs w:val="14"/>
          <w:color w:val="auto"/>
        </w:rPr>
        <w:t>Dr. Shah has served on the faculty of Stanford University since August 2018. From March 2022 to March 2025, Dr. Shah served as the Chief Medical Officer of American Health Associates. Dr. Shah is also co-founder of Qualified Health PBC, which was founded in 2024. Previously, Dr. Shah served from July 2020 through March 2022 as Chief Medical Officer of doc.ai, inc., and its successor, Sharecare Inc., a digital healthcare platform company. Dr. Shah also served as Commissioner of Health of the State of New York from January 2011 to May 2014 and as Senior Vice President and Chief Operating Officer for Clinical Operations for Kaiser Permanente Southern California from May 2014 to October 2017.</w:t>
      </w:r>
    </w:p>
    <w:p>
      <w:pPr>
        <w:spacing w:after="0" w:line="91"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b w:val="1"/>
          <w:bCs w:val="1"/>
          <w:i w:val="1"/>
          <w:iCs w:val="1"/>
          <w:color w:val="3E8EDE"/>
        </w:rPr>
        <w:t xml:space="preserve">Qualifications. </w:t>
      </w:r>
      <w:r>
        <w:rPr>
          <w:rFonts w:ascii="Arial" w:cs="Arial" w:eastAsia="Arial" w:hAnsi="Arial"/>
          <w:sz w:val="14"/>
          <w:szCs w:val="14"/>
          <w:color w:val="000000"/>
        </w:rPr>
        <w:t>Dr. Shah’s experience at one of the nation’s leading public health agencies and service as COO for Clinical Operations of one of</w:t>
      </w:r>
      <w:r>
        <w:rPr>
          <w:rFonts w:ascii="Arial" w:cs="Arial" w:eastAsia="Arial" w:hAnsi="Arial"/>
          <w:sz w:val="14"/>
          <w:szCs w:val="14"/>
          <w:b w:val="1"/>
          <w:bCs w:val="1"/>
          <w:i w:val="1"/>
          <w:iCs w:val="1"/>
          <w:color w:val="3E8EDE"/>
        </w:rPr>
        <w:t xml:space="preserve"> </w:t>
      </w:r>
      <w:r>
        <w:rPr>
          <w:rFonts w:ascii="Arial" w:cs="Arial" w:eastAsia="Arial" w:hAnsi="Arial"/>
          <w:sz w:val="14"/>
          <w:szCs w:val="14"/>
          <w:color w:val="000000"/>
        </w:rPr>
        <w:t>America’s leading healthcare providers and not-for-profit health plans. Dr. Shah provides the Board with years of policy and regulatory experience, management experience in our industry and experience as a practicing physician, as well as a new area of focus in innovative models in healthcare.</w:t>
      </w:r>
    </w:p>
    <w:p>
      <w:pPr>
        <w:spacing w:after="0" w:line="1674" w:lineRule="exact"/>
        <w:rPr>
          <w:sz w:val="20"/>
          <w:szCs w:val="20"/>
          <w:color w:val="auto"/>
        </w:rPr>
      </w:pPr>
    </w:p>
    <w:p>
      <w:pPr>
        <w:sectPr>
          <w:pgSz w:w="11900" w:h="16838" w:orient="portrait"/>
          <w:cols w:equalWidth="0" w:num="2">
            <w:col w:w="1860" w:space="200"/>
            <w:col w:w="8840"/>
          </w:cols>
          <w:pgMar w:left="320" w:top="469"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right="120"/>
        <w:spacing w:after="0" w:line="243" w:lineRule="auto"/>
        <w:rPr>
          <w:sz w:val="20"/>
          <w:szCs w:val="20"/>
          <w:color w:val="auto"/>
        </w:rPr>
      </w:pPr>
      <w:r>
        <w:rPr>
          <w:rFonts w:ascii="Arial" w:cs="Arial" w:eastAsia="Arial" w:hAnsi="Arial"/>
          <w:sz w:val="12"/>
          <w:szCs w:val="12"/>
          <w:color w:val="auto"/>
        </w:rPr>
        <w:t>Retired, Former President and CEO of Hospital for Special Surgery</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2025</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66</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Committees:</w:t>
      </w:r>
    </w:p>
    <w:p>
      <w:pPr>
        <w:spacing w:after="0" w:line="69" w:lineRule="exact"/>
        <w:rPr>
          <w:sz w:val="20"/>
          <w:szCs w:val="20"/>
          <w:color w:val="auto"/>
        </w:rPr>
      </w:pPr>
    </w:p>
    <w:p>
      <w:pPr>
        <w:ind w:left="340"/>
        <w:spacing w:after="0" w:line="243" w:lineRule="auto"/>
        <w:rPr>
          <w:sz w:val="20"/>
          <w:szCs w:val="20"/>
          <w:color w:val="auto"/>
        </w:rPr>
      </w:pPr>
      <w:r>
        <w:rPr>
          <w:rFonts w:ascii="Arial" w:cs="Arial" w:eastAsia="Arial" w:hAnsi="Arial"/>
          <w:sz w:val="12"/>
          <w:szCs w:val="12"/>
          <w:color w:val="auto"/>
        </w:rPr>
        <w:t>Audit Committee Compliance and Technology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Louis A. Shapiro</w:t>
      </w:r>
    </w:p>
    <w:p>
      <w:pPr>
        <w:spacing w:after="0" w:line="255" w:lineRule="exact"/>
        <w:rPr>
          <w:sz w:val="20"/>
          <w:szCs w:val="20"/>
          <w:color w:val="auto"/>
        </w:rPr>
      </w:pPr>
    </w:p>
    <w:p>
      <w:pPr>
        <w:ind w:right="40"/>
        <w:spacing w:after="0" w:line="236" w:lineRule="auto"/>
        <w:rPr>
          <w:sz w:val="20"/>
          <w:szCs w:val="20"/>
          <w:color w:val="auto"/>
        </w:rPr>
      </w:pPr>
      <w:r>
        <w:rPr>
          <w:rFonts w:ascii="Arial" w:cs="Arial" w:eastAsia="Arial" w:hAnsi="Arial"/>
          <w:sz w:val="14"/>
          <w:szCs w:val="14"/>
          <w:color w:val="auto"/>
        </w:rPr>
        <w:t>Mr. Shapiro served as President and Chief Executive Officer of the Hospital for Special Surgery (“HSS”), a leading academic medical center focused on musculoskeletal health, from 2006 until his retirement in 2023. Prior to joining HSS, Mr. Shapiro worked at Geisinger Health System from 2002 to 2006, serving in roles with increasing leadership scope and ultimately advancing to Executive Vice President and Chief Operating Officer of the Clinical Enterprise. From 1999 to 2002, he served as a senior healthcare expert and consultant at McKinsey &amp; Co. Prior to McKinsey, he held positions in other hospitals and health systems from 1983 through 1999. Since October 2023, Mr. Shapiro has served as a Senior Advisor to General Atlantic, a private equity firm, and on the board of certain of their healthcare focused portfolio companies. Additionally, Mr. Shapiro serves in numerous advisory capacities and board positions at other privately held organizations. He is currently a director of Zimmer Biomet Holdings, Inc. (NYSE and SIX: ZBH).</w:t>
      </w:r>
    </w:p>
    <w:p>
      <w:pPr>
        <w:spacing w:after="0" w:line="93" w:lineRule="exact"/>
        <w:rPr>
          <w:sz w:val="20"/>
          <w:szCs w:val="20"/>
          <w:color w:val="auto"/>
        </w:rPr>
      </w:pPr>
    </w:p>
    <w:p>
      <w:pPr>
        <w:jc w:val="both"/>
        <w:ind w:right="340"/>
        <w:spacing w:after="0" w:line="246" w:lineRule="auto"/>
        <w:rPr>
          <w:sz w:val="20"/>
          <w:szCs w:val="20"/>
          <w:color w:val="auto"/>
        </w:rPr>
      </w:pPr>
      <w:r>
        <w:rPr>
          <w:rFonts w:ascii="Arial" w:cs="Arial" w:eastAsia="Arial" w:hAnsi="Arial"/>
          <w:sz w:val="14"/>
          <w:szCs w:val="14"/>
          <w:b w:val="1"/>
          <w:bCs w:val="1"/>
          <w:i w:val="1"/>
          <w:iCs w:val="1"/>
          <w:color w:val="3E8EDE"/>
        </w:rPr>
        <w:t xml:space="preserve">Qualifications. </w:t>
      </w:r>
      <w:r>
        <w:rPr>
          <w:rFonts w:ascii="Arial" w:cs="Arial" w:eastAsia="Arial" w:hAnsi="Arial"/>
          <w:sz w:val="14"/>
          <w:szCs w:val="14"/>
          <w:color w:val="000000"/>
        </w:rPr>
        <w:t>Mr. Shapiro’s healthcare industry experience as a CEO of one of the nation’s leading hospitals and as a board member and</w:t>
      </w:r>
      <w:r>
        <w:rPr>
          <w:rFonts w:ascii="Arial" w:cs="Arial" w:eastAsia="Arial" w:hAnsi="Arial"/>
          <w:sz w:val="14"/>
          <w:szCs w:val="14"/>
          <w:b w:val="1"/>
          <w:bCs w:val="1"/>
          <w:i w:val="1"/>
          <w:iCs w:val="1"/>
          <w:color w:val="3E8EDE"/>
        </w:rPr>
        <w:t xml:space="preserve"> </w:t>
      </w:r>
      <w:r>
        <w:rPr>
          <w:rFonts w:ascii="Arial" w:cs="Arial" w:eastAsia="Arial" w:hAnsi="Arial"/>
          <w:sz w:val="14"/>
          <w:szCs w:val="14"/>
          <w:color w:val="000000"/>
        </w:rPr>
        <w:t>advisor to several healthcare companies. Mr. Shapiro’s years of operational, industry and financial expertise will provide the Board a unique perspective regarding the operational and strategic challenges facing the Company.</w:t>
      </w:r>
    </w:p>
    <w:p>
      <w:pPr>
        <w:spacing w:after="0" w:line="1310" w:lineRule="exact"/>
        <w:rPr>
          <w:sz w:val="20"/>
          <w:szCs w:val="20"/>
          <w:color w:val="auto"/>
        </w:rPr>
      </w:pPr>
    </w:p>
    <w:p>
      <w:pPr>
        <w:sectPr>
          <w:pgSz w:w="11900" w:h="16838" w:orient="portrait"/>
          <w:cols w:equalWidth="0" w:num="2">
            <w:col w:w="1860" w:space="200"/>
            <w:col w:w="8840"/>
          </w:cols>
          <w:pgMar w:left="320" w:top="469" w:right="67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 xml:space="preserve">16   </w:t>
      </w:r>
      <w:r>
        <w:rPr>
          <w:rFonts w:ascii="Arial" w:cs="Arial" w:eastAsia="Arial" w:hAnsi="Arial"/>
          <w:sz w:val="14"/>
          <w:szCs w:val="14"/>
          <w:b w:val="1"/>
          <w:bCs w:val="1"/>
          <w:color w:val="3E8EDE"/>
        </w:rPr>
        <w:t>Notice of Annual Meeting of Shareholders</w:t>
      </w:r>
      <w:r>
        <w:rPr>
          <w:rFonts w:ascii="Arial" w:cs="Arial" w:eastAsia="Arial" w:hAnsi="Arial"/>
          <w:sz w:val="14"/>
          <w:szCs w:val="14"/>
          <w:color w:val="auto"/>
        </w:rPr>
        <w:t xml:space="preserve"> and 2026 Proxy Statement</w:t>
      </w:r>
    </w:p>
    <w:p>
      <w:pPr>
        <w:sectPr>
          <w:pgSz w:w="11900" w:h="16838" w:orient="portrait"/>
          <w:cols w:equalWidth="0" w:num="1">
            <w:col w:w="10900"/>
          </w:cols>
          <w:pgMar w:left="320" w:top="469" w:right="6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4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Proposal 1: </w:t>
      </w:r>
      <w:r>
        <w:rPr>
          <w:rFonts w:ascii="Arial" w:cs="Arial" w:eastAsia="Arial" w:hAnsi="Arial"/>
          <w:sz w:val="15"/>
          <w:szCs w:val="15"/>
          <w:b w:val="1"/>
          <w:bCs w:val="1"/>
          <w:color w:val="000000"/>
        </w:rPr>
        <w:t>Resolutions Regarding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257175</wp:posOffset>
            </wp:positionV>
            <wp:extent cx="1019810" cy="12172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19810" cy="1217295"/>
                    </a:xfrm>
                    <a:prstGeom prst="rect">
                      <a:avLst/>
                    </a:prstGeom>
                    <a:noFill/>
                  </pic:spPr>
                </pic:pic>
              </a:graphicData>
            </a:graphic>
          </wp:anchor>
        </w:drawing>
      </w:r>
    </w:p>
    <w:p>
      <w:pPr>
        <w:sectPr>
          <w:pgSz w:w="11900" w:h="16838" w:orient="portrait"/>
          <w:cols w:equalWidth="0" w:num="1">
            <w:col w:w="10900"/>
          </w:cols>
          <w:pgMar w:left="320" w:top="46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spacing w:after="0" w:line="242" w:lineRule="auto"/>
        <w:rPr>
          <w:sz w:val="20"/>
          <w:szCs w:val="20"/>
          <w:color w:val="auto"/>
        </w:rPr>
      </w:pPr>
      <w:r>
        <w:rPr>
          <w:rFonts w:ascii="Arial" w:cs="Arial" w:eastAsia="Arial" w:hAnsi="Arial"/>
          <w:sz w:val="12"/>
          <w:szCs w:val="12"/>
          <w:color w:val="auto"/>
        </w:rPr>
        <w:t>Retired, Former Chief Executive Officer at Freudenberg SE</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Dr. Mohsen M. Sohi</w:t>
      </w:r>
    </w:p>
    <w:p>
      <w:pPr>
        <w:spacing w:after="0" w:line="255"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Mohsen M. Sohi is the former CEO of Freudenberg SE., a general multi-industry company serving industries that include automotive, medical, aerospace, oil and gas and power generation and transmission. He served as the CEO of Freudenberg from 2012 until his retirement in 2025. From July 2010 to June 2012, Dr. Sohi served as Managing Partner of Freudenberg and Co. From March 2003 through June 2010, Dr. Sohi served as President and Chief Executive Officer of Freudenberg-NOK, a privately-held joint venture partnership between Freudenberg and NOK Corp. of Japan, the world’s largest producer of elastomeric seals and custom molded products for automotive and other applications. From January 2001 to March 2003, Dr. Sohi was with NCR Corporation, a leading global technology company, most recently as the Senior Vice President, Retail Solutions Division. Prior to NCR, Dr. Sohi was with Honeywell International Inc. and its pre-merger constituent, Allied Signal, Inc., providers of aerospace, automation &amp; control solutions, specialty materials and transportation systems, for 14 years, serving from July 2000 to January 2001 as President, Honeywell Electronic Materials. Dr. Sohi has served on the board of Baker Hughes (NASDAQ: BKR) since January 2023, and on the board of KION Group AG (FWB: KGX), a German public company that manufactures materials handling equipment, since May 2025. Additionally, Dr. Sohi has served in numerous advisory capacities and board positions at privately held organizations.</w:t>
      </w:r>
    </w:p>
    <w:p>
      <w:pPr>
        <w:spacing w:after="0" w:line="92" w:lineRule="exact"/>
        <w:rPr>
          <w:sz w:val="20"/>
          <w:szCs w:val="20"/>
          <w:color w:val="auto"/>
        </w:rPr>
      </w:pPr>
    </w:p>
    <w:p>
      <w:pPr>
        <w:sectPr>
          <w:pgSz w:w="11900" w:h="16838" w:orient="portrait"/>
          <w:cols w:equalWidth="0" w:num="2">
            <w:col w:w="1500" w:space="560"/>
            <w:col w:w="8840"/>
          </w:cols>
          <w:pgMar w:left="320" w:top="469" w:right="679" w:bottom="1440" w:gutter="0" w:footer="0" w:header="0"/>
          <w:type w:val="continuous"/>
        </w:sectPr>
      </w:pPr>
    </w:p>
    <w:p>
      <w:pPr>
        <w:spacing w:after="0" w:line="87" w:lineRule="exact"/>
        <w:rPr>
          <w:sz w:val="20"/>
          <w:szCs w:val="20"/>
          <w:color w:val="auto"/>
        </w:rPr>
      </w:pPr>
    </w:p>
    <w:p>
      <w:pPr>
        <w:ind w:left="340" w:right="280"/>
        <w:spacing w:after="0" w:line="243" w:lineRule="auto"/>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2005</w:t>
      </w:r>
      <w:r>
        <w:rPr>
          <w:rFonts w:ascii="Arial" w:cs="Arial" w:eastAsia="Arial" w:hAnsi="Arial"/>
          <w:sz w:val="12"/>
          <w:szCs w:val="12"/>
          <w:b w:val="1"/>
          <w:bCs w:val="1"/>
          <w:color w:val="auto"/>
        </w:rPr>
        <w:t xml:space="preserve"> </w:t>
      </w:r>
      <w:r>
        <w:rPr>
          <w:rFonts w:ascii="Arial" w:cs="Arial" w:eastAsia="Arial" w:hAnsi="Arial"/>
          <w:sz w:val="12"/>
          <w:szCs w:val="12"/>
          <w:color w:val="auto"/>
        </w:rPr>
        <w:t>(Chairman of the Board since 2018)</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67</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Committees:</w:t>
      </w:r>
    </w:p>
    <w:p>
      <w:pPr>
        <w:spacing w:after="0" w:line="69" w:lineRule="exact"/>
        <w:rPr>
          <w:sz w:val="20"/>
          <w:szCs w:val="20"/>
          <w:color w:val="auto"/>
        </w:rPr>
      </w:pPr>
    </w:p>
    <w:p>
      <w:pPr>
        <w:ind w:left="340"/>
        <w:spacing w:after="0" w:line="262" w:lineRule="auto"/>
        <w:rPr>
          <w:sz w:val="20"/>
          <w:szCs w:val="20"/>
          <w:color w:val="auto"/>
        </w:rPr>
      </w:pPr>
      <w:r>
        <w:rPr>
          <w:rFonts w:ascii="Arial" w:cs="Arial" w:eastAsia="Arial" w:hAnsi="Arial"/>
          <w:sz w:val="12"/>
          <w:szCs w:val="12"/>
          <w:color w:val="auto"/>
        </w:rPr>
        <w:t>Nominating and Governance Committee</w:t>
      </w:r>
    </w:p>
    <w:p>
      <w:pPr>
        <w:spacing w:after="0" w:line="20" w:lineRule="exact"/>
        <w:rPr>
          <w:sz w:val="20"/>
          <w:szCs w:val="20"/>
          <w:color w:val="auto"/>
        </w:rPr>
      </w:pPr>
      <w:r>
        <w:rPr>
          <w:sz w:val="20"/>
          <w:szCs w:val="20"/>
          <w:color w:val="auto"/>
        </w:rPr>
        <w:br w:type="column"/>
      </w:r>
    </w:p>
    <w:p>
      <w:pPr>
        <w:ind w:right="120"/>
        <w:spacing w:after="0" w:line="269" w:lineRule="auto"/>
        <w:rPr>
          <w:sz w:val="20"/>
          <w:szCs w:val="20"/>
          <w:color w:val="auto"/>
        </w:rPr>
      </w:pPr>
      <w:r>
        <w:rPr>
          <w:rFonts w:ascii="Arial" w:cs="Arial" w:eastAsia="Arial" w:hAnsi="Arial"/>
          <w:sz w:val="13"/>
          <w:szCs w:val="13"/>
          <w:b w:val="1"/>
          <w:bCs w:val="1"/>
          <w:i w:val="1"/>
          <w:iCs w:val="1"/>
          <w:color w:val="3E8EDE"/>
        </w:rPr>
        <w:t xml:space="preserve">Qualifications. </w:t>
      </w:r>
      <w:r>
        <w:rPr>
          <w:rFonts w:ascii="Arial" w:cs="Arial" w:eastAsia="Arial" w:hAnsi="Arial"/>
          <w:sz w:val="13"/>
          <w:szCs w:val="13"/>
          <w:color w:val="000000"/>
        </w:rPr>
        <w:t>Dr. Sohi’s experience as President and Chief Executive Officer of international industrial companies and international operating</w:t>
      </w:r>
      <w:r>
        <w:rPr>
          <w:rFonts w:ascii="Arial" w:cs="Arial" w:eastAsia="Arial" w:hAnsi="Arial"/>
          <w:sz w:val="13"/>
          <w:szCs w:val="13"/>
          <w:b w:val="1"/>
          <w:bCs w:val="1"/>
          <w:i w:val="1"/>
          <w:iCs w:val="1"/>
          <w:color w:val="3E8EDE"/>
        </w:rPr>
        <w:t xml:space="preserve"> </w:t>
      </w:r>
      <w:r>
        <w:rPr>
          <w:rFonts w:ascii="Arial" w:cs="Arial" w:eastAsia="Arial" w:hAnsi="Arial"/>
          <w:sz w:val="13"/>
          <w:szCs w:val="13"/>
          <w:color w:val="000000"/>
        </w:rPr>
        <w:t>experience. Dr. Sohi provides our Board with substantial strategic planning, manufacturing, operational excellence, executive development, succession planning, and international experience, which are important factors for the Board’s oversight and the Company’s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822325</wp:posOffset>
            </wp:positionV>
            <wp:extent cx="6714490" cy="6045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14490" cy="604520"/>
                    </a:xfrm>
                    <a:prstGeom prst="rect">
                      <a:avLst/>
                    </a:prstGeom>
                    <a:noFill/>
                  </pic:spPr>
                </pic:pic>
              </a:graphicData>
            </a:graphic>
          </wp:anchor>
        </w:drawing>
      </w:r>
    </w:p>
    <w:p>
      <w:pPr>
        <w:spacing w:after="0" w:line="1043" w:lineRule="exact"/>
        <w:rPr>
          <w:sz w:val="20"/>
          <w:szCs w:val="20"/>
          <w:color w:val="auto"/>
        </w:rPr>
      </w:pPr>
    </w:p>
    <w:p>
      <w:pPr>
        <w:sectPr>
          <w:pgSz w:w="11900" w:h="16838" w:orient="portrait"/>
          <w:cols w:equalWidth="0" w:num="2">
            <w:col w:w="1880" w:space="180"/>
            <w:col w:w="8840"/>
          </w:cols>
          <w:pgMar w:left="320" w:top="469" w:right="679" w:bottom="1440" w:gutter="0" w:footer="0" w:header="0"/>
          <w:type w:val="continuous"/>
        </w:sectPr>
      </w:pPr>
    </w:p>
    <w:p>
      <w:pPr>
        <w:spacing w:after="0" w:line="285" w:lineRule="exact"/>
        <w:rPr>
          <w:sz w:val="20"/>
          <w:szCs w:val="20"/>
          <w:color w:val="auto"/>
        </w:rPr>
      </w:pPr>
    </w:p>
    <w:p>
      <w:pPr>
        <w:jc w:val="center"/>
        <w:ind w:left="540" w:right="200"/>
        <w:spacing w:after="0" w:line="242" w:lineRule="auto"/>
        <w:rPr>
          <w:sz w:val="20"/>
          <w:szCs w:val="20"/>
          <w:color w:val="auto"/>
        </w:rPr>
      </w:pPr>
      <w:r>
        <w:rPr>
          <w:rFonts w:ascii="Arial" w:cs="Arial" w:eastAsia="Arial" w:hAnsi="Arial"/>
          <w:sz w:val="19"/>
          <w:szCs w:val="19"/>
          <w:b w:val="1"/>
          <w:bCs w:val="1"/>
          <w:color w:val="FFFFFF"/>
        </w:rPr>
        <w:t>THE MEMBERS OF OUR BOARD OF DIRECTORS UNANIMOUSLY RECOMMEND A VOTE FOR THE ELECTION OF EACH OF DR. ESTHER M. ALEGRIA, PIERRE BOULUD, DANIEL A. CARESTIO, CYNTHIA L. FELDMANN, CHRISTOPHER S. HOLLAND, PAUL E. MARTIN, DR. NIRAV R. SHAH, LOUIS A. SHAPIRO, AND DR. MOHSEN M. SOHI AS DIRECTORS OF THE COMPANY.</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17</w:t>
      </w:r>
    </w:p>
    <w:p>
      <w:pPr>
        <w:sectPr>
          <w:pgSz w:w="11900" w:h="16838" w:orient="portrait"/>
          <w:cols w:equalWidth="0" w:num="1">
            <w:col w:w="10900"/>
          </w:cols>
          <w:pgMar w:left="320" w:top="469" w:right="67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435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10045" cy="43561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left="720" w:right="460"/>
        <w:spacing w:after="0" w:line="273" w:lineRule="auto"/>
        <w:rPr>
          <w:sz w:val="20"/>
          <w:szCs w:val="20"/>
          <w:color w:val="auto"/>
        </w:rPr>
      </w:pPr>
      <w:r>
        <w:rPr>
          <w:rFonts w:ascii="Arial" w:cs="Arial" w:eastAsia="Arial" w:hAnsi="Arial"/>
          <w:sz w:val="21"/>
          <w:szCs w:val="21"/>
          <w:b w:val="1"/>
          <w:bCs w:val="1"/>
          <w:color w:val="3E8EDE"/>
        </w:rPr>
        <w:t>PROPOSAL 2—RESOLUTION REGARDING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21590</wp:posOffset>
            </wp:positionV>
            <wp:extent cx="67100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12" w:lineRule="exact"/>
        <w:rPr>
          <w:sz w:val="20"/>
          <w:szCs w:val="20"/>
          <w:color w:val="auto"/>
        </w:rPr>
      </w:pPr>
    </w:p>
    <w:p>
      <w:pPr>
        <w:ind w:left="340" w:right="220"/>
        <w:spacing w:after="0" w:line="236" w:lineRule="auto"/>
        <w:rPr>
          <w:sz w:val="20"/>
          <w:szCs w:val="20"/>
          <w:color w:val="auto"/>
        </w:rPr>
      </w:pPr>
      <w:r>
        <w:rPr>
          <w:rFonts w:ascii="Arial" w:cs="Arial" w:eastAsia="Arial" w:hAnsi="Arial"/>
          <w:sz w:val="19"/>
          <w:szCs w:val="19"/>
          <w:color w:val="auto"/>
        </w:rPr>
        <w:t>The Audit Committee has appointed Ernst &amp; Young LLP as STERIS’s independent registered public accounting firm for the fiscal year ending March 31, 2027. Ernst &amp; Young LLP was first retained in 1989 as the independent registered public accounting firm of STERIS Corporation and has served in that capacity continuously through the Combination and the Redomiciliation. The appointment was based upon the considerations described in the Section “Independent Registered Public Accounting Firm.”</w:t>
      </w:r>
    </w:p>
    <w:p>
      <w:pPr>
        <w:spacing w:after="0" w:line="169" w:lineRule="exact"/>
        <w:rPr>
          <w:sz w:val="20"/>
          <w:szCs w:val="20"/>
          <w:color w:val="auto"/>
        </w:rPr>
      </w:pPr>
    </w:p>
    <w:p>
      <w:pPr>
        <w:ind w:left="340" w:right="20"/>
        <w:spacing w:after="0" w:line="236" w:lineRule="auto"/>
        <w:rPr>
          <w:sz w:val="20"/>
          <w:szCs w:val="20"/>
          <w:color w:val="auto"/>
        </w:rPr>
      </w:pPr>
      <w:r>
        <w:rPr>
          <w:rFonts w:ascii="Arial" w:cs="Arial" w:eastAsia="Arial" w:hAnsi="Arial"/>
          <w:sz w:val="19"/>
          <w:szCs w:val="19"/>
          <w:color w:val="auto"/>
        </w:rPr>
        <w:t>Although the ratification of this appointment is not required to be submitted to a vote of the shareholders, the Board and Audit Committee believe it appropriate as a matter of corporate governance policy to request that the shareholders ratify the appointment of the independent registered public accounting firm for the fiscal year ending March 31, 2027. If this proposal does not receive the affirmative vote of the holders of a majority of the shares entitled to vote and present in person or represented by proxy at the Annual Meeting, the Audit Committee will reconsider the appointment.</w:t>
      </w:r>
    </w:p>
    <w:p>
      <w:pPr>
        <w:spacing w:after="0" w:line="169" w:lineRule="exact"/>
        <w:rPr>
          <w:sz w:val="20"/>
          <w:szCs w:val="20"/>
          <w:color w:val="auto"/>
        </w:rPr>
      </w:pPr>
    </w:p>
    <w:p>
      <w:pPr>
        <w:ind w:left="340"/>
        <w:spacing w:after="0" w:line="239" w:lineRule="auto"/>
        <w:rPr>
          <w:sz w:val="20"/>
          <w:szCs w:val="20"/>
          <w:color w:val="auto"/>
        </w:rPr>
      </w:pPr>
      <w:r>
        <w:rPr>
          <w:rFonts w:ascii="Arial" w:cs="Arial" w:eastAsia="Arial" w:hAnsi="Arial"/>
          <w:sz w:val="19"/>
          <w:szCs w:val="19"/>
          <w:color w:val="auto"/>
        </w:rPr>
        <w:t>We anticipate that the lead audit partner from Ernst &amp; Young LLP will be present at the Annual Meeting. The lead audit partner (or other attending representative) will be given the opportunity to make a statement if he or she desires to do so, and is expected to be available to respond to any appropriate questions that may be submitted by shareholders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135255</wp:posOffset>
            </wp:positionV>
            <wp:extent cx="6710045" cy="5759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10045" cy="575945"/>
                    </a:xfrm>
                    <a:prstGeom prst="rect">
                      <a:avLst/>
                    </a:prstGeom>
                    <a:noFill/>
                  </pic:spPr>
                </pic:pic>
              </a:graphicData>
            </a:graphic>
          </wp:anchor>
        </w:drawing>
      </w:r>
    </w:p>
    <w:p>
      <w:pPr>
        <w:spacing w:after="0" w:line="301" w:lineRule="exact"/>
        <w:rPr>
          <w:sz w:val="20"/>
          <w:szCs w:val="20"/>
          <w:color w:val="auto"/>
        </w:rPr>
      </w:pPr>
    </w:p>
    <w:p>
      <w:pPr>
        <w:jc w:val="center"/>
        <w:ind w:left="720" w:right="40"/>
        <w:spacing w:after="0" w:line="250" w:lineRule="auto"/>
        <w:rPr>
          <w:sz w:val="20"/>
          <w:szCs w:val="20"/>
          <w:color w:val="auto"/>
        </w:rPr>
      </w:pPr>
      <w:r>
        <w:rPr>
          <w:rFonts w:ascii="Arial" w:cs="Arial" w:eastAsia="Arial" w:hAnsi="Arial"/>
          <w:sz w:val="19"/>
          <w:szCs w:val="19"/>
          <w:b w:val="1"/>
          <w:bCs w:val="1"/>
          <w:color w:val="FFFFFF"/>
        </w:rPr>
        <w:t>OUR BOARD OF DIRECTORS AND AUDIT COMMITTEE UNANIMOUSLY RECOMMEND THAT YOU VOTE “FOR” THE RATIFICATION OF THE APPOINTMENT OF ERNST &amp; YOUNG LLP AS OUR INDEPENDENT REGISTERED PUBLIC ACCOUNTING FIRM FOR THE YEAR ENDING MARCH 31, 2027.</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840"/>
          </w:cols>
          <w:pgMar w:left="320" w:top="469" w:right="7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435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10045" cy="43561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left="660" w:right="360"/>
        <w:spacing w:after="0" w:line="273" w:lineRule="auto"/>
        <w:rPr>
          <w:sz w:val="20"/>
          <w:szCs w:val="20"/>
          <w:color w:val="auto"/>
        </w:rPr>
      </w:pPr>
      <w:r>
        <w:rPr>
          <w:rFonts w:ascii="Arial" w:cs="Arial" w:eastAsia="Arial" w:hAnsi="Arial"/>
          <w:sz w:val="21"/>
          <w:szCs w:val="21"/>
          <w:b w:val="1"/>
          <w:bCs w:val="1"/>
          <w:color w:val="3E8EDE"/>
        </w:rPr>
        <w:t>PROPOSAL 3—RESOLUTION APPOINTING ERNST &amp; YOUNG CHARTERED ACCOUNTANTS AS THE COMPANY’S IRISH STATUTORY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21590</wp:posOffset>
            </wp:positionV>
            <wp:extent cx="67100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12" w:lineRule="exact"/>
        <w:rPr>
          <w:sz w:val="20"/>
          <w:szCs w:val="20"/>
          <w:color w:val="auto"/>
        </w:rPr>
      </w:pPr>
    </w:p>
    <w:p>
      <w:pPr>
        <w:ind w:left="340" w:right="60"/>
        <w:spacing w:after="0" w:line="234" w:lineRule="auto"/>
        <w:rPr>
          <w:sz w:val="20"/>
          <w:szCs w:val="20"/>
          <w:color w:val="auto"/>
        </w:rPr>
      </w:pPr>
      <w:r>
        <w:rPr>
          <w:rFonts w:ascii="Arial" w:cs="Arial" w:eastAsia="Arial" w:hAnsi="Arial"/>
          <w:sz w:val="19"/>
          <w:szCs w:val="19"/>
          <w:color w:val="auto"/>
        </w:rPr>
        <w:t>The Irish Companies Act requires that our statutory auditors be appointed at each annual general meeting of shareholders, to hold office from the conclusion of the annual general meeting until the conclusion of the next annual general meeting. Ernst &amp; Young Chartered Accountants has served as our Irish statutory auditor since the Redomiciliation and is affiliated with Ernst &amp; Young LLP, who served as the U.K. statutory auditor of Old STERIS prior to the Redomiciliation from 2015 to 2019. Our Audit Committee has recommended that Ernst &amp; Young Chartered Accountants be appointed as our Irish statutory auditor. If this resolution does not receive the affirmative vote of the holders of a majority of the shares cast in person or by proxy at the Annual Meeting, the Board may appoint a person or firm to fill the vacancy.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292100</wp:posOffset>
            </wp:positionV>
            <wp:extent cx="6710045" cy="7073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10045" cy="7073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left="680" w:right="60"/>
        <w:spacing w:after="0" w:line="242" w:lineRule="auto"/>
        <w:rPr>
          <w:sz w:val="20"/>
          <w:szCs w:val="20"/>
          <w:color w:val="auto"/>
        </w:rPr>
      </w:pPr>
      <w:r>
        <w:rPr>
          <w:rFonts w:ascii="Arial" w:cs="Arial" w:eastAsia="Arial" w:hAnsi="Arial"/>
          <w:sz w:val="19"/>
          <w:szCs w:val="19"/>
          <w:b w:val="1"/>
          <w:bCs w:val="1"/>
          <w:color w:val="FFFFFF"/>
        </w:rPr>
        <w:t>OUR BOARD OF DIRECTORS AND AUDIT COMMITTEE UNANIMOUSLY RECOMMEND THAT YOU VOTE “FOR” THE APPOINTMENT OF ERNST &amp; YOUNG CHARTERED ACCOUNTANTS AS OUR IRISH STATUTORY AUDITOR TO HOLD OFFICE FROM THE CONCLUSION OF THE ANNUAL MEETING UNTIL THE CONCLUSION OF THE NEXT ANNUAL GENERAL MEETING OF THE COMPANY.</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19</w:t>
      </w:r>
    </w:p>
    <w:p>
      <w:pPr>
        <w:sectPr>
          <w:pgSz w:w="11900" w:h="16838" w:orient="portrait"/>
          <w:cols w:equalWidth="0" w:num="1">
            <w:col w:w="10900"/>
          </w:cols>
          <w:pgMar w:left="320" w:top="469" w:right="6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5835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10045" cy="58356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left="740" w:right="80"/>
        <w:spacing w:after="0" w:line="252" w:lineRule="auto"/>
        <w:rPr>
          <w:sz w:val="20"/>
          <w:szCs w:val="20"/>
          <w:color w:val="auto"/>
        </w:rPr>
      </w:pPr>
      <w:r>
        <w:rPr>
          <w:rFonts w:ascii="Arial" w:cs="Arial" w:eastAsia="Arial" w:hAnsi="Arial"/>
          <w:sz w:val="21"/>
          <w:szCs w:val="21"/>
          <w:b w:val="1"/>
          <w:bCs w:val="1"/>
          <w:color w:val="3E8EDE"/>
        </w:rPr>
        <w:t>PROPOSAL 4—RESOLUTION TO AUTHORIZE THE BOARD OF DIRECTORS OR THE AUDIT COMMITTEE OF THE BOARD TO DETERMINE THE REMUNERATION OF ERNST &amp; YOUNG CHARTERED ACCOUNTANTS AS THE COMPANY’S IRISH STATUTORY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35560</wp:posOffset>
            </wp:positionV>
            <wp:extent cx="67100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spacing w:after="0" w:line="235" w:lineRule="auto"/>
        <w:rPr>
          <w:sz w:val="20"/>
          <w:szCs w:val="20"/>
          <w:color w:val="auto"/>
        </w:rPr>
      </w:pPr>
      <w:r>
        <w:rPr>
          <w:rFonts w:ascii="Arial" w:cs="Arial" w:eastAsia="Arial" w:hAnsi="Arial"/>
          <w:sz w:val="19"/>
          <w:szCs w:val="19"/>
          <w:color w:val="auto"/>
        </w:rPr>
        <w:t>Under the Irish Companies Act, the remuneration of our Irish statutory auditor must be fixed by the shareholders in a general meeting or in such other manner as the shareholders may determine. We are asking our shareholders to authorize our Board or the Audit Committee to determine Ernst &amp; Young Chartered Accountant’s remuneration as our Irish statutory auditor. It is expected that the Board would delegate the authority to determine the remuneration of the Irish statutory auditor for the Company’s fiscal year ending March 31, 2027 to the Audit Committee in accordance with the Board’s procedures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292100</wp:posOffset>
            </wp:positionV>
            <wp:extent cx="6710045" cy="5759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10045" cy="57594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left="740"/>
        <w:spacing w:after="0" w:line="250" w:lineRule="auto"/>
        <w:rPr>
          <w:sz w:val="20"/>
          <w:szCs w:val="20"/>
          <w:color w:val="auto"/>
        </w:rPr>
      </w:pPr>
      <w:r>
        <w:rPr>
          <w:rFonts w:ascii="Arial" w:cs="Arial" w:eastAsia="Arial" w:hAnsi="Arial"/>
          <w:sz w:val="19"/>
          <w:szCs w:val="19"/>
          <w:b w:val="1"/>
          <w:bCs w:val="1"/>
          <w:color w:val="FFFFFF"/>
        </w:rPr>
        <w:t>OUR BOARD OF DIRECTORS AND AUDIT COMMITTEE UNANIMOUSLY RECOMMEND THAT YOU VOTE “FOR” THE AUTHORIZATION OF THE BOARD OF DIRECTORS OR AUDIT COMMITTEE TO DETERMINE OUR IRISH STATUTORY AUDITOR’S REMUNERATION.</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20 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820"/>
          </w:cols>
          <w:pgMar w:left="320" w:top="469" w:right="7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2876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10045" cy="2876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40"/>
        <w:spacing w:after="0"/>
        <w:rPr>
          <w:sz w:val="20"/>
          <w:szCs w:val="20"/>
          <w:color w:val="auto"/>
        </w:rPr>
      </w:pPr>
      <w:r>
        <w:rPr>
          <w:rFonts w:ascii="Arial" w:cs="Arial" w:eastAsia="Arial" w:hAnsi="Arial"/>
          <w:sz w:val="21"/>
          <w:szCs w:val="21"/>
          <w:b w:val="1"/>
          <w:bCs w:val="1"/>
          <w:color w:val="3E8EDE"/>
        </w:rPr>
        <w:t>PROPOSAL 5—ADVISORY RESOLUTION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68580</wp:posOffset>
            </wp:positionV>
            <wp:extent cx="67100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87" w:lineRule="exact"/>
        <w:rPr>
          <w:sz w:val="20"/>
          <w:szCs w:val="20"/>
          <w:color w:val="auto"/>
        </w:rPr>
      </w:pPr>
    </w:p>
    <w:p>
      <w:pPr>
        <w:ind w:left="340" w:right="20"/>
        <w:spacing w:after="0" w:line="235" w:lineRule="auto"/>
        <w:rPr>
          <w:sz w:val="20"/>
          <w:szCs w:val="20"/>
          <w:color w:val="auto"/>
        </w:rPr>
      </w:pPr>
      <w:r>
        <w:rPr>
          <w:rFonts w:ascii="Arial" w:cs="Arial" w:eastAsia="Arial" w:hAnsi="Arial"/>
          <w:sz w:val="19"/>
          <w:szCs w:val="19"/>
          <w:color w:val="auto"/>
        </w:rPr>
        <w:t>We believe that our compensation policies and procedures are based on a pay-for-performance philosophy and are aligned with the long-term interests of our shareholders. However, to obtain the specific input of shareholders with respect to these policies and procedures in accordance with the provisions of the United States Wall Street Reform and Consumer Protection Act (“Dodd-Frank Act”) and Section 14A of the United States Securities Exchange Act of 1934 (“Exchange Act”), the proposal described below provides shareholders with the opportunity to approve, on a non-binding advisory basis, the compensation of our named executive officers.</w:t>
      </w:r>
    </w:p>
    <w:p>
      <w:pPr>
        <w:spacing w:after="0" w:line="167" w:lineRule="exact"/>
        <w:rPr>
          <w:sz w:val="20"/>
          <w:szCs w:val="20"/>
          <w:color w:val="auto"/>
        </w:rPr>
      </w:pPr>
    </w:p>
    <w:p>
      <w:pPr>
        <w:ind w:left="340" w:right="20"/>
        <w:spacing w:after="0" w:line="233" w:lineRule="auto"/>
        <w:rPr>
          <w:sz w:val="20"/>
          <w:szCs w:val="20"/>
          <w:color w:val="auto"/>
        </w:rPr>
      </w:pPr>
      <w:r>
        <w:rPr>
          <w:rFonts w:ascii="Arial" w:cs="Arial" w:eastAsia="Arial" w:hAnsi="Arial"/>
          <w:sz w:val="19"/>
          <w:szCs w:val="19"/>
          <w:color w:val="auto"/>
        </w:rPr>
        <w:t>This proposal, commonly known as a “Say on Pay” proposal, gives shareholders the opportunity to provide input to endorse or not endorse the compensation of the Company’s named executive officers. The Company’s predecessors, STERIS Corporation and Old STERIS, conducted Say on Pay votes every year beginning in 2010 and continuing through 2018. We have held annual Say on Pay votes since 2019 and expect to continue to hold our Say on Pay votes on an annual basis. We expect to hold our next Say on Pay vote at our 2027 annual general meeting of shareholders. We encourage you to carefully review the Compensation Discussion and Analysis and compensation tables and narrative discussions and related material contained in this Proxy Statement. Thereafter, we request your input on the compensation of the Company’s named executive officers through your vote on the following resolution:</w:t>
      </w:r>
    </w:p>
    <w:p>
      <w:pPr>
        <w:spacing w:after="0" w:line="64" w:lineRule="exact"/>
        <w:rPr>
          <w:sz w:val="20"/>
          <w:szCs w:val="20"/>
          <w:color w:val="auto"/>
        </w:rPr>
      </w:pPr>
    </w:p>
    <w:p>
      <w:pPr>
        <w:ind w:left="860" w:right="340"/>
        <w:spacing w:after="0" w:line="242" w:lineRule="auto"/>
        <w:rPr>
          <w:sz w:val="20"/>
          <w:szCs w:val="20"/>
          <w:color w:val="auto"/>
        </w:rPr>
      </w:pPr>
      <w:r>
        <w:rPr>
          <w:rFonts w:ascii="Arial" w:cs="Arial" w:eastAsia="Arial" w:hAnsi="Arial"/>
          <w:sz w:val="19"/>
          <w:szCs w:val="19"/>
          <w:b w:val="1"/>
          <w:bCs w:val="1"/>
          <w:color w:val="auto"/>
        </w:rPr>
        <w:t>“Resolved, that the shareholders approve, on a non-binding advisory basis, the compensation of the Company’s named executive officers, as disclosed pursuant to the disclosure rules of the Securities and Exchange Commission, including the Compensation Discussion and Analysis and the tabular and narrative disclosures contained in the Company’s Proxy Statement dated June 11, 2026.”</w:t>
      </w:r>
    </w:p>
    <w:p>
      <w:pPr>
        <w:spacing w:after="0" w:line="155" w:lineRule="exact"/>
        <w:rPr>
          <w:sz w:val="20"/>
          <w:szCs w:val="20"/>
          <w:color w:val="auto"/>
        </w:rPr>
      </w:pPr>
    </w:p>
    <w:p>
      <w:pPr>
        <w:ind w:left="340" w:right="120"/>
        <w:spacing w:after="0" w:line="236" w:lineRule="auto"/>
        <w:rPr>
          <w:sz w:val="20"/>
          <w:szCs w:val="20"/>
          <w:color w:val="auto"/>
        </w:rPr>
      </w:pPr>
      <w:r>
        <w:rPr>
          <w:rFonts w:ascii="Arial" w:cs="Arial" w:eastAsia="Arial" w:hAnsi="Arial"/>
          <w:sz w:val="19"/>
          <w:szCs w:val="19"/>
          <w:color w:val="auto"/>
        </w:rPr>
        <w:t>The non-binding resolution to approve the compensation of our named executive officers will be considered adopted if approved by the affirmative vote of the holders of a majority of the votes cast by shareholders represented in person or by proxy and entitled to vote thereon. Because your vote is advisory, it will not be binding upon the Board or the Compensation and Organization Development Committee. However, the Compensation and Organization Development Committee will take into account the outcome of the vote when considering future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293370</wp:posOffset>
            </wp:positionV>
            <wp:extent cx="6710045" cy="5759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10045" cy="5759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ind w:left="680" w:right="60"/>
        <w:spacing w:after="0" w:line="250" w:lineRule="auto"/>
        <w:rPr>
          <w:sz w:val="20"/>
          <w:szCs w:val="20"/>
          <w:color w:val="auto"/>
        </w:rPr>
      </w:pPr>
      <w:r>
        <w:rPr>
          <w:rFonts w:ascii="Arial" w:cs="Arial" w:eastAsia="Arial" w:hAnsi="Arial"/>
          <w:sz w:val="19"/>
          <w:szCs w:val="19"/>
          <w:b w:val="1"/>
          <w:bCs w:val="1"/>
          <w:color w:val="FFFFFF"/>
        </w:rPr>
        <w:t>OUR BOARD OF DIRECTORS AND COMPENSATION AND ORGANIZATION DEVELOPMENT COMMITTEE UNANIMOUSLY RECOMMEND THAT YOU VOTE “FOR” THE APPROVAL, ON A NON-BINDING ADVISORY BASIS, OF THE COMPENSATION OF THE COMPANY’S NAMED EXECUTIVE OFFICERS.</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21</w:t>
      </w:r>
    </w:p>
    <w:p>
      <w:pPr>
        <w:sectPr>
          <w:pgSz w:w="11900" w:h="16838" w:orient="portrait"/>
          <w:cols w:equalWidth="0" w:num="1">
            <w:col w:w="10900"/>
          </w:cols>
          <w:pgMar w:left="320" w:top="469" w:right="6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435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10045" cy="43561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3E8EDE"/>
        </w:rPr>
        <w:t>PROPOSAL 6—RENEWAL OF THE BOARD’S AUTHORITY TO ISSUE SHARES</w:t>
      </w:r>
    </w:p>
    <w:p>
      <w:pPr>
        <w:spacing w:after="0" w:line="12"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3E8EDE"/>
        </w:rPr>
        <w:t>UNDER IRISH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55880</wp:posOffset>
            </wp:positionV>
            <wp:extent cx="67100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67" w:lineRule="exact"/>
        <w:rPr>
          <w:sz w:val="20"/>
          <w:szCs w:val="20"/>
          <w:color w:val="auto"/>
        </w:rPr>
      </w:pPr>
    </w:p>
    <w:p>
      <w:pPr>
        <w:ind w:left="340"/>
        <w:spacing w:after="0" w:line="244" w:lineRule="auto"/>
        <w:rPr>
          <w:sz w:val="20"/>
          <w:szCs w:val="20"/>
          <w:color w:val="auto"/>
        </w:rPr>
      </w:pPr>
      <w:r>
        <w:rPr>
          <w:rFonts w:ascii="Arial" w:cs="Arial" w:eastAsia="Arial" w:hAnsi="Arial"/>
          <w:sz w:val="19"/>
          <w:szCs w:val="19"/>
          <w:color w:val="auto"/>
        </w:rPr>
        <w:t>Under Irish law, the directors of an Irish public limited company must have authority from the company’s shareholders to issue shares and to grant rights to acquire shares (e.g., pursuant to options, warrants and other convertible securities), including shares that are part of the company’s authorized but unissued share capital.</w:t>
      </w:r>
    </w:p>
    <w:p>
      <w:pPr>
        <w:spacing w:after="0" w:line="162" w:lineRule="exact"/>
        <w:rPr>
          <w:sz w:val="20"/>
          <w:szCs w:val="20"/>
          <w:color w:val="auto"/>
        </w:rPr>
      </w:pPr>
    </w:p>
    <w:p>
      <w:pPr>
        <w:ind w:left="340" w:right="560"/>
        <w:spacing w:after="0" w:line="262" w:lineRule="auto"/>
        <w:rPr>
          <w:sz w:val="20"/>
          <w:szCs w:val="20"/>
          <w:color w:val="auto"/>
        </w:rPr>
      </w:pPr>
      <w:r>
        <w:rPr>
          <w:rFonts w:ascii="Arial" w:cs="Arial" w:eastAsia="Arial" w:hAnsi="Arial"/>
          <w:sz w:val="19"/>
          <w:szCs w:val="19"/>
          <w:color w:val="auto"/>
        </w:rPr>
        <w:t>This requirement does not apply to the issue of shares and the grant of rights to acquire shares to employees or former employees under an employees’ share scheme.</w:t>
      </w:r>
    </w:p>
    <w:p>
      <w:pPr>
        <w:spacing w:after="0" w:line="145" w:lineRule="exact"/>
        <w:rPr>
          <w:sz w:val="20"/>
          <w:szCs w:val="20"/>
          <w:color w:val="auto"/>
        </w:rPr>
      </w:pPr>
    </w:p>
    <w:p>
      <w:pPr>
        <w:ind w:left="340" w:right="100"/>
        <w:spacing w:after="0" w:line="236" w:lineRule="auto"/>
        <w:rPr>
          <w:sz w:val="20"/>
          <w:szCs w:val="20"/>
          <w:color w:val="auto"/>
        </w:rPr>
      </w:pPr>
      <w:r>
        <w:rPr>
          <w:rFonts w:ascii="Arial" w:cs="Arial" w:eastAsia="Arial" w:hAnsi="Arial"/>
          <w:sz w:val="19"/>
          <w:szCs w:val="19"/>
          <w:color w:val="auto"/>
        </w:rPr>
        <w:t>We are presenting this proposal to renew the Board’s authority to issue authorized but unissued shares and to grant rights to acquire such shares on the terms set forth below. This proposal is in line with customary practice and governance standards applicable to public companies incorporated in Ireland and listed on U.S. markets. Shareholders supported a similar renewal of authority at the annual meeting last year with over 98% of votes cast in favor of the proposal. This authority will expire on the date of the Annual Meeting</w:t>
      </w:r>
    </w:p>
    <w:p>
      <w:pPr>
        <w:spacing w:after="0" w:line="169" w:lineRule="exact"/>
        <w:rPr>
          <w:sz w:val="20"/>
          <w:szCs w:val="20"/>
          <w:color w:val="auto"/>
        </w:rPr>
      </w:pPr>
    </w:p>
    <w:p>
      <w:pPr>
        <w:ind w:left="340" w:right="40"/>
        <w:spacing w:after="0" w:line="235" w:lineRule="auto"/>
        <w:rPr>
          <w:sz w:val="20"/>
          <w:szCs w:val="20"/>
          <w:color w:val="auto"/>
        </w:rPr>
      </w:pPr>
      <w:r>
        <w:rPr>
          <w:rFonts w:ascii="Arial" w:cs="Arial" w:eastAsia="Arial" w:hAnsi="Arial"/>
          <w:sz w:val="19"/>
          <w:szCs w:val="19"/>
          <w:color w:val="auto"/>
        </w:rPr>
        <w:t>In line with customary practice and applicable governance standards, we are seeking authority from our shareholders at the Annual Meeting for the Board to issue, and/or grant rights to acquire, shares up to a maximum number which is equal to approximately 20% of our issued ordinary share capital as of the Record Date. The proposed authority is for a period expiring on the earlier of (i) the date of our next annual general meeting and (ii) the date which is 15 months from the date of our Annual Meeting, unless otherwise varied, revoked or renewed. The Board expects to propose renewals of this authority on a regular basis at our annual general meetings in subsequent years.</w:t>
      </w:r>
    </w:p>
    <w:p>
      <w:pPr>
        <w:spacing w:after="0" w:line="167" w:lineRule="exact"/>
        <w:rPr>
          <w:sz w:val="20"/>
          <w:szCs w:val="20"/>
          <w:color w:val="auto"/>
        </w:rPr>
      </w:pPr>
    </w:p>
    <w:p>
      <w:pPr>
        <w:ind w:left="340"/>
        <w:spacing w:after="0" w:line="235" w:lineRule="auto"/>
        <w:rPr>
          <w:sz w:val="20"/>
          <w:szCs w:val="20"/>
          <w:color w:val="auto"/>
        </w:rPr>
      </w:pPr>
      <w:r>
        <w:rPr>
          <w:rFonts w:ascii="Arial" w:cs="Arial" w:eastAsia="Arial" w:hAnsi="Arial"/>
          <w:sz w:val="19"/>
          <w:szCs w:val="19"/>
          <w:color w:val="auto"/>
        </w:rPr>
        <w:t>Granting the Board authority to issue shares is a routine matter for public companies incorporated in Ireland and is consistent with Irish market practice. This renewal of authority is fundamental to our business and enables us to issue shares (and/or rights to acquire shares), including, if applicable, in connection with funding acquisitions and raising capital. We are not asking you to approve an increase in our authorized share capital or to approve a specific issue of shares. Instead, approval of this proposal will only grant the Board the authority to issue, and grant rights to acquire, shares that are already included in our authorized share capital under our articles of association.</w:t>
      </w:r>
    </w:p>
    <w:p>
      <w:pPr>
        <w:spacing w:after="0" w:line="167" w:lineRule="exact"/>
        <w:rPr>
          <w:sz w:val="20"/>
          <w:szCs w:val="20"/>
          <w:color w:val="auto"/>
        </w:rPr>
      </w:pPr>
    </w:p>
    <w:p>
      <w:pPr>
        <w:ind w:left="340" w:right="180"/>
        <w:spacing w:after="0" w:line="236" w:lineRule="auto"/>
        <w:rPr>
          <w:sz w:val="20"/>
          <w:szCs w:val="20"/>
          <w:color w:val="auto"/>
        </w:rPr>
      </w:pPr>
      <w:r>
        <w:rPr>
          <w:rFonts w:ascii="Arial" w:cs="Arial" w:eastAsia="Arial" w:hAnsi="Arial"/>
          <w:sz w:val="19"/>
          <w:szCs w:val="19"/>
          <w:color w:val="auto"/>
        </w:rPr>
        <w:t>In addition, because we are a NYSE-listed company, our shareholders continue to benefit from the protections afforded to them under the rules and regulations of the NYSE and the SEC, including those rules that limit our ability to issue shares in specified circumstances without obtaining shareholder approval. This authority is required as a matter of Irish law and is not otherwise required for other companies listed on the NYSE. Accordingly, approval of this resolution would place us on equal footing with other NYSE-listed companies.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880"/>
          </w:cols>
          <w:pgMar w:left="320" w:top="469" w:right="6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51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Proposal 6: </w:t>
      </w:r>
      <w:r>
        <w:rPr>
          <w:rFonts w:ascii="Arial" w:cs="Arial" w:eastAsia="Arial" w:hAnsi="Arial"/>
          <w:sz w:val="15"/>
          <w:szCs w:val="15"/>
          <w:b w:val="1"/>
          <w:bCs w:val="1"/>
          <w:color w:val="000000"/>
        </w:rPr>
        <w:t>Renewal of the Board’s Authority to Issue Shares Under Irish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Accordingly, the following resolution will be submitted to our shareholders for approval, as an ordinary resolution, at the</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Annual Meeting:</w:t>
      </w:r>
    </w:p>
    <w:p>
      <w:pPr>
        <w:spacing w:after="0" w:line="74" w:lineRule="exact"/>
        <w:rPr>
          <w:sz w:val="20"/>
          <w:szCs w:val="20"/>
          <w:color w:val="auto"/>
        </w:rPr>
      </w:pPr>
    </w:p>
    <w:p>
      <w:pPr>
        <w:ind w:left="860" w:right="20"/>
        <w:spacing w:after="0" w:line="232" w:lineRule="auto"/>
        <w:rPr>
          <w:sz w:val="20"/>
          <w:szCs w:val="20"/>
          <w:color w:val="auto"/>
        </w:rPr>
      </w:pPr>
      <w:r>
        <w:rPr>
          <w:rFonts w:ascii="Arial" w:cs="Arial" w:eastAsia="Arial" w:hAnsi="Arial"/>
          <w:sz w:val="19"/>
          <w:szCs w:val="19"/>
          <w:b w:val="1"/>
          <w:bCs w:val="1"/>
          <w:color w:val="auto"/>
        </w:rPr>
        <w:t>“Resolved, that the directors be and they are, with effect from the passing of this resolution, hereby generally and unconditionally authorized to exercise all powers of the Company to allot and issue relevant securities (within the meaning of section 1021 of the Companies Act 2014, as amended) up to an aggregate nominal value of $19,492 (which represents 19,491,536 shares) (being equivalent to approximately 20% of the aggregate nominal value and number of the issued ordinary shares in the capital of the Company as of the Record Date and the authority conferred by this resolution shall expire on the earlier of (i) the date of the Company’s next annual general meeting and (ii) the date that is 15 months from the passing of this resolution, unless previously renewed, varied or revoked by the Company, provided that the Company may, before such expiry, make an offer or agreement which would, or might, require relevant securities to be allotted and issued after such expiry and, in that case, the directors may allot and issue relevant securities in pursuance of any such offer or agreement as if the authority conferred by this resolution had not expired.”</w:t>
      </w:r>
    </w:p>
    <w:p>
      <w:pPr>
        <w:spacing w:after="0" w:line="163" w:lineRule="exact"/>
        <w:rPr>
          <w:sz w:val="20"/>
          <w:szCs w:val="20"/>
          <w:color w:val="auto"/>
        </w:rPr>
      </w:pPr>
    </w:p>
    <w:p>
      <w:pPr>
        <w:ind w:left="340" w:right="200"/>
        <w:spacing w:after="0" w:line="244" w:lineRule="auto"/>
        <w:rPr>
          <w:sz w:val="20"/>
          <w:szCs w:val="20"/>
          <w:color w:val="auto"/>
        </w:rPr>
      </w:pPr>
      <w:r>
        <w:rPr>
          <w:rFonts w:ascii="Arial" w:cs="Arial" w:eastAsia="Arial" w:hAnsi="Arial"/>
          <w:sz w:val="19"/>
          <w:szCs w:val="19"/>
          <w:color w:val="auto"/>
        </w:rPr>
        <w:t>This resolution to authorize the Board to issue shares under Irish law will be considered adopted as an ordinary resolution if approved by the affirmative vote of the holders of a majority of the votes cast by shareholders represented in person or by proxy at the Annual Meeting and entitled to vote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289560</wp:posOffset>
            </wp:positionV>
            <wp:extent cx="6710045" cy="44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10045" cy="44386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left="660" w:right="300"/>
        <w:spacing w:after="0" w:line="273" w:lineRule="auto"/>
        <w:rPr>
          <w:sz w:val="20"/>
          <w:szCs w:val="20"/>
          <w:color w:val="auto"/>
        </w:rPr>
      </w:pPr>
      <w:r>
        <w:rPr>
          <w:rFonts w:ascii="Arial" w:cs="Arial" w:eastAsia="Arial" w:hAnsi="Arial"/>
          <w:sz w:val="19"/>
          <w:szCs w:val="19"/>
          <w:b w:val="1"/>
          <w:bCs w:val="1"/>
          <w:color w:val="FFFFFF"/>
        </w:rPr>
        <w:t>OUR BOARD OF DIRECTORS UNANIMOUSLY RECOMMENDS THAT YOU VOTE “FOR” THE RENEWAL OF THE BOARD’S AUTHORITY TO ISSUE SHARES UNDER IRISH LAW.</w:t>
      </w: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3E8EDE"/>
        </w:rPr>
        <w:t xml:space="preserve">Notice of Annual Meeting of Shareholders </w:t>
      </w:r>
      <w:r>
        <w:rPr>
          <w:rFonts w:ascii="Arial" w:cs="Arial" w:eastAsia="Arial" w:hAnsi="Arial"/>
          <w:sz w:val="14"/>
          <w:szCs w:val="14"/>
          <w:color w:val="000000"/>
        </w:rPr>
        <w:t>and 2026 Proxy Statement   23</w:t>
      </w:r>
    </w:p>
    <w:p>
      <w:pPr>
        <w:sectPr>
          <w:pgSz w:w="11900" w:h="16838" w:orient="portrait"/>
          <w:cols w:equalWidth="0" w:num="1">
            <w:col w:w="10900"/>
          </w:cols>
          <w:pgMar w:left="320" w:top="469" w:right="6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435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10045" cy="43561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left="660" w:right="220"/>
        <w:spacing w:after="0" w:line="273" w:lineRule="auto"/>
        <w:rPr>
          <w:sz w:val="20"/>
          <w:szCs w:val="20"/>
          <w:color w:val="auto"/>
        </w:rPr>
      </w:pPr>
      <w:r>
        <w:rPr>
          <w:rFonts w:ascii="Arial" w:cs="Arial" w:eastAsia="Arial" w:hAnsi="Arial"/>
          <w:sz w:val="21"/>
          <w:szCs w:val="21"/>
          <w:b w:val="1"/>
          <w:bCs w:val="1"/>
          <w:color w:val="3E8EDE"/>
        </w:rPr>
        <w:t>PROPOSAL 7—RENEWAL OF THE BOARD’S AUTHORITY TO OPT-OUT OF STATUTORY PRE-EMPTION RIGHTS UNDER IRISH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21590</wp:posOffset>
            </wp:positionV>
            <wp:extent cx="67100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12" w:lineRule="exact"/>
        <w:rPr>
          <w:sz w:val="20"/>
          <w:szCs w:val="20"/>
          <w:color w:val="auto"/>
        </w:rPr>
      </w:pPr>
    </w:p>
    <w:p>
      <w:pPr>
        <w:ind w:left="340" w:right="20"/>
        <w:spacing w:after="0" w:line="239" w:lineRule="auto"/>
        <w:rPr>
          <w:sz w:val="20"/>
          <w:szCs w:val="20"/>
          <w:color w:val="auto"/>
        </w:rPr>
      </w:pPr>
      <w:r>
        <w:rPr>
          <w:rFonts w:ascii="Arial" w:cs="Arial" w:eastAsia="Arial" w:hAnsi="Arial"/>
          <w:sz w:val="19"/>
          <w:szCs w:val="19"/>
          <w:color w:val="auto"/>
        </w:rPr>
        <w:t xml:space="preserve">Under Irish law, unless its directors are otherwise authorized and empowered to opt-out, when an Irish public limited company proposes to issue, or grant rights to acquire, shares for cash, the company is required to first offer those shares or rights on the same or more favorable terms to existing shareholders of the company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(commonly referred to as statutory pre-emption rights).</w:t>
      </w:r>
    </w:p>
    <w:p>
      <w:pPr>
        <w:spacing w:after="0" w:line="166" w:lineRule="exact"/>
        <w:rPr>
          <w:sz w:val="20"/>
          <w:szCs w:val="20"/>
          <w:color w:val="auto"/>
        </w:rPr>
      </w:pPr>
    </w:p>
    <w:p>
      <w:pPr>
        <w:ind w:left="340"/>
        <w:spacing w:after="0" w:line="234" w:lineRule="auto"/>
        <w:rPr>
          <w:sz w:val="20"/>
          <w:szCs w:val="20"/>
          <w:color w:val="auto"/>
        </w:rPr>
      </w:pPr>
      <w:r>
        <w:rPr>
          <w:rFonts w:ascii="Arial" w:cs="Arial" w:eastAsia="Arial" w:hAnsi="Arial"/>
          <w:sz w:val="19"/>
          <w:szCs w:val="19"/>
          <w:color w:val="auto"/>
        </w:rPr>
        <w:t>Statutory pre-emption rights do not apply to the issue of shares or the grant of rights to acquire shares (i) for cash to employees or former employees under an employees’ share scheme, or (ii) for non-cash consideration, such as on a share-for-share transaction. This proposal is in line with customary practice and governance standards applicable to public companies incorporated in Ireland and listed on U.S. markets. Shareholders supported a similar renewal of authority at the annual meeting last year with approximately 94% of votes cast in favor of the proposal. This authority will expire on the date of the Annual Meeting. If this proposal is not passed, STERIS will have a limited ability to issue new Ordinary Shares after this date.</w:t>
      </w:r>
    </w:p>
    <w:p>
      <w:pPr>
        <w:spacing w:after="0" w:line="166" w:lineRule="exact"/>
        <w:rPr>
          <w:sz w:val="20"/>
          <w:szCs w:val="20"/>
          <w:color w:val="auto"/>
        </w:rPr>
      </w:pPr>
    </w:p>
    <w:p>
      <w:pPr>
        <w:ind w:left="340"/>
        <w:spacing w:after="0" w:line="231" w:lineRule="auto"/>
        <w:rPr>
          <w:sz w:val="20"/>
          <w:szCs w:val="20"/>
          <w:color w:val="auto"/>
        </w:rPr>
      </w:pPr>
      <w:r>
        <w:rPr>
          <w:rFonts w:ascii="Arial" w:cs="Arial" w:eastAsia="Arial" w:hAnsi="Arial"/>
          <w:sz w:val="19"/>
          <w:szCs w:val="19"/>
          <w:color w:val="auto"/>
        </w:rPr>
        <w:t>In line with customary practice and applicable governance standards, we are seeking authority from our shareholders at the Annual Meeting to empower the Board to opt-out of statutory pre-emption rights in respect of (i) the issue of shares for cash in connection with any rights’ issue and (ii) the issue, and/or grant of rights to acquire, shares for cash without regard to statutory pre-emption rights, up to a maximum number which is equal to approximately 20% of our issued ordinary share capital as of the Record Date, provided that, insofar as it relates to shares which represent greater than 10% in number of our issued ordinary share capital as of the Record Date, such authority is to be used only for the purposes of an acquisition or a specified capital investment which is announced contemporaneously with the issue, or which has taken place in the preceding six month period and is disclosed in the announcement of the issue. The proposed authority is for a period expiring on the earlier of (i) the date of our next annual general meeting and (ii) the date which is 15 months from the date of our Annual Meeting, unless otherwise varied, renewed or revoked. The Board expects to propose renewals of this authority on a regular basis at our annual general meetings in subsequent years.</w:t>
      </w:r>
    </w:p>
    <w:p>
      <w:pPr>
        <w:spacing w:after="0" w:line="173" w:lineRule="exact"/>
        <w:rPr>
          <w:sz w:val="20"/>
          <w:szCs w:val="20"/>
          <w:color w:val="auto"/>
        </w:rPr>
      </w:pPr>
    </w:p>
    <w:p>
      <w:pPr>
        <w:ind w:left="340" w:right="260"/>
        <w:spacing w:after="0" w:line="234" w:lineRule="auto"/>
        <w:rPr>
          <w:sz w:val="20"/>
          <w:szCs w:val="20"/>
          <w:color w:val="auto"/>
        </w:rPr>
      </w:pPr>
      <w:r>
        <w:rPr>
          <w:rFonts w:ascii="Arial" w:cs="Arial" w:eastAsia="Arial" w:hAnsi="Arial"/>
          <w:sz w:val="19"/>
          <w:szCs w:val="19"/>
          <w:color w:val="auto"/>
        </w:rPr>
        <w:t>Granting the Board this authority is a routine matter for public companies incorporated in Ireland and is consistent with Irish market practice. Similar to the authorization sought under Proposal 6 in this Proxy Statement, this renewal of authority is fundamental to our business and enables us to issue shares and rights to acquire shares on a non-pre-emptive basis, including, if applicable, in connection with funding acquisitions and raising capital. We are not asking you to approve an increase in our authorized share capital or to approve a specific issue of shares. Instead, approval of this proposal will only grant the Board the authority to issue, and grant rights to acquire, shares that are already included in our authorized share capital under our articles of association.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This authorization is required as a matter of Irish law and is not otherwise required for other companies listed on the NYSE.</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Accordingly, approval of this resolution will place us on equal footing with other NYSE-listed companies.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31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Proposal 7: </w:t>
      </w:r>
      <w:r>
        <w:rPr>
          <w:rFonts w:ascii="Arial" w:cs="Arial" w:eastAsia="Arial" w:hAnsi="Arial"/>
          <w:sz w:val="15"/>
          <w:szCs w:val="15"/>
          <w:b w:val="1"/>
          <w:bCs w:val="1"/>
          <w:color w:val="000000"/>
        </w:rPr>
        <w:t>Renewal of the Board’s Authority to Opt-out of Statutory Pre-emption Rights Under Irish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140"/>
        <w:spacing w:after="0" w:line="262" w:lineRule="auto"/>
        <w:rPr>
          <w:sz w:val="20"/>
          <w:szCs w:val="20"/>
          <w:color w:val="auto"/>
        </w:rPr>
      </w:pPr>
      <w:r>
        <w:rPr>
          <w:rFonts w:ascii="Arial" w:cs="Arial" w:eastAsia="Arial" w:hAnsi="Arial"/>
          <w:sz w:val="19"/>
          <w:szCs w:val="19"/>
          <w:color w:val="auto"/>
        </w:rPr>
        <w:t>Accordingly, the following resolution will be submitted to our shareholders for approval, as a special resolution, at the Annual Meeting:</w:t>
      </w:r>
    </w:p>
    <w:p>
      <w:pPr>
        <w:spacing w:after="0" w:line="41" w:lineRule="exact"/>
        <w:rPr>
          <w:sz w:val="20"/>
          <w:szCs w:val="20"/>
          <w:color w:val="auto"/>
        </w:rPr>
      </w:pPr>
    </w:p>
    <w:p>
      <w:pPr>
        <w:ind w:left="860" w:right="60"/>
        <w:spacing w:after="0" w:line="237" w:lineRule="auto"/>
        <w:rPr>
          <w:sz w:val="20"/>
          <w:szCs w:val="20"/>
          <w:color w:val="auto"/>
        </w:rPr>
      </w:pPr>
      <w:r>
        <w:rPr>
          <w:rFonts w:ascii="Arial" w:cs="Arial" w:eastAsia="Arial" w:hAnsi="Arial"/>
          <w:sz w:val="19"/>
          <w:szCs w:val="19"/>
          <w:b w:val="1"/>
          <w:bCs w:val="1"/>
          <w:color w:val="auto"/>
        </w:rPr>
        <w:t>“Resolved, that, subject to and conditional on the passing of the resolution in respect of Proposal 6, as set out above, and with effect from the passing of this resolution, the directors be and are hereby empowered pursuant to section 1023 of the Companies Act 2014, as amended (the “Act”), to allot and issue equity securities (within the meaning of section 1023 of the Act) for cash pursuant to the authority conferred by the said Proposal 6 as if section 1022(1) of the Act did not apply to any such allotment, provided that this power shall be limited to:</w:t>
      </w:r>
    </w:p>
    <w:p>
      <w:pPr>
        <w:spacing w:after="0" w:line="65" w:lineRule="exact"/>
        <w:rPr>
          <w:sz w:val="20"/>
          <w:szCs w:val="20"/>
          <w:color w:val="auto"/>
        </w:rPr>
      </w:pPr>
    </w:p>
    <w:p>
      <w:pPr>
        <w:ind w:left="1380" w:right="20" w:hanging="522"/>
        <w:spacing w:after="0" w:line="234" w:lineRule="auto"/>
        <w:tabs>
          <w:tab w:leader="none" w:pos="138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the allotment and issue of equity securities in connection with a rights’ issue in favor of the holders of ordinary shares (including rights to subscribe for, or convert other securities into, ordinary shares) where the equity securities respectively attributable to the interests of such holders are proportional (as nearly as may be practicable) to the respective numbers of ordinary shares held by them (but subject to such exclusions or other arrangements as the directors may deem necessary or expedient to deal with any treasury shares, fractional entitlements that would otherwise arise, record dates or with legal or practical problems under the laws of, or the requirements of any recognized regulatory body or any stock exchange in, any territory, or otherwise); and</w:t>
      </w:r>
    </w:p>
    <w:p>
      <w:pPr>
        <w:spacing w:after="0" w:line="69" w:lineRule="exact"/>
        <w:rPr>
          <w:rFonts w:ascii="Arial" w:cs="Arial" w:eastAsia="Arial" w:hAnsi="Arial"/>
          <w:sz w:val="19"/>
          <w:szCs w:val="19"/>
          <w:b w:val="1"/>
          <w:bCs w:val="1"/>
          <w:color w:val="auto"/>
        </w:rPr>
      </w:pPr>
    </w:p>
    <w:p>
      <w:pPr>
        <w:ind w:left="1380" w:right="140" w:hanging="522"/>
        <w:spacing w:after="0" w:line="234" w:lineRule="auto"/>
        <w:tabs>
          <w:tab w:leader="none" w:pos="138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the allotment and issue (otherwise than pursuant to sub-paragraph (a) above) of equity securities up to an aggregate nominal value of $19,492 (which represents 19,491,536 shares) (being equivalent to approximately 20% of the aggregate nominal value and number of the issued ordinary shares in the capital of the Company as of the Record Date), provided that any amount of equity securities above an aggregate nominal value of $9,746 (which represents 9,745,768 shares) (being equivalent to approximately 10% of the aggregate nominal value and number of the issued ordinary shares in the capital of the Company as of the Record Date), is to be used only for the purpose of an acquisition or a specified capital investment which is announced contemporaneously with the issue, or which has taken place in the preceding six month period and is disclosed in the announcement of the issue,</w:t>
      </w:r>
    </w:p>
    <w:p>
      <w:pPr>
        <w:spacing w:after="0" w:line="51" w:lineRule="exact"/>
        <w:rPr>
          <w:sz w:val="20"/>
          <w:szCs w:val="20"/>
          <w:color w:val="auto"/>
        </w:rPr>
      </w:pPr>
    </w:p>
    <w:p>
      <w:pPr>
        <w:ind w:left="860" w:right="100"/>
        <w:spacing w:after="0" w:line="237" w:lineRule="auto"/>
        <w:rPr>
          <w:sz w:val="20"/>
          <w:szCs w:val="20"/>
          <w:color w:val="auto"/>
        </w:rPr>
      </w:pPr>
      <w:r>
        <w:rPr>
          <w:rFonts w:ascii="Arial" w:cs="Arial" w:eastAsia="Arial" w:hAnsi="Arial"/>
          <w:sz w:val="19"/>
          <w:szCs w:val="19"/>
          <w:b w:val="1"/>
          <w:bCs w:val="1"/>
          <w:color w:val="auto"/>
        </w:rPr>
        <w:t>and, in each case, the authority conferred by this resolution shall expire on the earlier of (i) the date of the Company’s next annual general meeting and (ii) the date that is 15 months from the passing of this resolution, unless previously renewed, varied or revoked, provided that the Company may, before such expiry, make an offer or agreement, which would, or might, require any such securities to be allotted and issued after such expiry, and in that case, the directors may allot and issue equity securities in pursuance of any such offer or agreement as if the authority conferred by this resolution had not expired.”</w:t>
      </w:r>
    </w:p>
    <w:p>
      <w:pPr>
        <w:spacing w:after="0" w:line="156" w:lineRule="exact"/>
        <w:rPr>
          <w:sz w:val="20"/>
          <w:szCs w:val="20"/>
          <w:color w:val="auto"/>
        </w:rPr>
      </w:pPr>
    </w:p>
    <w:p>
      <w:pPr>
        <w:ind w:left="340" w:right="160"/>
        <w:spacing w:after="0" w:line="239" w:lineRule="auto"/>
        <w:rPr>
          <w:sz w:val="20"/>
          <w:szCs w:val="20"/>
          <w:color w:val="auto"/>
        </w:rPr>
      </w:pPr>
      <w:r>
        <w:rPr>
          <w:rFonts w:ascii="Arial" w:cs="Arial" w:eastAsia="Arial" w:hAnsi="Arial"/>
          <w:sz w:val="19"/>
          <w:szCs w:val="19"/>
          <w:color w:val="auto"/>
        </w:rPr>
        <w:t>This resolution to authorize and empower the Board to opt out of statutory pre-emption rights under Irish law will be considered adopted if approved by the affirmative vote of the holders of at least seventy-five percent of the votes cast by shareholders represented in person or by proxy at the Annual Meeting and entitled to vote thereon. In addition, this proposal is conditional upon the approval of Proposal 6, as required by Irish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291465</wp:posOffset>
            </wp:positionV>
            <wp:extent cx="6710045" cy="44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10045" cy="44386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left="660" w:right="300"/>
        <w:spacing w:after="0" w:line="273" w:lineRule="auto"/>
        <w:rPr>
          <w:sz w:val="20"/>
          <w:szCs w:val="20"/>
          <w:color w:val="auto"/>
        </w:rPr>
      </w:pPr>
      <w:r>
        <w:rPr>
          <w:rFonts w:ascii="Arial" w:cs="Arial" w:eastAsia="Arial" w:hAnsi="Arial"/>
          <w:sz w:val="19"/>
          <w:szCs w:val="19"/>
          <w:b w:val="1"/>
          <w:bCs w:val="1"/>
          <w:color w:val="FFFFFF"/>
        </w:rPr>
        <w:t>OUR BOARD OF DIRECTORS UNANIMOUSLY RECOMMENDS THAT YOU VOTE “FOR” THE RENEWAL OF THE BOARD’S AUTHORITY TO OPT-OUT OF STATUTORY PRE-EMPTION RIGHTS UNDER IRISH LAW.</w:t>
      </w: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3E8EDE"/>
        </w:rPr>
        <w:t xml:space="preserve">Notice of Annual Meeting of Shareholders </w:t>
      </w:r>
      <w:r>
        <w:rPr>
          <w:rFonts w:ascii="Arial" w:cs="Arial" w:eastAsia="Arial" w:hAnsi="Arial"/>
          <w:sz w:val="14"/>
          <w:szCs w:val="14"/>
          <w:color w:val="000000"/>
        </w:rPr>
        <w:t>and 2026 Proxy Statement   25</w:t>
      </w:r>
    </w:p>
    <w:p>
      <w:pPr>
        <w:sectPr>
          <w:pgSz w:w="11900" w:h="16838" w:orient="portrait"/>
          <w:cols w:equalWidth="0" w:num="1">
            <w:col w:w="10900"/>
          </w:cols>
          <w:pgMar w:left="320" w:top="469" w:right="6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435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10045" cy="43561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left="680" w:right="320"/>
        <w:spacing w:after="0" w:line="273" w:lineRule="auto"/>
        <w:rPr>
          <w:sz w:val="20"/>
          <w:szCs w:val="20"/>
          <w:color w:val="auto"/>
        </w:rPr>
      </w:pPr>
      <w:r>
        <w:rPr>
          <w:rFonts w:ascii="Arial" w:cs="Arial" w:eastAsia="Arial" w:hAnsi="Arial"/>
          <w:sz w:val="21"/>
          <w:szCs w:val="21"/>
          <w:b w:val="1"/>
          <w:bCs w:val="1"/>
          <w:color w:val="3E8EDE"/>
        </w:rPr>
        <w:t>PROPOSAL 8—RESOLUTION TO TRANSACT SUCH OTHER BUSINESS AS MAY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21590</wp:posOffset>
            </wp:positionV>
            <wp:extent cx="67100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40"/>
        <w:spacing w:after="0" w:line="239" w:lineRule="auto"/>
        <w:rPr>
          <w:sz w:val="20"/>
          <w:szCs w:val="20"/>
          <w:color w:val="auto"/>
        </w:rPr>
      </w:pPr>
      <w:r>
        <w:rPr>
          <w:rFonts w:ascii="Arial" w:cs="Arial" w:eastAsia="Arial" w:hAnsi="Arial"/>
          <w:sz w:val="19"/>
          <w:szCs w:val="19"/>
          <w:color w:val="auto"/>
        </w:rPr>
        <w:t>The Board is not aware of any business to be acted upon at the Annual Meeting other than that described in this Proxy Statement. If any other business properly comes before the Annual Meeting or any adjournment thereof, the proxy holders (as indicated on the accompanying proxy card or cards) will vote the proxies according to their best judgment and to the extent permitted by applicable law with respect to such matters in their discretion.</w:t>
      </w:r>
    </w:p>
    <w:p>
      <w:pPr>
        <w:spacing w:after="0" w:line="166" w:lineRule="exact"/>
        <w:rPr>
          <w:sz w:val="20"/>
          <w:szCs w:val="20"/>
          <w:color w:val="auto"/>
        </w:rPr>
      </w:pPr>
    </w:p>
    <w:p>
      <w:pPr>
        <w:ind w:left="1680"/>
        <w:spacing w:after="0"/>
        <w:rPr>
          <w:sz w:val="20"/>
          <w:szCs w:val="20"/>
          <w:color w:val="auto"/>
        </w:rPr>
      </w:pPr>
      <w:r>
        <w:rPr>
          <w:rFonts w:ascii="Arial" w:cs="Arial" w:eastAsia="Arial" w:hAnsi="Arial"/>
          <w:sz w:val="19"/>
          <w:szCs w:val="19"/>
          <w:color w:val="auto"/>
        </w:rPr>
        <w:t>***********************************************************************************************************</w:t>
      </w:r>
    </w:p>
    <w:p>
      <w:pPr>
        <w:spacing w:after="0" w:line="196" w:lineRule="exact"/>
        <w:rPr>
          <w:sz w:val="20"/>
          <w:szCs w:val="20"/>
          <w:color w:val="auto"/>
        </w:rPr>
      </w:pPr>
    </w:p>
    <w:p>
      <w:pPr>
        <w:ind w:left="2180"/>
        <w:spacing w:after="0"/>
        <w:rPr>
          <w:sz w:val="20"/>
          <w:szCs w:val="20"/>
          <w:color w:val="auto"/>
        </w:rPr>
      </w:pPr>
      <w:r>
        <w:rPr>
          <w:rFonts w:ascii="Arial" w:cs="Arial" w:eastAsia="Arial" w:hAnsi="Arial"/>
          <w:sz w:val="19"/>
          <w:szCs w:val="19"/>
          <w:b w:val="1"/>
          <w:bCs w:val="1"/>
          <w:color w:val="auto"/>
        </w:rPr>
        <w:t>UNLESS OTHERWISE DIRECTED, THE PROXY HOLDERS WILL VOTE “FOR”</w:t>
      </w:r>
    </w:p>
    <w:p>
      <w:pPr>
        <w:spacing w:after="0" w:line="7"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color w:val="auto"/>
        </w:rPr>
        <w:t>PROPOSALS 1 THROUGH 7.</w:t>
      </w:r>
    </w:p>
    <w:p>
      <w:pPr>
        <w:spacing w:after="0" w:line="178"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2876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10045" cy="2876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680"/>
        <w:spacing w:after="0"/>
        <w:rPr>
          <w:sz w:val="20"/>
          <w:szCs w:val="20"/>
          <w:color w:val="auto"/>
        </w:rPr>
      </w:pPr>
      <w:r>
        <w:rPr>
          <w:rFonts w:ascii="Arial" w:cs="Arial" w:eastAsia="Arial" w:hAnsi="Arial"/>
          <w:sz w:val="21"/>
          <w:szCs w:val="21"/>
          <w:b w:val="1"/>
          <w:bCs w:val="1"/>
          <w:color w:val="3E8EDE"/>
        </w:rPr>
        <w:t>BOARD OF DIRECTORS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68580</wp:posOffset>
            </wp:positionV>
            <wp:extent cx="67100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Board Meetings and Committees</w:t>
      </w:r>
    </w:p>
    <w:p>
      <w:pPr>
        <w:spacing w:after="0" w:line="217" w:lineRule="exact"/>
        <w:rPr>
          <w:sz w:val="20"/>
          <w:szCs w:val="20"/>
          <w:color w:val="auto"/>
        </w:rPr>
      </w:pPr>
    </w:p>
    <w:p>
      <w:pPr>
        <w:ind w:left="340" w:right="120"/>
        <w:spacing w:after="0" w:line="235" w:lineRule="auto"/>
        <w:rPr>
          <w:sz w:val="20"/>
          <w:szCs w:val="20"/>
          <w:color w:val="auto"/>
        </w:rPr>
      </w:pPr>
      <w:r>
        <w:rPr>
          <w:rFonts w:ascii="Arial" w:cs="Arial" w:eastAsia="Arial" w:hAnsi="Arial"/>
          <w:sz w:val="19"/>
          <w:szCs w:val="19"/>
          <w:color w:val="auto"/>
        </w:rPr>
        <w:t xml:space="preserve">Our Board of Directors met five times during the fiscal year ended March 31, 2026. The Board has four standing committees —the Audit Committee, the Compensation and Organization Development Committee, the Nominating and Governance Committee and the Compliance and Technology Committee (collectively, the “Board Committees” or “Committees”). Each committee has adopted a written charter that may be found at the “Corporate Governance” section of </w:t>
      </w:r>
      <w:r>
        <w:rPr>
          <w:rFonts w:ascii="Arial" w:cs="Arial" w:eastAsia="Arial" w:hAnsi="Arial"/>
          <w:sz w:val="19"/>
          <w:szCs w:val="19"/>
          <w:u w:val="single" w:color="auto"/>
          <w:color w:val="auto"/>
        </w:rPr>
        <w:t>steris-ir.com</w:t>
      </w:r>
      <w:r>
        <w:rPr>
          <w:rFonts w:ascii="Arial" w:cs="Arial" w:eastAsia="Arial" w:hAnsi="Arial"/>
          <w:sz w:val="19"/>
          <w:szCs w:val="19"/>
          <w:color w:val="auto"/>
        </w:rPr>
        <w:t>. A copy of each charter will also be made available upon a request sent to the Company Secretary. From time to time, our Board may also establish various special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135890</wp:posOffset>
            </wp:positionV>
            <wp:extent cx="6710045" cy="40214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10045" cy="4021455"/>
                    </a:xfrm>
                    <a:prstGeom prst="rect">
                      <a:avLst/>
                    </a:prstGeom>
                    <a:noFill/>
                  </pic:spPr>
                </pic:pic>
              </a:graphicData>
            </a:graphic>
          </wp:anchor>
        </w:drawing>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3E8EDE"/>
        </w:rPr>
        <w:t>AUDIT COMMITTEE</w:t>
      </w:r>
    </w:p>
    <w:p>
      <w:pPr>
        <w:spacing w:after="0" w:line="92" w:lineRule="exact"/>
        <w:rPr>
          <w:sz w:val="20"/>
          <w:szCs w:val="20"/>
          <w:color w:val="auto"/>
        </w:rPr>
      </w:pPr>
    </w:p>
    <w:p>
      <w:pPr>
        <w:ind w:left="560" w:right="220"/>
        <w:spacing w:after="0" w:line="233" w:lineRule="auto"/>
        <w:rPr>
          <w:sz w:val="20"/>
          <w:szCs w:val="20"/>
          <w:color w:val="auto"/>
        </w:rPr>
      </w:pPr>
      <w:r>
        <w:rPr>
          <w:rFonts w:ascii="Arial" w:cs="Arial" w:eastAsia="Arial" w:hAnsi="Arial"/>
          <w:sz w:val="19"/>
          <w:szCs w:val="19"/>
          <w:color w:val="auto"/>
        </w:rPr>
        <w:t>Mr. Breeden (chair), Ms. Feldmann, Mr. Holland, Mr. Martin and Mr. Shapiro are the current members of the Audit Committee. The Audit Committee provides oversight relating to the integrity of the Company’s financial statements and effectiveness of the Company’s internal controls over financial reporting, including its systems of internal accounting and financial controls, the internal audit process, the annual independent audit of the Company’s annual financial statements, compliance with legal and regulatory requirements, the qualifications and independence of the independent auditors as required by U.S. law under the Exchange Act, and information technology and cybersecurity matters. The Audit Committee also has the authority to establish and approve the Company’s investment and financial policy and banking policies and relationships.</w:t>
      </w:r>
    </w:p>
    <w:p>
      <w:pPr>
        <w:spacing w:after="0" w:line="64" w:lineRule="exact"/>
        <w:rPr>
          <w:sz w:val="20"/>
          <w:szCs w:val="20"/>
          <w:color w:val="auto"/>
        </w:rPr>
      </w:pPr>
    </w:p>
    <w:p>
      <w:pPr>
        <w:ind w:left="560" w:right="240"/>
        <w:spacing w:after="0" w:line="230" w:lineRule="auto"/>
        <w:rPr>
          <w:sz w:val="20"/>
          <w:szCs w:val="20"/>
          <w:color w:val="auto"/>
        </w:rPr>
      </w:pPr>
      <w:r>
        <w:rPr>
          <w:rFonts w:ascii="Arial" w:cs="Arial" w:eastAsia="Arial" w:hAnsi="Arial"/>
          <w:sz w:val="19"/>
          <w:szCs w:val="19"/>
          <w:color w:val="auto"/>
        </w:rPr>
        <w:t>SEC rules provide that all members of the Audit Committee of a public company meet certain independence criteria. The Board has determined that Mr. Breeden, Ms. Feldmann, Mr. Holland, Mr. Martin and Mr. Shapiro each meet the independence criteria for audit committee members and that all such members also are independent within the meaning of the NYSE listing standards and are “financially literate” and have accounting or related financial expertise within the meaning of NYSE listing standards. The Board has further determined that each of Mr. Breeden, Ms. Feldmann and Mr. Holland qualifies as an “audit committee financial expert” in accordance with Item 407(d)(5)(ii) of Regulation S-K. Mr. Breeden, who is the Committee Chair, was determined to qualify as an audit committee financial expert as a result of the Board’s examination of his education, professional experience and other board and audit committee experiences. Mr. Breeden managed an equity investment firm for more than ten years requiring him to regularly review financial statements of portfolio companies or companies being considered for a potential investment. He has served on or chaired audit committees of several companies and was a senior partner of a major audit firm (non-CPA) for several years. He served on the Standing Advisory Group of the Public Company Accounting Oversight Board (PCAOB), in which capacity he regularly reviewed issues of auditor performance and audit professionalism standards. He has been a consultant or corporate monitor charged with reviewing internal controls in several companies, and for nearly four years, served as Chairman of the U.S. Securities and Exchange Commission where he had extensive dealings with both audit and accounting standards, as well as the financial statements of companies issuing securities of all types.</w:t>
      </w:r>
    </w:p>
    <w:p>
      <w:pPr>
        <w:spacing w:after="0" w:line="69" w:lineRule="exact"/>
        <w:rPr>
          <w:sz w:val="20"/>
          <w:szCs w:val="20"/>
          <w:color w:val="auto"/>
        </w:rPr>
      </w:pPr>
    </w:p>
    <w:p>
      <w:pPr>
        <w:ind w:left="560" w:right="240"/>
        <w:spacing w:after="0" w:line="244" w:lineRule="auto"/>
        <w:rPr>
          <w:sz w:val="20"/>
          <w:szCs w:val="20"/>
          <w:color w:val="auto"/>
        </w:rPr>
      </w:pPr>
      <w:r>
        <w:rPr>
          <w:rFonts w:ascii="Arial" w:cs="Arial" w:eastAsia="Arial" w:hAnsi="Arial"/>
          <w:sz w:val="19"/>
          <w:szCs w:val="19"/>
          <w:color w:val="auto"/>
        </w:rPr>
        <w:t xml:space="preserve">The Audit Committee met nine times during fiscal 2026. A copy of the Audit Committee’s charter may be found at the “Corporate Governance” section of </w:t>
      </w:r>
      <w:r>
        <w:rPr>
          <w:rFonts w:ascii="Arial" w:cs="Arial" w:eastAsia="Arial" w:hAnsi="Arial"/>
          <w:sz w:val="19"/>
          <w:szCs w:val="19"/>
          <w:u w:val="single" w:color="auto"/>
          <w:color w:val="auto"/>
        </w:rPr>
        <w:t>steris-ir.com</w:t>
      </w:r>
      <w:r>
        <w:rPr>
          <w:rFonts w:ascii="Arial" w:cs="Arial" w:eastAsia="Arial" w:hAnsi="Arial"/>
          <w:sz w:val="19"/>
          <w:szCs w:val="19"/>
          <w:color w:val="auto"/>
        </w:rPr>
        <w:t>. A copy will also be made available upon a request sent to the Company Secretary.</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27</w:t>
      </w:r>
    </w:p>
    <w:p>
      <w:pPr>
        <w:sectPr>
          <w:pgSz w:w="11900" w:h="16838" w:orient="portrait"/>
          <w:cols w:equalWidth="0" w:num="1">
            <w:col w:w="10900"/>
          </w:cols>
          <w:pgMar w:left="320" w:top="469" w:right="6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12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Board of Directors Information: </w:t>
      </w:r>
      <w:r>
        <w:rPr>
          <w:rFonts w:ascii="Arial" w:cs="Arial" w:eastAsia="Arial" w:hAnsi="Arial"/>
          <w:sz w:val="15"/>
          <w:szCs w:val="15"/>
          <w:b w:val="1"/>
          <w:bCs w:val="1"/>
          <w:color w:val="000000"/>
        </w:rPr>
        <w:t>Board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40132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10045" cy="4013200"/>
                    </a:xfrm>
                    <a:prstGeom prst="rect">
                      <a:avLst/>
                    </a:prstGeom>
                    <a:noFill/>
                  </pic:spPr>
                </pic:pic>
              </a:graphicData>
            </a:graphic>
          </wp:anchor>
        </w:drawing>
      </w:r>
    </w:p>
    <w:p>
      <w:pPr>
        <w:spacing w:after="0" w:line="337"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3E8EDE"/>
        </w:rPr>
        <w:t>COMPENSATION AND ORGANIZATION DEVELOPMENT COMMITTEE</w:t>
      </w:r>
    </w:p>
    <w:p>
      <w:pPr>
        <w:spacing w:after="0" w:line="92" w:lineRule="exact"/>
        <w:rPr>
          <w:sz w:val="20"/>
          <w:szCs w:val="20"/>
          <w:color w:val="auto"/>
        </w:rPr>
      </w:pPr>
    </w:p>
    <w:p>
      <w:pPr>
        <w:ind w:left="560" w:right="480"/>
        <w:spacing w:after="0" w:line="247" w:lineRule="auto"/>
        <w:rPr>
          <w:sz w:val="20"/>
          <w:szCs w:val="20"/>
          <w:color w:val="auto"/>
        </w:rPr>
      </w:pPr>
      <w:r>
        <w:rPr>
          <w:rFonts w:ascii="Arial" w:cs="Arial" w:eastAsia="Arial" w:hAnsi="Arial"/>
          <w:sz w:val="18"/>
          <w:szCs w:val="18"/>
          <w:color w:val="auto"/>
        </w:rPr>
        <w:t>Mr. Holland (chair), Mr. Breeden, Mr. Martin, and Dr. Shah are the current members of the Compensation and Organization Development Committee. SEC rules provide that only a person who meets certain independence criteria may serve on the compensation committee of a public company. The Board has determined that Mr. Breeden,</w:t>
      </w:r>
    </w:p>
    <w:p>
      <w:pPr>
        <w:spacing w:after="0" w:line="1" w:lineRule="exact"/>
        <w:rPr>
          <w:sz w:val="20"/>
          <w:szCs w:val="20"/>
          <w:color w:val="auto"/>
        </w:rPr>
      </w:pPr>
    </w:p>
    <w:p>
      <w:pPr>
        <w:ind w:left="560" w:right="240"/>
        <w:spacing w:after="0" w:line="234" w:lineRule="auto"/>
        <w:rPr>
          <w:sz w:val="20"/>
          <w:szCs w:val="20"/>
          <w:color w:val="auto"/>
        </w:rPr>
      </w:pPr>
      <w:r>
        <w:rPr>
          <w:rFonts w:ascii="Arial" w:cs="Arial" w:eastAsia="Arial" w:hAnsi="Arial"/>
          <w:sz w:val="19"/>
          <w:szCs w:val="19"/>
          <w:color w:val="auto"/>
        </w:rPr>
        <w:t>Mr. Holland, Mr. Martin, and Dr. Shah each meet those independence criteria for compensation committee members and that all such members are also independent within the meaning of the NYSE listing standards and SEC rules. None of the members of the Compensation and Organization Development Committee had any interlocking relationships with the Company within the meaning of SEC rules.</w:t>
      </w:r>
    </w:p>
    <w:p>
      <w:pPr>
        <w:spacing w:after="0" w:line="62" w:lineRule="exact"/>
        <w:rPr>
          <w:sz w:val="20"/>
          <w:szCs w:val="20"/>
          <w:color w:val="auto"/>
        </w:rPr>
      </w:pPr>
    </w:p>
    <w:p>
      <w:pPr>
        <w:ind w:left="560" w:right="220"/>
        <w:spacing w:after="0" w:line="230" w:lineRule="auto"/>
        <w:rPr>
          <w:sz w:val="20"/>
          <w:szCs w:val="20"/>
          <w:color w:val="auto"/>
        </w:rPr>
      </w:pPr>
      <w:r>
        <w:rPr>
          <w:rFonts w:ascii="Arial" w:cs="Arial" w:eastAsia="Arial" w:hAnsi="Arial"/>
          <w:sz w:val="19"/>
          <w:szCs w:val="19"/>
          <w:color w:val="auto"/>
        </w:rPr>
        <w:t>The Compensation and Organization Development Committee is responsible for the Company’s general compensation philosophy for senior management, including approval of the compensation of the President and CEO and elements of other senior management compensation. The Compensation and Organization Development Committee’s approval is required for equity grants to the named executive officers and other senior management and for cash bonus payments to senior management under the Company’s Management Incentive Compensation Plan, as well as the aggregate amount payable under such Management Incentive Compensation Plan. In making these decisions, the Compensation and Organization Development Committee considers the recommendations of the President and CEO (with respect to other members of senior management) and the Committee’s compensation consultant. The Compensation and Organization Development Committee also is responsible for overseeing the Company’s human capital and work environment (including HR-related ethics complaints, management development, succession planning and other related areas of focus). The Compensation and Organization Development Committee is authorized to and has regularly retained independent compensation consultants to assist with the discharge of its compensation responsibilities. The Compensation and Organization Development Committee may also delegate certain of its duties and responsibilities to a subcommittee or as otherwise permitted by the terms of any compensation or benefit plan, program, policy or arrangement approved by the Committee or the Board. A more detailed description of this process is located under “Executive Compensation—Compensation Discussion and Analysis.”</w:t>
      </w:r>
    </w:p>
    <w:p>
      <w:pPr>
        <w:spacing w:after="0" w:line="69" w:lineRule="exact"/>
        <w:rPr>
          <w:sz w:val="20"/>
          <w:szCs w:val="20"/>
          <w:color w:val="auto"/>
        </w:rPr>
      </w:pPr>
    </w:p>
    <w:p>
      <w:pPr>
        <w:ind w:left="560" w:right="220"/>
        <w:spacing w:after="0" w:line="244" w:lineRule="auto"/>
        <w:rPr>
          <w:sz w:val="20"/>
          <w:szCs w:val="20"/>
          <w:color w:val="auto"/>
        </w:rPr>
      </w:pPr>
      <w:r>
        <w:rPr>
          <w:rFonts w:ascii="Arial" w:cs="Arial" w:eastAsia="Arial" w:hAnsi="Arial"/>
          <w:sz w:val="19"/>
          <w:szCs w:val="19"/>
          <w:color w:val="auto"/>
        </w:rPr>
        <w:t xml:space="preserve">The Compensation and Organization Development Committee met five times during fiscal 2026. A copy of the Compensation and Organization Development Committee’s charter may be found at the “Corporate Governance” section of </w:t>
      </w:r>
      <w:r>
        <w:rPr>
          <w:rFonts w:ascii="Arial" w:cs="Arial" w:eastAsia="Arial" w:hAnsi="Arial"/>
          <w:sz w:val="19"/>
          <w:szCs w:val="19"/>
          <w:u w:val="single" w:color="auto"/>
          <w:color w:val="auto"/>
        </w:rPr>
        <w:t>steris-ir.com</w:t>
      </w:r>
      <w:r>
        <w:rPr>
          <w:rFonts w:ascii="Arial" w:cs="Arial" w:eastAsia="Arial" w:hAnsi="Arial"/>
          <w:sz w:val="19"/>
          <w:szCs w:val="19"/>
          <w:color w:val="auto"/>
        </w:rPr>
        <w:t>. A copy will also be made available upon a request sent to the Company Secretary.</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12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Board of Directors Information: </w:t>
      </w:r>
      <w:r>
        <w:rPr>
          <w:rFonts w:ascii="Arial" w:cs="Arial" w:eastAsia="Arial" w:hAnsi="Arial"/>
          <w:sz w:val="15"/>
          <w:szCs w:val="15"/>
          <w:b w:val="1"/>
          <w:bCs w:val="1"/>
          <w:color w:val="000000"/>
        </w:rPr>
        <w:t>Board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26314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10045" cy="2631440"/>
                    </a:xfrm>
                    <a:prstGeom prst="rect">
                      <a:avLst/>
                    </a:prstGeom>
                    <a:noFill/>
                  </pic:spPr>
                </pic:pic>
              </a:graphicData>
            </a:graphic>
          </wp:anchor>
        </w:drawing>
      </w:r>
    </w:p>
    <w:p>
      <w:pPr>
        <w:spacing w:after="0" w:line="337"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3E8EDE"/>
        </w:rPr>
        <w:t>NOMINATING AND GOVERNANCE COMMITTEE</w:t>
      </w:r>
    </w:p>
    <w:p>
      <w:pPr>
        <w:spacing w:after="0" w:line="92" w:lineRule="exact"/>
        <w:rPr>
          <w:sz w:val="20"/>
          <w:szCs w:val="20"/>
          <w:color w:val="auto"/>
        </w:rPr>
      </w:pPr>
    </w:p>
    <w:p>
      <w:pPr>
        <w:ind w:left="560" w:right="220"/>
        <w:spacing w:after="0" w:line="231" w:lineRule="auto"/>
        <w:rPr>
          <w:sz w:val="20"/>
          <w:szCs w:val="20"/>
          <w:color w:val="auto"/>
        </w:rPr>
      </w:pPr>
      <w:r>
        <w:rPr>
          <w:rFonts w:ascii="Arial" w:cs="Arial" w:eastAsia="Arial" w:hAnsi="Arial"/>
          <w:sz w:val="19"/>
          <w:szCs w:val="19"/>
          <w:color w:val="auto"/>
        </w:rPr>
        <w:t>Ms. Feldmann (chair), Dr. Alegria and Dr. Sohi are the current members of the Nominating and Governance Committee. The Board has determined that all members of the Nominating and Governance Committee are independent within the meaning of the NYSE listing standards. The Nominating and Governance Committee provides oversight relating to the administration of the Company’s policies, programs, and procedures with respect to: the identification and recommendation to the Board of director nominees for appointment or election to the Board of Directors; the development and recommendation to the Board of corporate governance principles applicable to the Board and the Company; assisting the Board on its oversight of activities relating to corporate reputation, responsibility, environmental, social and governance (“ESG”) matters, as well as the Company’s public policy, government relations and advocacy activities; overseeing the process for evaluation of governance matters generally, including Board, Board Committees, and CEO evaluations; evaluation of potential conflicts of interest and related disclosures; evaluation of shareholder proposals; compliance with the Board’s governance guidelines; and assessing and overseeing nonemployee Director compensation and making recommendations with respect to compensation of nonemployee Directors for approval by the Board.</w:t>
      </w:r>
    </w:p>
    <w:p>
      <w:pPr>
        <w:spacing w:after="0" w:line="63" w:lineRule="exact"/>
        <w:rPr>
          <w:sz w:val="20"/>
          <w:szCs w:val="20"/>
          <w:color w:val="auto"/>
        </w:rPr>
      </w:pPr>
    </w:p>
    <w:p>
      <w:pPr>
        <w:ind w:left="560" w:right="380"/>
        <w:spacing w:after="0" w:line="244" w:lineRule="auto"/>
        <w:rPr>
          <w:sz w:val="20"/>
          <w:szCs w:val="20"/>
          <w:color w:val="auto"/>
        </w:rPr>
      </w:pPr>
      <w:r>
        <w:rPr>
          <w:rFonts w:ascii="Arial" w:cs="Arial" w:eastAsia="Arial" w:hAnsi="Arial"/>
          <w:sz w:val="19"/>
          <w:szCs w:val="19"/>
          <w:color w:val="auto"/>
        </w:rPr>
        <w:t xml:space="preserve">The Nominating and Governance Committee met four times during fiscal 2026. A copy of the Nominating and Governance Committee’s charter may be found at the “Corporate Governance” section of </w:t>
      </w:r>
      <w:r>
        <w:rPr>
          <w:rFonts w:ascii="Arial" w:cs="Arial" w:eastAsia="Arial" w:hAnsi="Arial"/>
          <w:sz w:val="19"/>
          <w:szCs w:val="19"/>
          <w:u w:val="single" w:color="auto"/>
          <w:color w:val="auto"/>
        </w:rPr>
        <w:t>steris-ir.com</w:t>
      </w:r>
      <w:r>
        <w:rPr>
          <w:rFonts w:ascii="Arial" w:cs="Arial" w:eastAsia="Arial" w:hAnsi="Arial"/>
          <w:sz w:val="19"/>
          <w:szCs w:val="19"/>
          <w:color w:val="auto"/>
        </w:rPr>
        <w:t>. A copy will also be made available upon a request sent to the Company Secretary.</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29</w:t>
      </w:r>
    </w:p>
    <w:p>
      <w:pPr>
        <w:sectPr>
          <w:pgSz w:w="11900" w:h="16838" w:orient="portrait"/>
          <w:cols w:equalWidth="0" w:num="1">
            <w:col w:w="10900"/>
          </w:cols>
          <w:pgMar w:left="320" w:top="469" w:right="6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12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Board of Directors Information: </w:t>
      </w:r>
      <w:r>
        <w:rPr>
          <w:rFonts w:ascii="Arial" w:cs="Arial" w:eastAsia="Arial" w:hAnsi="Arial"/>
          <w:sz w:val="15"/>
          <w:szCs w:val="15"/>
          <w:b w:val="1"/>
          <w:bCs w:val="1"/>
          <w:color w:val="000000"/>
        </w:rPr>
        <w:t>Board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18421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10045" cy="1842135"/>
                    </a:xfrm>
                    <a:prstGeom prst="rect">
                      <a:avLst/>
                    </a:prstGeom>
                    <a:noFill/>
                  </pic:spPr>
                </pic:pic>
              </a:graphicData>
            </a:graphic>
          </wp:anchor>
        </w:drawing>
      </w:r>
    </w:p>
    <w:p>
      <w:pPr>
        <w:spacing w:after="0" w:line="337"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3E8EDE"/>
        </w:rPr>
        <w:t>COMPLIANCE AND TECHNOLOGY COMMITTEE</w:t>
      </w:r>
    </w:p>
    <w:p>
      <w:pPr>
        <w:spacing w:after="0" w:line="92" w:lineRule="exact"/>
        <w:rPr>
          <w:sz w:val="20"/>
          <w:szCs w:val="20"/>
          <w:color w:val="auto"/>
        </w:rPr>
      </w:pPr>
    </w:p>
    <w:p>
      <w:pPr>
        <w:ind w:left="560" w:right="360"/>
        <w:spacing w:after="0" w:line="234" w:lineRule="auto"/>
        <w:rPr>
          <w:sz w:val="20"/>
          <w:szCs w:val="20"/>
          <w:color w:val="auto"/>
        </w:rPr>
      </w:pPr>
      <w:r>
        <w:rPr>
          <w:rFonts w:ascii="Arial" w:cs="Arial" w:eastAsia="Arial" w:hAnsi="Arial"/>
          <w:sz w:val="19"/>
          <w:szCs w:val="19"/>
          <w:color w:val="auto"/>
        </w:rPr>
        <w:t>Dr. Alegria (chair), Mr. Carestio, Dr. Shah and Mr. Shapiro are the current members of the Compliance and Technology Committee. The Compliance and Technology Committee provides oversight relating to matters of non-financial compliance, including legal, regulatory, quality, cybersecurity and health, safety and environmental matters, compliance with applicable laws and regulations, and compliance programs and policies. The Compliance and Technology Committee’s authority also includes oversight of the Company’s development, application, and protection of science, technology, and innovation, including review of the scope, resources, and effectiveness of the Company’s research and development, new product development, and intellectual property protection.</w:t>
      </w:r>
    </w:p>
    <w:p>
      <w:pPr>
        <w:spacing w:after="0" w:line="63" w:lineRule="exact"/>
        <w:rPr>
          <w:sz w:val="20"/>
          <w:szCs w:val="20"/>
          <w:color w:val="auto"/>
        </w:rPr>
      </w:pPr>
    </w:p>
    <w:p>
      <w:pPr>
        <w:ind w:left="560" w:right="460"/>
        <w:spacing w:after="0" w:line="244" w:lineRule="auto"/>
        <w:rPr>
          <w:sz w:val="20"/>
          <w:szCs w:val="20"/>
          <w:color w:val="auto"/>
        </w:rPr>
      </w:pPr>
      <w:r>
        <w:rPr>
          <w:rFonts w:ascii="Arial" w:cs="Arial" w:eastAsia="Arial" w:hAnsi="Arial"/>
          <w:sz w:val="19"/>
          <w:szCs w:val="19"/>
          <w:color w:val="auto"/>
        </w:rPr>
        <w:t xml:space="preserve">The Compliance and Technology Committee met four times during fiscal 2026. A copy of the Compliance and Technology Committee’s charter may be found at the “Corporate Governance” section of </w:t>
      </w:r>
      <w:r>
        <w:rPr>
          <w:rFonts w:ascii="Arial" w:cs="Arial" w:eastAsia="Arial" w:hAnsi="Arial"/>
          <w:sz w:val="19"/>
          <w:szCs w:val="19"/>
          <w:u w:val="single" w:color="auto"/>
          <w:color w:val="auto"/>
        </w:rPr>
        <w:t>steris-ir.com</w:t>
      </w:r>
      <w:r>
        <w:rPr>
          <w:rFonts w:ascii="Arial" w:cs="Arial" w:eastAsia="Arial" w:hAnsi="Arial"/>
          <w:sz w:val="19"/>
          <w:szCs w:val="19"/>
          <w:color w:val="auto"/>
        </w:rPr>
        <w:t>. A copy will also be made available upon a request sent to the Company Secretary.</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30 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12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Board of Directors Information: </w:t>
      </w:r>
      <w:r>
        <w:rPr>
          <w:rFonts w:ascii="Arial" w:cs="Arial" w:eastAsia="Arial" w:hAnsi="Arial"/>
          <w:sz w:val="15"/>
          <w:szCs w:val="15"/>
          <w:b w:val="1"/>
          <w:bCs w:val="1"/>
          <w:color w:val="000000"/>
        </w:rPr>
        <w:t>Board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Meetings</w:t>
      </w:r>
    </w:p>
    <w:p>
      <w:pPr>
        <w:spacing w:after="0" w:line="92" w:lineRule="exact"/>
        <w:rPr>
          <w:sz w:val="20"/>
          <w:szCs w:val="20"/>
          <w:color w:val="auto"/>
        </w:rPr>
      </w:pPr>
    </w:p>
    <w:p>
      <w:pPr>
        <w:ind w:left="340" w:right="880"/>
        <w:spacing w:after="0" w:line="262" w:lineRule="auto"/>
        <w:rPr>
          <w:sz w:val="20"/>
          <w:szCs w:val="20"/>
          <w:color w:val="auto"/>
        </w:rPr>
      </w:pPr>
      <w:r>
        <w:rPr>
          <w:rFonts w:ascii="Arial" w:cs="Arial" w:eastAsia="Arial" w:hAnsi="Arial"/>
          <w:sz w:val="19"/>
          <w:szCs w:val="19"/>
          <w:color w:val="auto"/>
        </w:rPr>
        <w:t>Each incumbent director attended more than 75% in the aggregate of all meetings of the Board of Directors and the Committees on which they served while in office during fiscal 2026.</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Summary Table of Standing Committee Members</w:t>
      </w:r>
    </w:p>
    <w:p>
      <w:pPr>
        <w:spacing w:after="0" w:line="92" w:lineRule="exact"/>
        <w:rPr>
          <w:sz w:val="20"/>
          <w:szCs w:val="20"/>
          <w:color w:val="auto"/>
        </w:rPr>
      </w:pPr>
    </w:p>
    <w:p>
      <w:pPr>
        <w:ind w:left="340" w:right="60"/>
        <w:spacing w:after="0" w:line="262" w:lineRule="auto"/>
        <w:rPr>
          <w:sz w:val="20"/>
          <w:szCs w:val="20"/>
          <w:color w:val="auto"/>
        </w:rPr>
      </w:pPr>
      <w:r>
        <w:rPr>
          <w:rFonts w:ascii="Arial" w:cs="Arial" w:eastAsia="Arial" w:hAnsi="Arial"/>
          <w:sz w:val="19"/>
          <w:szCs w:val="19"/>
          <w:color w:val="auto"/>
        </w:rPr>
        <w:t>The following table summarizes the membership of the Board’s standing Committees and the Committee Chairs at the end of fiscal 2026. Mr. Boulud was appointed to the Board in May 2026 and does not currently serve on any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121920</wp:posOffset>
            </wp:positionV>
            <wp:extent cx="6710045" cy="5346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10045" cy="534670"/>
                    </a:xfrm>
                    <a:prstGeom prst="rect">
                      <a:avLst/>
                    </a:prstGeom>
                    <a:noFill/>
                  </pic:spPr>
                </pic:pic>
              </a:graphicData>
            </a:graphic>
          </wp:anchor>
        </w:drawing>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9"/>
        </w:trPr>
        <w:tc>
          <w:tcPr>
            <w:tcW w:w="4560" w:type="dxa"/>
            <w:vAlign w:val="bottom"/>
            <w:shd w:val="clear" w:color="auto" w:fill="3E8EDE"/>
          </w:tcPr>
          <w:p>
            <w:pPr>
              <w:spacing w:after="0"/>
              <w:rPr>
                <w:sz w:val="19"/>
                <w:szCs w:val="19"/>
                <w:color w:val="auto"/>
              </w:rPr>
            </w:pPr>
          </w:p>
        </w:tc>
        <w:tc>
          <w:tcPr>
            <w:tcW w:w="800" w:type="dxa"/>
            <w:vAlign w:val="bottom"/>
            <w:shd w:val="clear" w:color="auto" w:fill="3E8EDE"/>
          </w:tcPr>
          <w:p>
            <w:pPr>
              <w:spacing w:after="0"/>
              <w:rPr>
                <w:sz w:val="19"/>
                <w:szCs w:val="19"/>
                <w:color w:val="auto"/>
              </w:rPr>
            </w:pPr>
          </w:p>
        </w:tc>
        <w:tc>
          <w:tcPr>
            <w:tcW w:w="500" w:type="dxa"/>
            <w:vAlign w:val="bottom"/>
            <w:shd w:val="clear" w:color="auto" w:fill="3E8EDE"/>
          </w:tcPr>
          <w:p>
            <w:pPr>
              <w:spacing w:after="0"/>
              <w:rPr>
                <w:sz w:val="19"/>
                <w:szCs w:val="19"/>
                <w:color w:val="auto"/>
              </w:rPr>
            </w:pPr>
          </w:p>
        </w:tc>
        <w:tc>
          <w:tcPr>
            <w:tcW w:w="1340" w:type="dxa"/>
            <w:vAlign w:val="bottom"/>
            <w:shd w:val="clear" w:color="auto" w:fill="3E8EDE"/>
          </w:tcPr>
          <w:p>
            <w:pPr>
              <w:jc w:val="center"/>
              <w:ind w:left="102"/>
              <w:spacing w:after="0"/>
              <w:rPr>
                <w:sz w:val="20"/>
                <w:szCs w:val="20"/>
                <w:color w:val="auto"/>
              </w:rPr>
            </w:pPr>
            <w:r>
              <w:rPr>
                <w:rFonts w:ascii="Arial" w:cs="Arial" w:eastAsia="Arial" w:hAnsi="Arial"/>
                <w:sz w:val="16"/>
                <w:szCs w:val="16"/>
                <w:b w:val="1"/>
                <w:bCs w:val="1"/>
                <w:color w:val="FFFFFF"/>
                <w:w w:val="88"/>
              </w:rPr>
              <w:t>Compensation </w:t>
            </w:r>
          </w:p>
        </w:tc>
        <w:tc>
          <w:tcPr>
            <w:tcW w:w="100" w:type="dxa"/>
            <w:vAlign w:val="bottom"/>
            <w:shd w:val="clear" w:color="auto" w:fill="3E8EDE"/>
          </w:tcPr>
          <w:p>
            <w:pPr>
              <w:spacing w:after="0"/>
              <w:rPr>
                <w:sz w:val="19"/>
                <w:szCs w:val="19"/>
                <w:color w:val="auto"/>
              </w:rPr>
            </w:pPr>
          </w:p>
        </w:tc>
        <w:tc>
          <w:tcPr>
            <w:tcW w:w="1920" w:type="dxa"/>
            <w:vAlign w:val="bottom"/>
            <w:shd w:val="clear" w:color="auto" w:fill="3E8EDE"/>
          </w:tcPr>
          <w:p>
            <w:pPr>
              <w:spacing w:after="0"/>
              <w:rPr>
                <w:sz w:val="20"/>
                <w:szCs w:val="20"/>
                <w:color w:val="auto"/>
              </w:rPr>
            </w:pPr>
            <w:r>
              <w:rPr>
                <w:rFonts w:ascii="Arial" w:cs="Arial" w:eastAsia="Arial" w:hAnsi="Arial"/>
                <w:sz w:val="16"/>
                <w:szCs w:val="16"/>
                <w:b w:val="1"/>
                <w:bCs w:val="1"/>
                <w:color w:val="FFFFFF"/>
              </w:rPr>
              <w:t> </w:t>
            </w:r>
          </w:p>
        </w:tc>
        <w:tc>
          <w:tcPr>
            <w:tcW w:w="1160" w:type="dxa"/>
            <w:vAlign w:val="bottom"/>
            <w:shd w:val="clear" w:color="auto" w:fill="3E8EDE"/>
          </w:tcPr>
          <w:p>
            <w:pPr>
              <w:spacing w:after="0"/>
              <w:rPr>
                <w:sz w:val="19"/>
                <w:szCs w:val="19"/>
                <w:color w:val="auto"/>
              </w:rPr>
            </w:pPr>
          </w:p>
        </w:tc>
        <w:tc>
          <w:tcPr>
            <w:tcW w:w="180" w:type="dxa"/>
            <w:vAlign w:val="bottom"/>
            <w:shd w:val="clear" w:color="auto" w:fill="3E8EDE"/>
          </w:tcPr>
          <w:p>
            <w:pPr>
              <w:spacing w:after="0"/>
              <w:rPr>
                <w:sz w:val="19"/>
                <w:szCs w:val="19"/>
                <w:color w:val="auto"/>
              </w:rPr>
            </w:pPr>
          </w:p>
        </w:tc>
      </w:tr>
      <w:tr>
        <w:trPr>
          <w:trHeight w:val="181"/>
        </w:trPr>
        <w:tc>
          <w:tcPr>
            <w:tcW w:w="4560" w:type="dxa"/>
            <w:vAlign w:val="bottom"/>
            <w:shd w:val="clear" w:color="auto" w:fill="3E8EDE"/>
          </w:tcPr>
          <w:p>
            <w:pPr>
              <w:spacing w:after="0"/>
              <w:rPr>
                <w:sz w:val="15"/>
                <w:szCs w:val="15"/>
                <w:color w:val="auto"/>
              </w:rPr>
            </w:pPr>
          </w:p>
        </w:tc>
        <w:tc>
          <w:tcPr>
            <w:tcW w:w="800" w:type="dxa"/>
            <w:vAlign w:val="bottom"/>
            <w:shd w:val="clear" w:color="auto" w:fill="3E8EDE"/>
          </w:tcPr>
          <w:p>
            <w:pPr>
              <w:spacing w:after="0"/>
              <w:rPr>
                <w:sz w:val="15"/>
                <w:szCs w:val="15"/>
                <w:color w:val="auto"/>
              </w:rPr>
            </w:pPr>
          </w:p>
        </w:tc>
        <w:tc>
          <w:tcPr>
            <w:tcW w:w="500" w:type="dxa"/>
            <w:vAlign w:val="bottom"/>
            <w:shd w:val="clear" w:color="auto" w:fill="3E8EDE"/>
          </w:tcPr>
          <w:p>
            <w:pPr>
              <w:spacing w:after="0"/>
              <w:rPr>
                <w:sz w:val="15"/>
                <w:szCs w:val="15"/>
                <w:color w:val="auto"/>
              </w:rPr>
            </w:pPr>
          </w:p>
        </w:tc>
        <w:tc>
          <w:tcPr>
            <w:tcW w:w="1340" w:type="dxa"/>
            <w:vAlign w:val="bottom"/>
            <w:shd w:val="clear" w:color="auto" w:fill="3E8EDE"/>
          </w:tcPr>
          <w:p>
            <w:pPr>
              <w:ind w:left="600"/>
              <w:spacing w:after="0" w:line="181" w:lineRule="exact"/>
              <w:rPr>
                <w:sz w:val="20"/>
                <w:szCs w:val="20"/>
                <w:color w:val="auto"/>
              </w:rPr>
            </w:pPr>
            <w:r>
              <w:rPr>
                <w:rFonts w:ascii="Arial" w:cs="Arial" w:eastAsia="Arial" w:hAnsi="Arial"/>
                <w:sz w:val="16"/>
                <w:szCs w:val="16"/>
                <w:b w:val="1"/>
                <w:bCs w:val="1"/>
                <w:color w:val="FFFFFF"/>
              </w:rPr>
              <w:t xml:space="preserve">and    </w:t>
            </w:r>
          </w:p>
        </w:tc>
        <w:tc>
          <w:tcPr>
            <w:tcW w:w="100" w:type="dxa"/>
            <w:vAlign w:val="bottom"/>
            <w:shd w:val="clear" w:color="auto" w:fill="3E8EDE"/>
          </w:tcPr>
          <w:p>
            <w:pPr>
              <w:spacing w:after="0"/>
              <w:rPr>
                <w:sz w:val="15"/>
                <w:szCs w:val="15"/>
                <w:color w:val="auto"/>
              </w:rPr>
            </w:pPr>
          </w:p>
        </w:tc>
        <w:tc>
          <w:tcPr>
            <w:tcW w:w="1920" w:type="dxa"/>
            <w:vAlign w:val="bottom"/>
            <w:shd w:val="clear" w:color="auto" w:fill="3E8EDE"/>
          </w:tcPr>
          <w:p>
            <w:pPr>
              <w:spacing w:after="0"/>
              <w:rPr>
                <w:sz w:val="15"/>
                <w:szCs w:val="15"/>
                <w:color w:val="auto"/>
              </w:rPr>
            </w:pPr>
          </w:p>
        </w:tc>
        <w:tc>
          <w:tcPr>
            <w:tcW w:w="1160" w:type="dxa"/>
            <w:vAlign w:val="bottom"/>
            <w:shd w:val="clear" w:color="auto" w:fill="3E8EDE"/>
          </w:tcPr>
          <w:p>
            <w:pPr>
              <w:ind w:left="200"/>
              <w:spacing w:after="0" w:line="181" w:lineRule="exact"/>
              <w:rPr>
                <w:sz w:val="20"/>
                <w:szCs w:val="20"/>
                <w:color w:val="auto"/>
              </w:rPr>
            </w:pPr>
            <w:r>
              <w:rPr>
                <w:rFonts w:ascii="Arial" w:cs="Arial" w:eastAsia="Arial" w:hAnsi="Arial"/>
                <w:sz w:val="16"/>
                <w:szCs w:val="16"/>
                <w:b w:val="1"/>
                <w:bCs w:val="1"/>
                <w:color w:val="FFFFFF"/>
                <w:w w:val="90"/>
              </w:rPr>
              <w:t>Nominating </w:t>
            </w:r>
          </w:p>
        </w:tc>
        <w:tc>
          <w:tcPr>
            <w:tcW w:w="180" w:type="dxa"/>
            <w:vAlign w:val="bottom"/>
            <w:shd w:val="clear" w:color="auto" w:fill="3E8EDE"/>
          </w:tcPr>
          <w:p>
            <w:pPr>
              <w:ind w:left="60"/>
              <w:spacing w:after="0" w:line="181" w:lineRule="exact"/>
              <w:rPr>
                <w:sz w:val="20"/>
                <w:szCs w:val="20"/>
                <w:color w:val="auto"/>
              </w:rPr>
            </w:pPr>
            <w:r>
              <w:rPr>
                <w:rFonts w:ascii="Arial" w:cs="Arial" w:eastAsia="Arial" w:hAnsi="Arial"/>
                <w:sz w:val="16"/>
                <w:szCs w:val="16"/>
                <w:b w:val="1"/>
                <w:bCs w:val="1"/>
                <w:color w:val="FFFFFF"/>
              </w:rPr>
              <w:t> </w:t>
            </w:r>
          </w:p>
        </w:tc>
      </w:tr>
      <w:tr>
        <w:trPr>
          <w:trHeight w:val="181"/>
        </w:trPr>
        <w:tc>
          <w:tcPr>
            <w:tcW w:w="4560" w:type="dxa"/>
            <w:vAlign w:val="bottom"/>
            <w:shd w:val="clear" w:color="auto" w:fill="3E8EDE"/>
          </w:tcPr>
          <w:p>
            <w:pPr>
              <w:spacing w:after="0"/>
              <w:rPr>
                <w:sz w:val="15"/>
                <w:szCs w:val="15"/>
                <w:color w:val="auto"/>
              </w:rPr>
            </w:pPr>
          </w:p>
        </w:tc>
        <w:tc>
          <w:tcPr>
            <w:tcW w:w="800" w:type="dxa"/>
            <w:vAlign w:val="bottom"/>
            <w:shd w:val="clear" w:color="auto" w:fill="3E8EDE"/>
          </w:tcPr>
          <w:p>
            <w:pPr>
              <w:spacing w:after="0"/>
              <w:rPr>
                <w:sz w:val="15"/>
                <w:szCs w:val="15"/>
                <w:color w:val="auto"/>
              </w:rPr>
            </w:pPr>
          </w:p>
        </w:tc>
        <w:tc>
          <w:tcPr>
            <w:tcW w:w="500" w:type="dxa"/>
            <w:vAlign w:val="bottom"/>
            <w:shd w:val="clear" w:color="auto" w:fill="3E8EDE"/>
          </w:tcPr>
          <w:p>
            <w:pPr>
              <w:spacing w:after="0"/>
              <w:rPr>
                <w:sz w:val="15"/>
                <w:szCs w:val="15"/>
                <w:color w:val="auto"/>
              </w:rPr>
            </w:pPr>
          </w:p>
        </w:tc>
        <w:tc>
          <w:tcPr>
            <w:tcW w:w="1340" w:type="dxa"/>
            <w:vAlign w:val="bottom"/>
            <w:shd w:val="clear" w:color="auto" w:fill="3E8EDE"/>
          </w:tcPr>
          <w:p>
            <w:pPr>
              <w:jc w:val="center"/>
              <w:ind w:left="102"/>
              <w:spacing w:after="0" w:line="181" w:lineRule="exact"/>
              <w:rPr>
                <w:sz w:val="20"/>
                <w:szCs w:val="20"/>
                <w:color w:val="auto"/>
              </w:rPr>
            </w:pPr>
            <w:r>
              <w:rPr>
                <w:rFonts w:ascii="Arial" w:cs="Arial" w:eastAsia="Arial" w:hAnsi="Arial"/>
                <w:sz w:val="16"/>
                <w:szCs w:val="16"/>
                <w:b w:val="1"/>
                <w:bCs w:val="1"/>
                <w:color w:val="FFFFFF"/>
              </w:rPr>
              <w:t xml:space="preserve">Organization </w:t>
            </w:r>
          </w:p>
        </w:tc>
        <w:tc>
          <w:tcPr>
            <w:tcW w:w="100" w:type="dxa"/>
            <w:vAlign w:val="bottom"/>
            <w:shd w:val="clear" w:color="auto" w:fill="3E8EDE"/>
          </w:tcPr>
          <w:p>
            <w:pPr>
              <w:ind w:left="40"/>
              <w:spacing w:after="0" w:line="181" w:lineRule="exact"/>
              <w:rPr>
                <w:sz w:val="20"/>
                <w:szCs w:val="20"/>
                <w:color w:val="auto"/>
              </w:rPr>
            </w:pPr>
            <w:r>
              <w:rPr>
                <w:rFonts w:ascii="Arial" w:cs="Arial" w:eastAsia="Arial" w:hAnsi="Arial"/>
                <w:sz w:val="16"/>
                <w:szCs w:val="16"/>
                <w:b w:val="1"/>
                <w:bCs w:val="1"/>
                <w:color w:val="FFFFFF"/>
              </w:rPr>
              <w:t> </w:t>
            </w:r>
          </w:p>
        </w:tc>
        <w:tc>
          <w:tcPr>
            <w:tcW w:w="1920" w:type="dxa"/>
            <w:vAlign w:val="bottom"/>
            <w:shd w:val="clear" w:color="auto" w:fill="3E8EDE"/>
          </w:tcPr>
          <w:p>
            <w:pPr>
              <w:jc w:val="center"/>
              <w:ind w:left="82"/>
              <w:spacing w:after="0" w:line="181" w:lineRule="exact"/>
              <w:rPr>
                <w:sz w:val="20"/>
                <w:szCs w:val="20"/>
                <w:color w:val="auto"/>
              </w:rPr>
            </w:pPr>
            <w:r>
              <w:rPr>
                <w:rFonts w:ascii="Arial" w:cs="Arial" w:eastAsia="Arial" w:hAnsi="Arial"/>
                <w:sz w:val="16"/>
                <w:szCs w:val="16"/>
                <w:b w:val="1"/>
                <w:bCs w:val="1"/>
                <w:color w:val="FFFFFF"/>
              </w:rPr>
              <w:t xml:space="preserve">Compliance and    </w:t>
            </w:r>
          </w:p>
        </w:tc>
        <w:tc>
          <w:tcPr>
            <w:tcW w:w="1160" w:type="dxa"/>
            <w:vAlign w:val="bottom"/>
            <w:shd w:val="clear" w:color="auto" w:fill="3E8EDE"/>
          </w:tcPr>
          <w:p>
            <w:pPr>
              <w:ind w:left="500"/>
              <w:spacing w:after="0" w:line="181" w:lineRule="exact"/>
              <w:rPr>
                <w:sz w:val="20"/>
                <w:szCs w:val="20"/>
                <w:color w:val="auto"/>
              </w:rPr>
            </w:pPr>
            <w:r>
              <w:rPr>
                <w:rFonts w:ascii="Arial" w:cs="Arial" w:eastAsia="Arial" w:hAnsi="Arial"/>
                <w:sz w:val="16"/>
                <w:szCs w:val="16"/>
                <w:b w:val="1"/>
                <w:bCs w:val="1"/>
                <w:color w:val="FFFFFF"/>
              </w:rPr>
              <w:t xml:space="preserve">and    </w:t>
            </w:r>
          </w:p>
        </w:tc>
        <w:tc>
          <w:tcPr>
            <w:tcW w:w="180" w:type="dxa"/>
            <w:vAlign w:val="bottom"/>
            <w:shd w:val="clear" w:color="auto" w:fill="3E8EDE"/>
          </w:tcPr>
          <w:p>
            <w:pPr>
              <w:spacing w:after="0"/>
              <w:rPr>
                <w:sz w:val="15"/>
                <w:szCs w:val="15"/>
                <w:color w:val="auto"/>
              </w:rPr>
            </w:pPr>
          </w:p>
        </w:tc>
      </w:tr>
      <w:tr>
        <w:trPr>
          <w:trHeight w:val="247"/>
        </w:trPr>
        <w:tc>
          <w:tcPr>
            <w:tcW w:w="4560" w:type="dxa"/>
            <w:vAlign w:val="bottom"/>
            <w:shd w:val="clear" w:color="auto" w:fill="3E8EDE"/>
          </w:tcPr>
          <w:p>
            <w:pPr>
              <w:ind w:left="60"/>
              <w:spacing w:after="0"/>
              <w:rPr>
                <w:sz w:val="20"/>
                <w:szCs w:val="20"/>
                <w:color w:val="auto"/>
              </w:rPr>
            </w:pPr>
            <w:r>
              <w:rPr>
                <w:rFonts w:ascii="Arial" w:cs="Arial" w:eastAsia="Arial" w:hAnsi="Arial"/>
                <w:sz w:val="16"/>
                <w:szCs w:val="16"/>
                <w:b w:val="1"/>
                <w:bCs w:val="1"/>
                <w:color w:val="FFFFFF"/>
              </w:rPr>
              <w:t>Directors</w:t>
            </w:r>
          </w:p>
        </w:tc>
        <w:tc>
          <w:tcPr>
            <w:tcW w:w="800" w:type="dxa"/>
            <w:vAlign w:val="bottom"/>
            <w:shd w:val="clear" w:color="auto" w:fill="3E8EDE"/>
          </w:tcPr>
          <w:p>
            <w:pPr>
              <w:ind w:left="260"/>
              <w:spacing w:after="0"/>
              <w:rPr>
                <w:sz w:val="20"/>
                <w:szCs w:val="20"/>
                <w:color w:val="auto"/>
              </w:rPr>
            </w:pPr>
            <w:r>
              <w:rPr>
                <w:rFonts w:ascii="Arial" w:cs="Arial" w:eastAsia="Arial" w:hAnsi="Arial"/>
                <w:sz w:val="16"/>
                <w:szCs w:val="16"/>
                <w:b w:val="1"/>
                <w:bCs w:val="1"/>
                <w:color w:val="FFFFFF"/>
                <w:w w:val="74"/>
              </w:rPr>
              <w:t>  Audit </w:t>
            </w:r>
          </w:p>
        </w:tc>
        <w:tc>
          <w:tcPr>
            <w:tcW w:w="500" w:type="dxa"/>
            <w:vAlign w:val="bottom"/>
            <w:shd w:val="clear" w:color="auto" w:fill="3E8EDE"/>
          </w:tcPr>
          <w:p>
            <w:pPr>
              <w:ind w:left="80"/>
              <w:spacing w:after="0"/>
              <w:rPr>
                <w:sz w:val="20"/>
                <w:szCs w:val="20"/>
                <w:color w:val="auto"/>
              </w:rPr>
            </w:pPr>
            <w:r>
              <w:rPr>
                <w:rFonts w:ascii="Arial" w:cs="Arial" w:eastAsia="Arial" w:hAnsi="Arial"/>
                <w:sz w:val="16"/>
                <w:szCs w:val="16"/>
                <w:b w:val="1"/>
                <w:bCs w:val="1"/>
                <w:color w:val="FFFFFF"/>
              </w:rPr>
              <w:t xml:space="preserve">     </w:t>
            </w:r>
          </w:p>
        </w:tc>
        <w:tc>
          <w:tcPr>
            <w:tcW w:w="1340" w:type="dxa"/>
            <w:vAlign w:val="bottom"/>
            <w:shd w:val="clear" w:color="auto" w:fill="3E8EDE"/>
          </w:tcPr>
          <w:p>
            <w:pPr>
              <w:jc w:val="center"/>
              <w:ind w:left="122"/>
              <w:spacing w:after="0"/>
              <w:rPr>
                <w:sz w:val="20"/>
                <w:szCs w:val="20"/>
                <w:color w:val="auto"/>
              </w:rPr>
            </w:pPr>
            <w:r>
              <w:rPr>
                <w:rFonts w:ascii="Arial" w:cs="Arial" w:eastAsia="Arial" w:hAnsi="Arial"/>
                <w:sz w:val="16"/>
                <w:szCs w:val="16"/>
                <w:b w:val="1"/>
                <w:bCs w:val="1"/>
                <w:color w:val="FFFFFF"/>
                <w:w w:val="87"/>
              </w:rPr>
              <w:t>Development </w:t>
            </w:r>
          </w:p>
        </w:tc>
        <w:tc>
          <w:tcPr>
            <w:tcW w:w="100" w:type="dxa"/>
            <w:vAlign w:val="bottom"/>
            <w:shd w:val="clear" w:color="auto" w:fill="3E8EDE"/>
          </w:tcPr>
          <w:p>
            <w:pPr>
              <w:ind w:left="40"/>
              <w:spacing w:after="0"/>
              <w:rPr>
                <w:sz w:val="20"/>
                <w:szCs w:val="20"/>
                <w:color w:val="auto"/>
              </w:rPr>
            </w:pPr>
            <w:r>
              <w:rPr>
                <w:rFonts w:ascii="Arial" w:cs="Arial" w:eastAsia="Arial" w:hAnsi="Arial"/>
                <w:sz w:val="16"/>
                <w:szCs w:val="16"/>
                <w:b w:val="1"/>
                <w:bCs w:val="1"/>
                <w:color w:val="FFFFFF"/>
              </w:rPr>
              <w:t> </w:t>
            </w:r>
          </w:p>
        </w:tc>
        <w:tc>
          <w:tcPr>
            <w:tcW w:w="1920" w:type="dxa"/>
            <w:vAlign w:val="bottom"/>
            <w:shd w:val="clear" w:color="auto" w:fill="3E8EDE"/>
          </w:tcPr>
          <w:p>
            <w:pPr>
              <w:jc w:val="center"/>
              <w:ind w:left="62"/>
              <w:spacing w:after="0"/>
              <w:rPr>
                <w:sz w:val="20"/>
                <w:szCs w:val="20"/>
                <w:color w:val="auto"/>
              </w:rPr>
            </w:pPr>
            <w:r>
              <w:rPr>
                <w:rFonts w:ascii="Arial" w:cs="Arial" w:eastAsia="Arial" w:hAnsi="Arial"/>
                <w:sz w:val="16"/>
                <w:szCs w:val="16"/>
                <w:b w:val="1"/>
                <w:bCs w:val="1"/>
                <w:color w:val="FFFFFF"/>
                <w:w w:val="95"/>
              </w:rPr>
              <w:t>Technology</w:t>
            </w:r>
          </w:p>
        </w:tc>
        <w:tc>
          <w:tcPr>
            <w:tcW w:w="1160" w:type="dxa"/>
            <w:vAlign w:val="bottom"/>
            <w:shd w:val="clear" w:color="auto" w:fill="3E8EDE"/>
          </w:tcPr>
          <w:p>
            <w:pPr>
              <w:ind w:left="180"/>
              <w:spacing w:after="0"/>
              <w:rPr>
                <w:sz w:val="20"/>
                <w:szCs w:val="20"/>
                <w:color w:val="auto"/>
              </w:rPr>
            </w:pPr>
            <w:r>
              <w:rPr>
                <w:rFonts w:ascii="Arial" w:cs="Arial" w:eastAsia="Arial" w:hAnsi="Arial"/>
                <w:sz w:val="16"/>
                <w:szCs w:val="16"/>
                <w:b w:val="1"/>
                <w:bCs w:val="1"/>
                <w:color w:val="FFFFFF"/>
              </w:rPr>
              <w:t xml:space="preserve">Governance </w:t>
            </w:r>
          </w:p>
        </w:tc>
        <w:tc>
          <w:tcPr>
            <w:tcW w:w="180" w:type="dxa"/>
            <w:vAlign w:val="bottom"/>
            <w:shd w:val="clear" w:color="auto" w:fill="3E8EDE"/>
          </w:tcPr>
          <w:p>
            <w:pPr>
              <w:ind w:left="80"/>
              <w:spacing w:after="0"/>
              <w:rPr>
                <w:sz w:val="20"/>
                <w:szCs w:val="20"/>
                <w:color w:val="auto"/>
              </w:rPr>
            </w:pPr>
            <w:r>
              <w:rPr>
                <w:rFonts w:ascii="Arial" w:cs="Arial" w:eastAsia="Arial" w:hAnsi="Arial"/>
                <w:sz w:val="16"/>
                <w:szCs w:val="16"/>
                <w:b w:val="1"/>
                <w:bCs w:val="1"/>
                <w:color w:val="FFFFFF"/>
              </w:rPr>
              <w:t> </w:t>
            </w:r>
          </w:p>
        </w:tc>
      </w:tr>
      <w:tr>
        <w:trPr>
          <w:trHeight w:val="272"/>
        </w:trPr>
        <w:tc>
          <w:tcPr>
            <w:tcW w:w="4560" w:type="dxa"/>
            <w:vAlign w:val="bottom"/>
            <w:shd w:val="clear" w:color="auto" w:fill="E2EEFA"/>
          </w:tcPr>
          <w:p>
            <w:pPr>
              <w:ind w:left="60"/>
              <w:spacing w:after="0"/>
              <w:rPr>
                <w:sz w:val="20"/>
                <w:szCs w:val="20"/>
                <w:color w:val="auto"/>
              </w:rPr>
            </w:pPr>
            <w:r>
              <w:rPr>
                <w:rFonts w:ascii="Arial" w:cs="Arial" w:eastAsia="Arial" w:hAnsi="Arial"/>
                <w:sz w:val="17"/>
                <w:szCs w:val="17"/>
                <w:color w:val="auto"/>
              </w:rPr>
              <w:t>Dr. Esther M. Alegria</w:t>
            </w:r>
          </w:p>
        </w:tc>
        <w:tc>
          <w:tcPr>
            <w:tcW w:w="800" w:type="dxa"/>
            <w:vAlign w:val="bottom"/>
            <w:shd w:val="clear" w:color="auto" w:fill="E2EEFA"/>
          </w:tcPr>
          <w:p>
            <w:pPr>
              <w:spacing w:after="0"/>
              <w:rPr>
                <w:sz w:val="23"/>
                <w:szCs w:val="23"/>
                <w:color w:val="auto"/>
              </w:rPr>
            </w:pPr>
          </w:p>
        </w:tc>
        <w:tc>
          <w:tcPr>
            <w:tcW w:w="500" w:type="dxa"/>
            <w:vAlign w:val="bottom"/>
            <w:shd w:val="clear" w:color="auto" w:fill="E2EEFA"/>
          </w:tcPr>
          <w:p>
            <w:pPr>
              <w:spacing w:after="0"/>
              <w:rPr>
                <w:sz w:val="23"/>
                <w:szCs w:val="23"/>
                <w:color w:val="auto"/>
              </w:rPr>
            </w:pPr>
          </w:p>
        </w:tc>
        <w:tc>
          <w:tcPr>
            <w:tcW w:w="1340" w:type="dxa"/>
            <w:vAlign w:val="bottom"/>
            <w:shd w:val="clear" w:color="auto" w:fill="E2EEFA"/>
          </w:tcPr>
          <w:p>
            <w:pPr>
              <w:spacing w:after="0"/>
              <w:rPr>
                <w:sz w:val="23"/>
                <w:szCs w:val="23"/>
                <w:color w:val="auto"/>
              </w:rPr>
            </w:pPr>
          </w:p>
        </w:tc>
        <w:tc>
          <w:tcPr>
            <w:tcW w:w="100" w:type="dxa"/>
            <w:vAlign w:val="bottom"/>
            <w:shd w:val="clear" w:color="auto" w:fill="E2EEFA"/>
          </w:tcPr>
          <w:p>
            <w:pPr>
              <w:spacing w:after="0"/>
              <w:rPr>
                <w:sz w:val="23"/>
                <w:szCs w:val="23"/>
                <w:color w:val="auto"/>
              </w:rPr>
            </w:pPr>
          </w:p>
        </w:tc>
        <w:tc>
          <w:tcPr>
            <w:tcW w:w="1920" w:type="dxa"/>
            <w:vAlign w:val="bottom"/>
            <w:shd w:val="clear" w:color="auto" w:fill="E2EEFA"/>
          </w:tcPr>
          <w:p>
            <w:pPr>
              <w:spacing w:after="0"/>
              <w:rPr>
                <w:sz w:val="23"/>
                <w:szCs w:val="23"/>
                <w:color w:val="auto"/>
              </w:rPr>
            </w:pPr>
          </w:p>
        </w:tc>
        <w:tc>
          <w:tcPr>
            <w:tcW w:w="1160" w:type="dxa"/>
            <w:vAlign w:val="bottom"/>
            <w:shd w:val="clear" w:color="auto" w:fill="E2EEFA"/>
          </w:tcPr>
          <w:p>
            <w:pPr>
              <w:spacing w:after="0"/>
              <w:rPr>
                <w:sz w:val="23"/>
                <w:szCs w:val="23"/>
                <w:color w:val="auto"/>
              </w:rPr>
            </w:pPr>
          </w:p>
        </w:tc>
        <w:tc>
          <w:tcPr>
            <w:tcW w:w="180" w:type="dxa"/>
            <w:vAlign w:val="bottom"/>
            <w:shd w:val="clear" w:color="auto" w:fill="E2EEFA"/>
          </w:tcPr>
          <w:p>
            <w:pPr>
              <w:spacing w:after="0"/>
              <w:rPr>
                <w:sz w:val="23"/>
                <w:szCs w:val="23"/>
                <w:color w:val="auto"/>
              </w:rPr>
            </w:pPr>
          </w:p>
        </w:tc>
      </w:tr>
      <w:tr>
        <w:trPr>
          <w:trHeight w:val="305"/>
        </w:trPr>
        <w:tc>
          <w:tcPr>
            <w:tcW w:w="4560" w:type="dxa"/>
            <w:vAlign w:val="bottom"/>
          </w:tcPr>
          <w:p>
            <w:pPr>
              <w:ind w:left="60"/>
              <w:spacing w:after="0"/>
              <w:rPr>
                <w:sz w:val="20"/>
                <w:szCs w:val="20"/>
                <w:color w:val="auto"/>
              </w:rPr>
            </w:pPr>
            <w:r>
              <w:rPr>
                <w:rFonts w:ascii="Arial" w:cs="Arial" w:eastAsia="Arial" w:hAnsi="Arial"/>
                <w:sz w:val="17"/>
                <w:szCs w:val="17"/>
                <w:color w:val="auto"/>
              </w:rPr>
              <w:t>Richard C. Breeden</w:t>
            </w:r>
          </w:p>
        </w:tc>
        <w:tc>
          <w:tcPr>
            <w:tcW w:w="800" w:type="dxa"/>
            <w:vAlign w:val="bottom"/>
          </w:tcPr>
          <w:p>
            <w:pPr>
              <w:ind w:left="600"/>
              <w:spacing w:after="0"/>
              <w:rPr>
                <w:sz w:val="20"/>
                <w:szCs w:val="20"/>
                <w:color w:val="auto"/>
              </w:rPr>
            </w:pPr>
            <w:r>
              <w:rPr>
                <w:rFonts w:ascii="Arial" w:cs="Arial" w:eastAsia="Arial" w:hAnsi="Arial"/>
                <w:sz w:val="17"/>
                <w:szCs w:val="17"/>
                <w:color w:val="auto"/>
                <w:w w:val="82"/>
              </w:rPr>
              <w:t xml:space="preserve">  </w:t>
            </w:r>
          </w:p>
        </w:tc>
        <w:tc>
          <w:tcPr>
            <w:tcW w:w="500" w:type="dxa"/>
            <w:vAlign w:val="bottom"/>
          </w:tcPr>
          <w:p>
            <w:pPr>
              <w:ind w:left="20"/>
              <w:spacing w:after="0"/>
              <w:rPr>
                <w:sz w:val="20"/>
                <w:szCs w:val="20"/>
                <w:color w:val="auto"/>
              </w:rPr>
            </w:pPr>
            <w:r>
              <w:rPr>
                <w:rFonts w:ascii="Arial" w:cs="Arial" w:eastAsia="Arial" w:hAnsi="Arial"/>
                <w:sz w:val="17"/>
                <w:szCs w:val="17"/>
                <w:color w:val="auto"/>
              </w:rPr>
              <w:t> </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7"/>
        </w:trPr>
        <w:tc>
          <w:tcPr>
            <w:tcW w:w="4560" w:type="dxa"/>
            <w:vAlign w:val="bottom"/>
            <w:shd w:val="clear" w:color="auto" w:fill="E2EEFA"/>
          </w:tcPr>
          <w:p>
            <w:pPr>
              <w:ind w:left="60"/>
              <w:spacing w:after="0"/>
              <w:rPr>
                <w:sz w:val="20"/>
                <w:szCs w:val="20"/>
                <w:color w:val="auto"/>
              </w:rPr>
            </w:pPr>
            <w:r>
              <w:rPr>
                <w:rFonts w:ascii="Arial" w:cs="Arial" w:eastAsia="Arial" w:hAnsi="Arial"/>
                <w:sz w:val="17"/>
                <w:szCs w:val="17"/>
                <w:color w:val="auto"/>
              </w:rPr>
              <w:t>Daniel A. Carestio</w:t>
            </w:r>
          </w:p>
        </w:tc>
        <w:tc>
          <w:tcPr>
            <w:tcW w:w="800" w:type="dxa"/>
            <w:vAlign w:val="bottom"/>
            <w:shd w:val="clear" w:color="auto" w:fill="E2EEFA"/>
          </w:tcPr>
          <w:p>
            <w:pPr>
              <w:spacing w:after="0"/>
              <w:rPr>
                <w:sz w:val="24"/>
                <w:szCs w:val="24"/>
                <w:color w:val="auto"/>
              </w:rPr>
            </w:pPr>
          </w:p>
        </w:tc>
        <w:tc>
          <w:tcPr>
            <w:tcW w:w="500" w:type="dxa"/>
            <w:vAlign w:val="bottom"/>
            <w:shd w:val="clear" w:color="auto" w:fill="E2EEFA"/>
          </w:tcPr>
          <w:p>
            <w:pPr>
              <w:spacing w:after="0"/>
              <w:rPr>
                <w:sz w:val="24"/>
                <w:szCs w:val="24"/>
                <w:color w:val="auto"/>
              </w:rPr>
            </w:pPr>
          </w:p>
        </w:tc>
        <w:tc>
          <w:tcPr>
            <w:tcW w:w="1340" w:type="dxa"/>
            <w:vAlign w:val="bottom"/>
            <w:shd w:val="clear" w:color="auto" w:fill="E2EEFA"/>
          </w:tcPr>
          <w:p>
            <w:pPr>
              <w:spacing w:after="0"/>
              <w:rPr>
                <w:sz w:val="24"/>
                <w:szCs w:val="24"/>
                <w:color w:val="auto"/>
              </w:rPr>
            </w:pPr>
          </w:p>
        </w:tc>
        <w:tc>
          <w:tcPr>
            <w:tcW w:w="100" w:type="dxa"/>
            <w:vAlign w:val="bottom"/>
            <w:shd w:val="clear" w:color="auto" w:fill="E2EEFA"/>
          </w:tcPr>
          <w:p>
            <w:pPr>
              <w:spacing w:after="0"/>
              <w:rPr>
                <w:sz w:val="24"/>
                <w:szCs w:val="24"/>
                <w:color w:val="auto"/>
              </w:rPr>
            </w:pPr>
          </w:p>
        </w:tc>
        <w:tc>
          <w:tcPr>
            <w:tcW w:w="1920" w:type="dxa"/>
            <w:vAlign w:val="bottom"/>
            <w:shd w:val="clear" w:color="auto" w:fill="E2EEFA"/>
          </w:tcPr>
          <w:p>
            <w:pPr>
              <w:spacing w:after="0"/>
              <w:rPr>
                <w:sz w:val="24"/>
                <w:szCs w:val="24"/>
                <w:color w:val="auto"/>
              </w:rPr>
            </w:pPr>
          </w:p>
        </w:tc>
        <w:tc>
          <w:tcPr>
            <w:tcW w:w="1160" w:type="dxa"/>
            <w:vAlign w:val="bottom"/>
            <w:shd w:val="clear" w:color="auto" w:fill="E2EEFA"/>
          </w:tcPr>
          <w:p>
            <w:pPr>
              <w:spacing w:after="0"/>
              <w:rPr>
                <w:sz w:val="24"/>
                <w:szCs w:val="24"/>
                <w:color w:val="auto"/>
              </w:rPr>
            </w:pPr>
          </w:p>
        </w:tc>
        <w:tc>
          <w:tcPr>
            <w:tcW w:w="180" w:type="dxa"/>
            <w:vAlign w:val="bottom"/>
            <w:shd w:val="clear" w:color="auto" w:fill="E2EEFA"/>
          </w:tcPr>
          <w:p>
            <w:pPr>
              <w:spacing w:after="0"/>
              <w:rPr>
                <w:sz w:val="24"/>
                <w:szCs w:val="24"/>
                <w:color w:val="auto"/>
              </w:rPr>
            </w:pPr>
          </w:p>
        </w:tc>
      </w:tr>
      <w:tr>
        <w:trPr>
          <w:trHeight w:val="280"/>
        </w:trPr>
        <w:tc>
          <w:tcPr>
            <w:tcW w:w="4560" w:type="dxa"/>
            <w:vAlign w:val="bottom"/>
          </w:tcPr>
          <w:p>
            <w:pPr>
              <w:ind w:left="60"/>
              <w:spacing w:after="0"/>
              <w:rPr>
                <w:sz w:val="20"/>
                <w:szCs w:val="20"/>
                <w:color w:val="auto"/>
              </w:rPr>
            </w:pPr>
            <w:r>
              <w:rPr>
                <w:rFonts w:ascii="Arial" w:cs="Arial" w:eastAsia="Arial" w:hAnsi="Arial"/>
                <w:sz w:val="17"/>
                <w:szCs w:val="17"/>
                <w:color w:val="auto"/>
              </w:rPr>
              <w:t>Cynthia L. Feldmann</w:t>
            </w:r>
          </w:p>
        </w:tc>
        <w:tc>
          <w:tcPr>
            <w:tcW w:w="800" w:type="dxa"/>
            <w:vAlign w:val="bottom"/>
          </w:tcPr>
          <w:p>
            <w:pPr>
              <w:ind w:left="600"/>
              <w:spacing w:after="0"/>
              <w:rPr>
                <w:sz w:val="20"/>
                <w:szCs w:val="20"/>
                <w:color w:val="auto"/>
              </w:rPr>
            </w:pPr>
            <w:r>
              <w:rPr>
                <w:rFonts w:ascii="Arial" w:cs="Arial" w:eastAsia="Arial" w:hAnsi="Arial"/>
                <w:sz w:val="17"/>
                <w:szCs w:val="17"/>
                <w:color w:val="auto"/>
                <w:w w:val="82"/>
              </w:rPr>
              <w:t xml:space="preserve">  </w:t>
            </w:r>
          </w:p>
        </w:tc>
        <w:tc>
          <w:tcPr>
            <w:tcW w:w="500" w:type="dxa"/>
            <w:vAlign w:val="bottom"/>
          </w:tcPr>
          <w:p>
            <w:pPr>
              <w:ind w:left="20"/>
              <w:spacing w:after="0"/>
              <w:rPr>
                <w:sz w:val="20"/>
                <w:szCs w:val="20"/>
                <w:color w:val="auto"/>
              </w:rPr>
            </w:pPr>
            <w:r>
              <w:rPr>
                <w:rFonts w:ascii="Arial" w:cs="Arial" w:eastAsia="Arial" w:hAnsi="Arial"/>
                <w:sz w:val="17"/>
                <w:szCs w:val="17"/>
                <w:color w:val="auto"/>
              </w:rPr>
              <w:t> </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6"/>
        </w:trPr>
        <w:tc>
          <w:tcPr>
            <w:tcW w:w="4560" w:type="dxa"/>
            <w:vAlign w:val="bottom"/>
            <w:shd w:val="clear" w:color="auto" w:fill="E2EEFA"/>
          </w:tcPr>
          <w:p>
            <w:pPr>
              <w:ind w:left="60"/>
              <w:spacing w:after="0"/>
              <w:rPr>
                <w:sz w:val="20"/>
                <w:szCs w:val="20"/>
                <w:color w:val="auto"/>
              </w:rPr>
            </w:pPr>
            <w:r>
              <w:rPr>
                <w:rFonts w:ascii="Arial" w:cs="Arial" w:eastAsia="Arial" w:hAnsi="Arial"/>
                <w:sz w:val="17"/>
                <w:szCs w:val="17"/>
                <w:color w:val="auto"/>
              </w:rPr>
              <w:t>Christopher S. Holland</w:t>
            </w:r>
          </w:p>
        </w:tc>
        <w:tc>
          <w:tcPr>
            <w:tcW w:w="800" w:type="dxa"/>
            <w:vAlign w:val="bottom"/>
            <w:shd w:val="clear" w:color="auto" w:fill="E2EEFA"/>
          </w:tcPr>
          <w:p>
            <w:pPr>
              <w:ind w:left="600"/>
              <w:spacing w:after="0"/>
              <w:rPr>
                <w:sz w:val="20"/>
                <w:szCs w:val="20"/>
                <w:color w:val="auto"/>
              </w:rPr>
            </w:pPr>
            <w:r>
              <w:rPr>
                <w:rFonts w:ascii="Arial" w:cs="Arial" w:eastAsia="Arial" w:hAnsi="Arial"/>
                <w:sz w:val="17"/>
                <w:szCs w:val="17"/>
                <w:color w:val="auto"/>
                <w:w w:val="82"/>
              </w:rPr>
              <w:t xml:space="preserve">  </w:t>
            </w:r>
          </w:p>
        </w:tc>
        <w:tc>
          <w:tcPr>
            <w:tcW w:w="500" w:type="dxa"/>
            <w:vAlign w:val="bottom"/>
            <w:shd w:val="clear" w:color="auto" w:fill="E2EEFA"/>
          </w:tcPr>
          <w:p>
            <w:pPr>
              <w:ind w:left="20"/>
              <w:spacing w:after="0"/>
              <w:rPr>
                <w:sz w:val="20"/>
                <w:szCs w:val="20"/>
                <w:color w:val="auto"/>
              </w:rPr>
            </w:pPr>
            <w:r>
              <w:rPr>
                <w:rFonts w:ascii="Arial" w:cs="Arial" w:eastAsia="Arial" w:hAnsi="Arial"/>
                <w:sz w:val="17"/>
                <w:szCs w:val="17"/>
                <w:color w:val="auto"/>
              </w:rPr>
              <w:t> </w:t>
            </w:r>
          </w:p>
        </w:tc>
        <w:tc>
          <w:tcPr>
            <w:tcW w:w="1340" w:type="dxa"/>
            <w:vAlign w:val="bottom"/>
            <w:shd w:val="clear" w:color="auto" w:fill="E2EEFA"/>
          </w:tcPr>
          <w:p>
            <w:pPr>
              <w:spacing w:after="0"/>
              <w:rPr>
                <w:sz w:val="24"/>
                <w:szCs w:val="24"/>
                <w:color w:val="auto"/>
              </w:rPr>
            </w:pPr>
          </w:p>
        </w:tc>
        <w:tc>
          <w:tcPr>
            <w:tcW w:w="100" w:type="dxa"/>
            <w:vAlign w:val="bottom"/>
            <w:shd w:val="clear" w:color="auto" w:fill="E2EEFA"/>
          </w:tcPr>
          <w:p>
            <w:pPr>
              <w:spacing w:after="0"/>
              <w:rPr>
                <w:sz w:val="24"/>
                <w:szCs w:val="24"/>
                <w:color w:val="auto"/>
              </w:rPr>
            </w:pPr>
          </w:p>
        </w:tc>
        <w:tc>
          <w:tcPr>
            <w:tcW w:w="1920" w:type="dxa"/>
            <w:vAlign w:val="bottom"/>
            <w:shd w:val="clear" w:color="auto" w:fill="E2EEFA"/>
          </w:tcPr>
          <w:p>
            <w:pPr>
              <w:spacing w:after="0"/>
              <w:rPr>
                <w:sz w:val="24"/>
                <w:szCs w:val="24"/>
                <w:color w:val="auto"/>
              </w:rPr>
            </w:pPr>
          </w:p>
        </w:tc>
        <w:tc>
          <w:tcPr>
            <w:tcW w:w="1160" w:type="dxa"/>
            <w:vAlign w:val="bottom"/>
            <w:shd w:val="clear" w:color="auto" w:fill="E2EEFA"/>
          </w:tcPr>
          <w:p>
            <w:pPr>
              <w:spacing w:after="0"/>
              <w:rPr>
                <w:sz w:val="24"/>
                <w:szCs w:val="24"/>
                <w:color w:val="auto"/>
              </w:rPr>
            </w:pPr>
          </w:p>
        </w:tc>
        <w:tc>
          <w:tcPr>
            <w:tcW w:w="180" w:type="dxa"/>
            <w:vAlign w:val="bottom"/>
            <w:shd w:val="clear" w:color="auto" w:fill="E2EEFA"/>
          </w:tcPr>
          <w:p>
            <w:pPr>
              <w:spacing w:after="0"/>
              <w:rPr>
                <w:sz w:val="24"/>
                <w:szCs w:val="24"/>
                <w:color w:val="auto"/>
              </w:rPr>
            </w:pPr>
          </w:p>
        </w:tc>
      </w:tr>
      <w:tr>
        <w:trPr>
          <w:trHeight w:val="305"/>
        </w:trPr>
        <w:tc>
          <w:tcPr>
            <w:tcW w:w="4560" w:type="dxa"/>
            <w:vAlign w:val="bottom"/>
          </w:tcPr>
          <w:p>
            <w:pPr>
              <w:ind w:left="60"/>
              <w:spacing w:after="0"/>
              <w:rPr>
                <w:sz w:val="20"/>
                <w:szCs w:val="20"/>
                <w:color w:val="auto"/>
              </w:rPr>
            </w:pPr>
            <w:r>
              <w:rPr>
                <w:rFonts w:ascii="Arial" w:cs="Arial" w:eastAsia="Arial" w:hAnsi="Arial"/>
                <w:sz w:val="17"/>
                <w:szCs w:val="17"/>
                <w:color w:val="auto"/>
              </w:rPr>
              <w:t>Paul E. Martin</w:t>
            </w:r>
          </w:p>
        </w:tc>
        <w:tc>
          <w:tcPr>
            <w:tcW w:w="800" w:type="dxa"/>
            <w:vAlign w:val="bottom"/>
          </w:tcPr>
          <w:p>
            <w:pPr>
              <w:ind w:left="600"/>
              <w:spacing w:after="0"/>
              <w:rPr>
                <w:sz w:val="20"/>
                <w:szCs w:val="20"/>
                <w:color w:val="auto"/>
              </w:rPr>
            </w:pPr>
            <w:r>
              <w:rPr>
                <w:rFonts w:ascii="Arial" w:cs="Arial" w:eastAsia="Arial" w:hAnsi="Arial"/>
                <w:sz w:val="17"/>
                <w:szCs w:val="17"/>
                <w:color w:val="auto"/>
                <w:w w:val="82"/>
              </w:rPr>
              <w:t xml:space="preserve">  </w:t>
            </w:r>
          </w:p>
        </w:tc>
        <w:tc>
          <w:tcPr>
            <w:tcW w:w="500" w:type="dxa"/>
            <w:vAlign w:val="bottom"/>
          </w:tcPr>
          <w:p>
            <w:pPr>
              <w:ind w:left="20"/>
              <w:spacing w:after="0"/>
              <w:rPr>
                <w:sz w:val="20"/>
                <w:szCs w:val="20"/>
                <w:color w:val="auto"/>
              </w:rPr>
            </w:pPr>
            <w:r>
              <w:rPr>
                <w:rFonts w:ascii="Arial" w:cs="Arial" w:eastAsia="Arial" w:hAnsi="Arial"/>
                <w:sz w:val="17"/>
                <w:szCs w:val="17"/>
                <w:color w:val="auto"/>
              </w:rPr>
              <w:t> </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7"/>
        </w:trPr>
        <w:tc>
          <w:tcPr>
            <w:tcW w:w="4560" w:type="dxa"/>
            <w:vAlign w:val="bottom"/>
            <w:shd w:val="clear" w:color="auto" w:fill="E2EEFA"/>
          </w:tcPr>
          <w:p>
            <w:pPr>
              <w:ind w:left="60"/>
              <w:spacing w:after="0"/>
              <w:rPr>
                <w:sz w:val="20"/>
                <w:szCs w:val="20"/>
                <w:color w:val="auto"/>
              </w:rPr>
            </w:pPr>
            <w:r>
              <w:rPr>
                <w:rFonts w:ascii="Arial" w:cs="Arial" w:eastAsia="Arial" w:hAnsi="Arial"/>
                <w:sz w:val="17"/>
                <w:szCs w:val="17"/>
                <w:color w:val="auto"/>
              </w:rPr>
              <w:t>Dr. Nirav R. Shah</w:t>
            </w:r>
          </w:p>
        </w:tc>
        <w:tc>
          <w:tcPr>
            <w:tcW w:w="800" w:type="dxa"/>
            <w:vAlign w:val="bottom"/>
            <w:shd w:val="clear" w:color="auto" w:fill="E2EEFA"/>
          </w:tcPr>
          <w:p>
            <w:pPr>
              <w:spacing w:after="0"/>
              <w:rPr>
                <w:sz w:val="24"/>
                <w:szCs w:val="24"/>
                <w:color w:val="auto"/>
              </w:rPr>
            </w:pPr>
          </w:p>
        </w:tc>
        <w:tc>
          <w:tcPr>
            <w:tcW w:w="500" w:type="dxa"/>
            <w:vAlign w:val="bottom"/>
            <w:shd w:val="clear" w:color="auto" w:fill="E2EEFA"/>
          </w:tcPr>
          <w:p>
            <w:pPr>
              <w:spacing w:after="0"/>
              <w:rPr>
                <w:sz w:val="24"/>
                <w:szCs w:val="24"/>
                <w:color w:val="auto"/>
              </w:rPr>
            </w:pPr>
          </w:p>
        </w:tc>
        <w:tc>
          <w:tcPr>
            <w:tcW w:w="1340" w:type="dxa"/>
            <w:vAlign w:val="bottom"/>
            <w:shd w:val="clear" w:color="auto" w:fill="E2EEFA"/>
          </w:tcPr>
          <w:p>
            <w:pPr>
              <w:spacing w:after="0"/>
              <w:rPr>
                <w:sz w:val="24"/>
                <w:szCs w:val="24"/>
                <w:color w:val="auto"/>
              </w:rPr>
            </w:pPr>
          </w:p>
        </w:tc>
        <w:tc>
          <w:tcPr>
            <w:tcW w:w="100" w:type="dxa"/>
            <w:vAlign w:val="bottom"/>
            <w:shd w:val="clear" w:color="auto" w:fill="E2EEFA"/>
          </w:tcPr>
          <w:p>
            <w:pPr>
              <w:spacing w:after="0"/>
              <w:rPr>
                <w:sz w:val="24"/>
                <w:szCs w:val="24"/>
                <w:color w:val="auto"/>
              </w:rPr>
            </w:pPr>
          </w:p>
        </w:tc>
        <w:tc>
          <w:tcPr>
            <w:tcW w:w="1920" w:type="dxa"/>
            <w:vAlign w:val="bottom"/>
            <w:shd w:val="clear" w:color="auto" w:fill="E2EEFA"/>
          </w:tcPr>
          <w:p>
            <w:pPr>
              <w:spacing w:after="0"/>
              <w:rPr>
                <w:sz w:val="24"/>
                <w:szCs w:val="24"/>
                <w:color w:val="auto"/>
              </w:rPr>
            </w:pPr>
          </w:p>
        </w:tc>
        <w:tc>
          <w:tcPr>
            <w:tcW w:w="1160" w:type="dxa"/>
            <w:vAlign w:val="bottom"/>
            <w:shd w:val="clear" w:color="auto" w:fill="E2EEFA"/>
          </w:tcPr>
          <w:p>
            <w:pPr>
              <w:spacing w:after="0"/>
              <w:rPr>
                <w:sz w:val="24"/>
                <w:szCs w:val="24"/>
                <w:color w:val="auto"/>
              </w:rPr>
            </w:pPr>
          </w:p>
        </w:tc>
        <w:tc>
          <w:tcPr>
            <w:tcW w:w="180" w:type="dxa"/>
            <w:vAlign w:val="bottom"/>
            <w:shd w:val="clear" w:color="auto" w:fill="E2EEFA"/>
          </w:tcPr>
          <w:p>
            <w:pPr>
              <w:spacing w:after="0"/>
              <w:rPr>
                <w:sz w:val="24"/>
                <w:szCs w:val="24"/>
                <w:color w:val="auto"/>
              </w:rPr>
            </w:pPr>
          </w:p>
        </w:tc>
      </w:tr>
      <w:tr>
        <w:trPr>
          <w:trHeight w:val="305"/>
        </w:trPr>
        <w:tc>
          <w:tcPr>
            <w:tcW w:w="4560" w:type="dxa"/>
            <w:vAlign w:val="bottom"/>
          </w:tcPr>
          <w:p>
            <w:pPr>
              <w:ind w:left="60"/>
              <w:spacing w:after="0"/>
              <w:rPr>
                <w:sz w:val="20"/>
                <w:szCs w:val="20"/>
                <w:color w:val="auto"/>
              </w:rPr>
            </w:pPr>
            <w:r>
              <w:rPr>
                <w:rFonts w:ascii="Arial" w:cs="Arial" w:eastAsia="Arial" w:hAnsi="Arial"/>
                <w:sz w:val="17"/>
                <w:szCs w:val="17"/>
                <w:color w:val="auto"/>
              </w:rPr>
              <w:t>Louis A. Shapiro</w:t>
            </w:r>
          </w:p>
        </w:tc>
        <w:tc>
          <w:tcPr>
            <w:tcW w:w="800" w:type="dxa"/>
            <w:vAlign w:val="bottom"/>
          </w:tcPr>
          <w:p>
            <w:pPr>
              <w:ind w:left="600"/>
              <w:spacing w:after="0"/>
              <w:rPr>
                <w:sz w:val="20"/>
                <w:szCs w:val="20"/>
                <w:color w:val="auto"/>
              </w:rPr>
            </w:pPr>
            <w:r>
              <w:rPr>
                <w:rFonts w:ascii="Arial" w:cs="Arial" w:eastAsia="Arial" w:hAnsi="Arial"/>
                <w:sz w:val="17"/>
                <w:szCs w:val="17"/>
                <w:color w:val="auto"/>
                <w:w w:val="82"/>
              </w:rPr>
              <w:t xml:space="preserve">  </w:t>
            </w:r>
          </w:p>
        </w:tc>
        <w:tc>
          <w:tcPr>
            <w:tcW w:w="500" w:type="dxa"/>
            <w:vAlign w:val="bottom"/>
          </w:tcPr>
          <w:p>
            <w:pPr>
              <w:ind w:left="20"/>
              <w:spacing w:after="0"/>
              <w:rPr>
                <w:sz w:val="20"/>
                <w:szCs w:val="20"/>
                <w:color w:val="auto"/>
              </w:rPr>
            </w:pPr>
            <w:r>
              <w:rPr>
                <w:rFonts w:ascii="Arial" w:cs="Arial" w:eastAsia="Arial" w:hAnsi="Arial"/>
                <w:sz w:val="17"/>
                <w:szCs w:val="17"/>
                <w:color w:val="auto"/>
              </w:rPr>
              <w:t> </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0"/>
        </w:trPr>
        <w:tc>
          <w:tcPr>
            <w:tcW w:w="456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7"/>
                <w:szCs w:val="17"/>
                <w:color w:val="auto"/>
              </w:rPr>
              <w:t>Dr. Mohsen M. Sohi</w:t>
            </w:r>
          </w:p>
        </w:tc>
        <w:tc>
          <w:tcPr>
            <w:tcW w:w="800" w:type="dxa"/>
            <w:vAlign w:val="bottom"/>
            <w:tcBorders>
              <w:bottom w:val="single" w:sz="8" w:color="E2EEFA"/>
            </w:tcBorders>
            <w:shd w:val="clear" w:color="auto" w:fill="E2EEFA"/>
          </w:tcPr>
          <w:p>
            <w:pPr>
              <w:spacing w:after="0"/>
              <w:rPr>
                <w:sz w:val="23"/>
                <w:szCs w:val="23"/>
                <w:color w:val="auto"/>
              </w:rPr>
            </w:pPr>
          </w:p>
        </w:tc>
        <w:tc>
          <w:tcPr>
            <w:tcW w:w="500" w:type="dxa"/>
            <w:vAlign w:val="bottom"/>
            <w:tcBorders>
              <w:bottom w:val="single" w:sz="8" w:color="E2EEFA"/>
            </w:tcBorders>
            <w:shd w:val="clear" w:color="auto" w:fill="E2EEFA"/>
          </w:tcPr>
          <w:p>
            <w:pPr>
              <w:spacing w:after="0"/>
              <w:rPr>
                <w:sz w:val="23"/>
                <w:szCs w:val="23"/>
                <w:color w:val="auto"/>
              </w:rPr>
            </w:pPr>
          </w:p>
        </w:tc>
        <w:tc>
          <w:tcPr>
            <w:tcW w:w="1340" w:type="dxa"/>
            <w:vAlign w:val="bottom"/>
            <w:tcBorders>
              <w:bottom w:val="single" w:sz="8" w:color="E2EEFA"/>
            </w:tcBorders>
            <w:shd w:val="clear" w:color="auto" w:fill="E2EEFA"/>
          </w:tcPr>
          <w:p>
            <w:pPr>
              <w:spacing w:after="0"/>
              <w:rPr>
                <w:sz w:val="23"/>
                <w:szCs w:val="23"/>
                <w:color w:val="auto"/>
              </w:rPr>
            </w:pPr>
          </w:p>
        </w:tc>
        <w:tc>
          <w:tcPr>
            <w:tcW w:w="100" w:type="dxa"/>
            <w:vAlign w:val="bottom"/>
            <w:tcBorders>
              <w:bottom w:val="single" w:sz="8" w:color="E2EEFA"/>
            </w:tcBorders>
            <w:shd w:val="clear" w:color="auto" w:fill="E2EEFA"/>
          </w:tcPr>
          <w:p>
            <w:pPr>
              <w:spacing w:after="0"/>
              <w:rPr>
                <w:sz w:val="23"/>
                <w:szCs w:val="23"/>
                <w:color w:val="auto"/>
              </w:rPr>
            </w:pPr>
          </w:p>
        </w:tc>
        <w:tc>
          <w:tcPr>
            <w:tcW w:w="1920" w:type="dxa"/>
            <w:vAlign w:val="bottom"/>
            <w:tcBorders>
              <w:bottom w:val="single" w:sz="8" w:color="E2EEFA"/>
            </w:tcBorders>
            <w:shd w:val="clear" w:color="auto" w:fill="E2EEFA"/>
          </w:tcPr>
          <w:p>
            <w:pPr>
              <w:spacing w:after="0"/>
              <w:rPr>
                <w:sz w:val="23"/>
                <w:szCs w:val="23"/>
                <w:color w:val="auto"/>
              </w:rPr>
            </w:pPr>
          </w:p>
        </w:tc>
        <w:tc>
          <w:tcPr>
            <w:tcW w:w="1160" w:type="dxa"/>
            <w:vAlign w:val="bottom"/>
            <w:tcBorders>
              <w:bottom w:val="single" w:sz="8" w:color="E2EEFA"/>
            </w:tcBorders>
            <w:shd w:val="clear" w:color="auto" w:fill="E2EEFA"/>
          </w:tcPr>
          <w:p>
            <w:pPr>
              <w:spacing w:after="0"/>
              <w:rPr>
                <w:sz w:val="23"/>
                <w:szCs w:val="23"/>
                <w:color w:val="auto"/>
              </w:rPr>
            </w:pPr>
          </w:p>
        </w:tc>
        <w:tc>
          <w:tcPr>
            <w:tcW w:w="180" w:type="dxa"/>
            <w:vAlign w:val="bottom"/>
            <w:tcBorders>
              <w:bottom w:val="single" w:sz="8" w:color="E2EEFA"/>
            </w:tcBorders>
            <w:shd w:val="clear" w:color="auto" w:fill="E2EEFA"/>
          </w:tcPr>
          <w:p>
            <w:pPr>
              <w:spacing w:after="0"/>
              <w:rPr>
                <w:sz w:val="23"/>
                <w:szCs w:val="23"/>
                <w:color w:val="auto"/>
              </w:rPr>
            </w:pPr>
          </w:p>
        </w:tc>
      </w:tr>
      <w:tr>
        <w:trPr>
          <w:trHeight w:val="20"/>
        </w:trPr>
        <w:tc>
          <w:tcPr>
            <w:tcW w:w="4560" w:type="dxa"/>
            <w:vAlign w:val="bottom"/>
            <w:shd w:val="clear" w:color="auto" w:fill="3E8EDE"/>
          </w:tcPr>
          <w:p>
            <w:pPr>
              <w:spacing w:after="0" w:line="20" w:lineRule="exact"/>
              <w:rPr>
                <w:sz w:val="1"/>
                <w:szCs w:val="1"/>
                <w:color w:val="auto"/>
              </w:rPr>
            </w:pPr>
          </w:p>
        </w:tc>
        <w:tc>
          <w:tcPr>
            <w:tcW w:w="800" w:type="dxa"/>
            <w:vAlign w:val="bottom"/>
            <w:shd w:val="clear" w:color="auto" w:fill="3E8EDE"/>
          </w:tcPr>
          <w:p>
            <w:pPr>
              <w:spacing w:after="0" w:line="20" w:lineRule="exact"/>
              <w:rPr>
                <w:sz w:val="1"/>
                <w:szCs w:val="1"/>
                <w:color w:val="auto"/>
              </w:rPr>
            </w:pPr>
          </w:p>
        </w:tc>
        <w:tc>
          <w:tcPr>
            <w:tcW w:w="500" w:type="dxa"/>
            <w:vAlign w:val="bottom"/>
            <w:shd w:val="clear" w:color="auto" w:fill="3E8EDE"/>
          </w:tcPr>
          <w:p>
            <w:pPr>
              <w:spacing w:after="0" w:line="20" w:lineRule="exact"/>
              <w:rPr>
                <w:sz w:val="1"/>
                <w:szCs w:val="1"/>
                <w:color w:val="auto"/>
              </w:rPr>
            </w:pPr>
          </w:p>
        </w:tc>
        <w:tc>
          <w:tcPr>
            <w:tcW w:w="1340" w:type="dxa"/>
            <w:vAlign w:val="bottom"/>
            <w:shd w:val="clear" w:color="auto" w:fill="3E8EDE"/>
          </w:tcPr>
          <w:p>
            <w:pPr>
              <w:spacing w:after="0" w:line="20" w:lineRule="exact"/>
              <w:rPr>
                <w:sz w:val="1"/>
                <w:szCs w:val="1"/>
                <w:color w:val="auto"/>
              </w:rPr>
            </w:pPr>
          </w:p>
        </w:tc>
        <w:tc>
          <w:tcPr>
            <w:tcW w:w="100" w:type="dxa"/>
            <w:vAlign w:val="bottom"/>
            <w:shd w:val="clear" w:color="auto" w:fill="3E8EDE"/>
          </w:tcPr>
          <w:p>
            <w:pPr>
              <w:spacing w:after="0" w:line="20" w:lineRule="exact"/>
              <w:rPr>
                <w:sz w:val="1"/>
                <w:szCs w:val="1"/>
                <w:color w:val="auto"/>
              </w:rPr>
            </w:pPr>
          </w:p>
        </w:tc>
        <w:tc>
          <w:tcPr>
            <w:tcW w:w="1920" w:type="dxa"/>
            <w:vAlign w:val="bottom"/>
            <w:shd w:val="clear" w:color="auto" w:fill="3E8EDE"/>
          </w:tcPr>
          <w:p>
            <w:pPr>
              <w:spacing w:after="0" w:line="20" w:lineRule="exact"/>
              <w:rPr>
                <w:sz w:val="1"/>
                <w:szCs w:val="1"/>
                <w:color w:val="auto"/>
              </w:rPr>
            </w:pPr>
          </w:p>
        </w:tc>
        <w:tc>
          <w:tcPr>
            <w:tcW w:w="1160" w:type="dxa"/>
            <w:vAlign w:val="bottom"/>
            <w:shd w:val="clear" w:color="auto" w:fill="3E8EDE"/>
          </w:tcPr>
          <w:p>
            <w:pPr>
              <w:spacing w:after="0" w:line="20" w:lineRule="exact"/>
              <w:rPr>
                <w:sz w:val="1"/>
                <w:szCs w:val="1"/>
                <w:color w:val="auto"/>
              </w:rPr>
            </w:pPr>
          </w:p>
        </w:tc>
        <w:tc>
          <w:tcPr>
            <w:tcW w:w="180" w:type="dxa"/>
            <w:vAlign w:val="bottom"/>
            <w:shd w:val="clear" w:color="auto" w:fill="3E8ED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5471160</wp:posOffset>
            </wp:positionH>
            <wp:positionV relativeFrom="paragraph">
              <wp:posOffset>-1644015</wp:posOffset>
            </wp:positionV>
            <wp:extent cx="74295" cy="1231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4295" cy="123190"/>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-1644015</wp:posOffset>
            </wp:positionV>
            <wp:extent cx="82550" cy="1231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0" cy="12319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-1471295</wp:posOffset>
            </wp:positionV>
            <wp:extent cx="82550" cy="1231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0" cy="12319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-1471295</wp:posOffset>
            </wp:positionV>
            <wp:extent cx="74295" cy="1231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4295" cy="123190"/>
                    </a:xfrm>
                    <a:prstGeom prst="rect">
                      <a:avLst/>
                    </a:prstGeom>
                    <a:noFill/>
                  </pic:spPr>
                </pic:pic>
              </a:graphicData>
            </a:graphic>
          </wp:anchor>
        </w:drawing>
        <w:drawing>
          <wp:anchor simplePos="0" relativeHeight="251657728" behindDoc="1" locked="0" layoutInCell="0" allowOverlap="1">
            <wp:simplePos x="0" y="0"/>
            <wp:positionH relativeFrom="column">
              <wp:posOffset>5471160</wp:posOffset>
            </wp:positionH>
            <wp:positionV relativeFrom="paragraph">
              <wp:posOffset>-1273810</wp:posOffset>
            </wp:positionV>
            <wp:extent cx="74295" cy="1231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4295" cy="12319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-1101090</wp:posOffset>
            </wp:positionV>
            <wp:extent cx="66040" cy="1066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040" cy="106680"/>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-1101090</wp:posOffset>
            </wp:positionV>
            <wp:extent cx="82550" cy="1231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0" cy="12319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-920115</wp:posOffset>
            </wp:positionV>
            <wp:extent cx="82550" cy="1231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0" cy="12319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-920115</wp:posOffset>
            </wp:positionV>
            <wp:extent cx="74295" cy="1231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4295" cy="12319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-723265</wp:posOffset>
            </wp:positionV>
            <wp:extent cx="82550" cy="1231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0" cy="12319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-723265</wp:posOffset>
            </wp:positionV>
            <wp:extent cx="74295" cy="1231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4295" cy="12319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-525780</wp:posOffset>
            </wp:positionV>
            <wp:extent cx="74295" cy="1231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4295" cy="123190"/>
                    </a:xfrm>
                    <a:prstGeom prst="rect">
                      <a:avLst/>
                    </a:prstGeom>
                    <a:noFill/>
                  </pic:spPr>
                </pic:pic>
              </a:graphicData>
            </a:graphic>
          </wp:anchor>
        </w:drawing>
        <w:drawing>
          <wp:anchor simplePos="0" relativeHeight="251657728" behindDoc="1" locked="0" layoutInCell="0" allowOverlap="1">
            <wp:simplePos x="0" y="0"/>
            <wp:positionH relativeFrom="column">
              <wp:posOffset>5471160</wp:posOffset>
            </wp:positionH>
            <wp:positionV relativeFrom="paragraph">
              <wp:posOffset>-525780</wp:posOffset>
            </wp:positionV>
            <wp:extent cx="74295" cy="1231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4295" cy="12319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-353060</wp:posOffset>
            </wp:positionV>
            <wp:extent cx="82550" cy="1231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0" cy="123190"/>
                    </a:xfrm>
                    <a:prstGeom prst="rect">
                      <a:avLst/>
                    </a:prstGeom>
                    <a:noFill/>
                  </pic:spPr>
                </pic:pic>
              </a:graphicData>
            </a:graphic>
          </wp:anchor>
        </w:drawing>
        <w:drawing>
          <wp:anchor simplePos="0" relativeHeight="251657728" behindDoc="1" locked="0" layoutInCell="0" allowOverlap="1">
            <wp:simplePos x="0" y="0"/>
            <wp:positionH relativeFrom="column">
              <wp:posOffset>5471160</wp:posOffset>
            </wp:positionH>
            <wp:positionV relativeFrom="paragraph">
              <wp:posOffset>-353060</wp:posOffset>
            </wp:positionV>
            <wp:extent cx="74295" cy="1231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4295" cy="123190"/>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-155575</wp:posOffset>
            </wp:positionV>
            <wp:extent cx="82550" cy="1231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0" cy="123190"/>
                    </a:xfrm>
                    <a:prstGeom prst="rect">
                      <a:avLst/>
                    </a:prstGeom>
                    <a:noFill/>
                  </pic:spPr>
                </pic:pic>
              </a:graphicData>
            </a:graphic>
          </wp:anchor>
        </w:drawing>
      </w:r>
    </w:p>
    <w:p>
      <w:pPr>
        <w:spacing w:after="0" w:line="84" w:lineRule="exact"/>
        <w:rPr>
          <w:sz w:val="20"/>
          <w:szCs w:val="20"/>
          <w:color w:val="auto"/>
        </w:rPr>
      </w:pPr>
    </w:p>
    <w:p>
      <w:pPr>
        <w:ind w:left="340"/>
        <w:spacing w:after="0"/>
        <w:rPr>
          <w:sz w:val="20"/>
          <w:szCs w:val="20"/>
          <w:color w:val="auto"/>
        </w:rPr>
      </w:pPr>
      <w:r>
        <w:rPr>
          <w:sz w:val="1"/>
          <w:szCs w:val="1"/>
          <w:color w:val="auto"/>
        </w:rPr>
        <w:drawing>
          <wp:inline distT="0" distB="0" distL="0" distR="0">
            <wp:extent cx="74295" cy="12319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4295" cy="123190"/>
                    </a:xfrm>
                    <a:prstGeom prst="rect">
                      <a:avLst/>
                    </a:prstGeom>
                    <a:noFill/>
                    <a:ln>
                      <a:noFill/>
                    </a:ln>
                  </pic:spPr>
                </pic:pic>
              </a:graphicData>
            </a:graphic>
          </wp:inline>
        </w:drawing>
      </w:r>
      <w:r>
        <w:rPr>
          <w:rFonts w:ascii="Arial" w:cs="Arial" w:eastAsia="Arial" w:hAnsi="Arial"/>
          <w:sz w:val="19"/>
          <w:szCs w:val="19"/>
          <w:color w:val="auto"/>
        </w:rPr>
        <w:t xml:space="preserve"> = Member</w:t>
      </w:r>
    </w:p>
    <w:p>
      <w:pPr>
        <w:spacing w:after="0" w:line="102" w:lineRule="exact"/>
        <w:rPr>
          <w:sz w:val="20"/>
          <w:szCs w:val="20"/>
          <w:color w:val="auto"/>
        </w:rPr>
      </w:pPr>
    </w:p>
    <w:p>
      <w:pPr>
        <w:ind w:left="340"/>
        <w:spacing w:after="0"/>
        <w:rPr>
          <w:sz w:val="20"/>
          <w:szCs w:val="20"/>
          <w:color w:val="auto"/>
        </w:rPr>
      </w:pPr>
      <w:r>
        <w:rPr>
          <w:sz w:val="1"/>
          <w:szCs w:val="1"/>
          <w:color w:val="auto"/>
        </w:rPr>
        <w:drawing>
          <wp:inline distT="0" distB="0" distL="0" distR="0">
            <wp:extent cx="74295" cy="12319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4295" cy="123190"/>
                    </a:xfrm>
                    <a:prstGeom prst="rect">
                      <a:avLst/>
                    </a:prstGeom>
                    <a:noFill/>
                    <a:ln>
                      <a:noFill/>
                    </a:ln>
                  </pic:spPr>
                </pic:pic>
              </a:graphicData>
            </a:graphic>
          </wp:inline>
        </w:drawing>
      </w:r>
      <w:r>
        <w:rPr>
          <w:rFonts w:ascii="Arial" w:cs="Arial" w:eastAsia="Arial" w:hAnsi="Arial"/>
          <w:sz w:val="19"/>
          <w:szCs w:val="19"/>
          <w:color w:val="auto"/>
        </w:rPr>
        <w:t xml:space="preserve"> = Chairperson</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The Board and Oversight of Risk Generally</w:t>
      </w:r>
    </w:p>
    <w:p>
      <w:pPr>
        <w:spacing w:after="0" w:line="92" w:lineRule="exact"/>
        <w:rPr>
          <w:sz w:val="20"/>
          <w:szCs w:val="20"/>
          <w:color w:val="auto"/>
        </w:rPr>
      </w:pPr>
    </w:p>
    <w:p>
      <w:pPr>
        <w:ind w:left="340" w:right="180"/>
        <w:spacing w:after="0" w:line="239" w:lineRule="auto"/>
        <w:rPr>
          <w:sz w:val="20"/>
          <w:szCs w:val="20"/>
          <w:color w:val="auto"/>
        </w:rPr>
      </w:pPr>
      <w:r>
        <w:rPr>
          <w:rFonts w:ascii="Arial" w:cs="Arial" w:eastAsia="Arial" w:hAnsi="Arial"/>
          <w:sz w:val="19"/>
          <w:szCs w:val="19"/>
          <w:color w:val="auto"/>
        </w:rPr>
        <w:t>The Board has determined that the existing leadership structure, with an independent, nonexecutive director serving as Chairman of the Board and a separate person serving as President and CEO, as well as a director, is currently the most efficient and effective structure for the Company. The Board believes that separation of the Chairman of the Board and CEO roles provides an effective balance between management and director participation in the Board process.</w:t>
      </w:r>
    </w:p>
    <w:p>
      <w:pPr>
        <w:spacing w:after="0" w:line="166" w:lineRule="exact"/>
        <w:rPr>
          <w:sz w:val="20"/>
          <w:szCs w:val="20"/>
          <w:color w:val="auto"/>
        </w:rPr>
      </w:pPr>
    </w:p>
    <w:p>
      <w:pPr>
        <w:ind w:left="340" w:right="120"/>
        <w:spacing w:after="0" w:line="233" w:lineRule="auto"/>
        <w:rPr>
          <w:sz w:val="20"/>
          <w:szCs w:val="20"/>
          <w:color w:val="auto"/>
        </w:rPr>
      </w:pPr>
      <w:r>
        <w:rPr>
          <w:rFonts w:ascii="Arial" w:cs="Arial" w:eastAsia="Arial" w:hAnsi="Arial"/>
          <w:sz w:val="19"/>
          <w:szCs w:val="19"/>
          <w:color w:val="auto"/>
        </w:rPr>
        <w:t>The Board of Directors and each of its standing Committees has oversight with respect to business risks identified by the Company or risks that the Directors may identify or consider based on their experience. Management of the Company is responsible for the operation of the business and the reasonable management of risks that may arise in the course of our business, and must provide the appropriate control environment, and procedures and programs to identify, detect, and reasonably manage risks encountered by the Company. While they do not conduct risk-related audits or implement risk-related procedures, the Board and its Committees endeavor to understand the Company’s strategies and drivers of success, engage in constructive dialogue with management about potential risks and risk management, and monitor the Company’s internal control and compliance activities.</w:t>
      </w:r>
    </w:p>
    <w:p>
      <w:pPr>
        <w:spacing w:after="0" w:line="110"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3E8EDE"/>
        </w:rPr>
        <w:t xml:space="preserve">Notice of Annual Meeting of Shareholders </w:t>
      </w:r>
      <w:r>
        <w:rPr>
          <w:rFonts w:ascii="Arial" w:cs="Arial" w:eastAsia="Arial" w:hAnsi="Arial"/>
          <w:sz w:val="14"/>
          <w:szCs w:val="14"/>
          <w:color w:val="000000"/>
        </w:rPr>
        <w:t>and 2026 Proxy Statement   31</w:t>
      </w:r>
    </w:p>
    <w:p>
      <w:pPr>
        <w:sectPr>
          <w:pgSz w:w="11900" w:h="16838" w:orient="portrait"/>
          <w:cols w:equalWidth="0" w:num="1">
            <w:col w:w="10900"/>
          </w:cols>
          <w:pgMar w:left="320" w:top="469" w:right="6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12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Board of Directors Information: </w:t>
      </w:r>
      <w:r>
        <w:rPr>
          <w:rFonts w:ascii="Arial" w:cs="Arial" w:eastAsia="Arial" w:hAnsi="Arial"/>
          <w:sz w:val="15"/>
          <w:szCs w:val="15"/>
          <w:b w:val="1"/>
          <w:bCs w:val="1"/>
          <w:color w:val="000000"/>
        </w:rPr>
        <w:t>Board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40"/>
        <w:spacing w:after="0" w:line="231" w:lineRule="auto"/>
        <w:rPr>
          <w:sz w:val="20"/>
          <w:szCs w:val="20"/>
          <w:color w:val="auto"/>
        </w:rPr>
      </w:pPr>
      <w:r>
        <w:rPr>
          <w:rFonts w:ascii="Arial" w:cs="Arial" w:eastAsia="Arial" w:hAnsi="Arial"/>
          <w:sz w:val="19"/>
          <w:szCs w:val="19"/>
          <w:color w:val="auto"/>
        </w:rPr>
        <w:t>For example: (1) the Audit Committee monitors internal controls, litigation and cybersecurity programs and risks; (2) the Compliance and Technology Committee monitors quality, regulatory and legal compliance risks and protection of the Company’s technology, innovation and intellectual property; (3) the Compensation and Organization Development Committee provides risk oversight regarding the Company’s incentive and other compensation programs and practices and human capital management; (4) the Nominating and Governance Committee provides oversight regarding potential conflicts, governance and ESG risks; and (5) the Board provides oversight concerning the Company’s enterprise risk management process, which is our integrated, process-orientated, approach to managing key business risks. Each Committee also provides reports on risk oversight matters in its area of responsibility to the Board. In providing this oversight, the Board and Committees rely on information, opinions, reports or statements, including financial statements and other data prepared or presented by officers or employees of the Company, legal counsel, independent accountants, or other professional or expert advisors.</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Cybersecurity Oversight</w:t>
      </w:r>
    </w:p>
    <w:p>
      <w:pPr>
        <w:spacing w:after="0" w:line="92" w:lineRule="exact"/>
        <w:rPr>
          <w:sz w:val="20"/>
          <w:szCs w:val="20"/>
          <w:color w:val="auto"/>
        </w:rPr>
      </w:pPr>
    </w:p>
    <w:p>
      <w:pPr>
        <w:ind w:left="340" w:right="120"/>
        <w:spacing w:after="0" w:line="265" w:lineRule="auto"/>
        <w:rPr>
          <w:sz w:val="20"/>
          <w:szCs w:val="20"/>
          <w:color w:val="auto"/>
        </w:rPr>
      </w:pPr>
      <w:r>
        <w:rPr>
          <w:rFonts w:ascii="Arial" w:cs="Arial" w:eastAsia="Arial" w:hAnsi="Arial"/>
          <w:sz w:val="18"/>
          <w:szCs w:val="18"/>
          <w:color w:val="auto"/>
        </w:rPr>
        <w:t>The Board recognizes the importance of maintaining the trust and confidence of our Customers and employees to safeguard sensitive information and the integrity of our information systems. See our Annual Report on Form 10-K for the fiscal year ended March 31, 2026 for additional discussion regarding our cybersecurity risk management, strategy, and governance.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8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Board of Directors Information: </w:t>
      </w:r>
      <w:r>
        <w:rPr>
          <w:rFonts w:ascii="Arial" w:cs="Arial" w:eastAsia="Arial" w:hAnsi="Arial"/>
          <w:sz w:val="15"/>
          <w:szCs w:val="15"/>
          <w:b w:val="1"/>
          <w:bCs w:val="1"/>
          <w:color w:val="000000"/>
        </w:rPr>
        <w:t>Governance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Governance Generally</w:t>
      </w:r>
    </w:p>
    <w:p>
      <w:pPr>
        <w:spacing w:after="0" w:line="114" w:lineRule="exact"/>
        <w:rPr>
          <w:sz w:val="20"/>
          <w:szCs w:val="20"/>
          <w:color w:val="auto"/>
        </w:rPr>
      </w:pPr>
    </w:p>
    <w:p>
      <w:pPr>
        <w:ind w:left="340" w:right="80"/>
        <w:spacing w:after="0" w:line="234" w:lineRule="auto"/>
        <w:rPr>
          <w:sz w:val="20"/>
          <w:szCs w:val="20"/>
          <w:color w:val="auto"/>
        </w:rPr>
      </w:pPr>
      <w:r>
        <w:rPr>
          <w:rFonts w:ascii="Arial" w:cs="Arial" w:eastAsia="Arial" w:hAnsi="Arial"/>
          <w:sz w:val="19"/>
          <w:szCs w:val="19"/>
          <w:color w:val="auto"/>
        </w:rPr>
        <w:t>Our business is managed by our employees under the oversight of the Board of Directors. The Board of Directors directs and oversees the management of the business and affairs of the Company, and serves as the ultimate decision making body of the Company except for those matters reserved to our shareholders at law or under our Articles. The Board oversees the STERIS management team, to whom it has delegated responsibility for the Company’s day-to-day operations, as well as other matters. While the Board’s oversight role is very broad and may concentrate on different areas from time to time, its primary areas of focus are oversight of strategy, governance and compliance, as well as assessing management’s performance. In many of these areas, significant responsibilities are delegated to Board Committees.</w:t>
      </w:r>
    </w:p>
    <w:p>
      <w:pPr>
        <w:spacing w:after="0" w:line="166" w:lineRule="exact"/>
        <w:rPr>
          <w:sz w:val="20"/>
          <w:szCs w:val="20"/>
          <w:color w:val="auto"/>
        </w:rPr>
      </w:pPr>
    </w:p>
    <w:p>
      <w:pPr>
        <w:ind w:left="340" w:right="400"/>
        <w:spacing w:after="0" w:line="239" w:lineRule="auto"/>
        <w:rPr>
          <w:sz w:val="20"/>
          <w:szCs w:val="20"/>
          <w:color w:val="auto"/>
        </w:rPr>
      </w:pPr>
      <w:r>
        <w:rPr>
          <w:rFonts w:ascii="Arial" w:cs="Arial" w:eastAsia="Arial" w:hAnsi="Arial"/>
          <w:sz w:val="19"/>
          <w:szCs w:val="19"/>
          <w:color w:val="auto"/>
        </w:rPr>
        <w:t>Except for Mr. Daniel Carestio, President and CEO of the Company, none of the Board members was an employee of the Company during fiscal 2026. The Board limits membership of the Audit Committee, Compensation and Organization Development Committee, and Nominating and Governance Committee to persons determined to be independent non-management directors.</w:t>
      </w:r>
    </w:p>
    <w:p>
      <w:pPr>
        <w:spacing w:after="0" w:line="166" w:lineRule="exact"/>
        <w:rPr>
          <w:sz w:val="20"/>
          <w:szCs w:val="20"/>
          <w:color w:val="auto"/>
        </w:rPr>
      </w:pPr>
    </w:p>
    <w:p>
      <w:pPr>
        <w:ind w:left="340"/>
        <w:spacing w:after="0" w:line="236" w:lineRule="auto"/>
        <w:rPr>
          <w:sz w:val="20"/>
          <w:szCs w:val="20"/>
          <w:color w:val="auto"/>
        </w:rPr>
      </w:pPr>
      <w:r>
        <w:rPr>
          <w:rFonts w:ascii="Arial" w:cs="Arial" w:eastAsia="Arial" w:hAnsi="Arial"/>
          <w:sz w:val="19"/>
          <w:szCs w:val="19"/>
          <w:color w:val="auto"/>
        </w:rPr>
        <w:t xml:space="preserve">The Board of Directors has established Governance Guidelines that, along with the charters of the Board Committees, the Company’s Code of Business Conduct and the Director Code of Ethics, provide the framework for the governance of the Company. Our Director Code of Ethics, Governance Guidelines, Code of Business Conduct, Board Committee charters and other corporate governance information are available at the Corporate Governance section of </w:t>
      </w:r>
      <w:r>
        <w:rPr>
          <w:rFonts w:ascii="Arial" w:cs="Arial" w:eastAsia="Arial" w:hAnsi="Arial"/>
          <w:sz w:val="19"/>
          <w:szCs w:val="19"/>
          <w:u w:val="single" w:color="auto"/>
          <w:color w:val="auto"/>
        </w:rPr>
        <w:t>steris-ir.com</w:t>
      </w:r>
      <w:r>
        <w:rPr>
          <w:rFonts w:ascii="Arial" w:cs="Arial" w:eastAsia="Arial" w:hAnsi="Arial"/>
          <w:sz w:val="19"/>
          <w:szCs w:val="19"/>
          <w:color w:val="auto"/>
        </w:rPr>
        <w:t>. Shareholders may also request these items in print, without charge, by submitting a request to the Company Secretary.</w:t>
      </w:r>
    </w:p>
    <w:p>
      <w:pPr>
        <w:spacing w:after="0" w:line="169" w:lineRule="exact"/>
        <w:rPr>
          <w:sz w:val="20"/>
          <w:szCs w:val="20"/>
          <w:color w:val="auto"/>
        </w:rPr>
      </w:pPr>
    </w:p>
    <w:p>
      <w:pPr>
        <w:ind w:left="340" w:right="60"/>
        <w:spacing w:after="0" w:line="239" w:lineRule="auto"/>
        <w:rPr>
          <w:sz w:val="20"/>
          <w:szCs w:val="20"/>
          <w:color w:val="auto"/>
        </w:rPr>
      </w:pPr>
      <w:r>
        <w:rPr>
          <w:rFonts w:ascii="Arial" w:cs="Arial" w:eastAsia="Arial" w:hAnsi="Arial"/>
          <w:sz w:val="19"/>
          <w:szCs w:val="19"/>
          <w:color w:val="auto"/>
        </w:rPr>
        <w:t>The Board of Directors has charged the Nominating and Governance Committee with helping the Company to remain in the forefront of good corporate governance. The Nominating and Governance Committee is responsible for periodically reviewing and making recommendations to the Board of Directors in connection with the Company’s governance principles and practices.</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Independence Standards</w:t>
      </w:r>
    </w:p>
    <w:p>
      <w:pPr>
        <w:spacing w:after="0" w:line="92" w:lineRule="exact"/>
        <w:rPr>
          <w:sz w:val="20"/>
          <w:szCs w:val="20"/>
          <w:color w:val="auto"/>
        </w:rPr>
      </w:pPr>
    </w:p>
    <w:p>
      <w:pPr>
        <w:ind w:left="340" w:right="120"/>
        <w:spacing w:after="0" w:line="236" w:lineRule="auto"/>
        <w:rPr>
          <w:sz w:val="20"/>
          <w:szCs w:val="20"/>
          <w:color w:val="auto"/>
        </w:rPr>
      </w:pPr>
      <w:r>
        <w:rPr>
          <w:rFonts w:ascii="Arial" w:cs="Arial" w:eastAsia="Arial" w:hAnsi="Arial"/>
          <w:sz w:val="19"/>
          <w:szCs w:val="19"/>
          <w:color w:val="auto"/>
        </w:rPr>
        <w:t>The Board has determined that independent directors should comprise a substantial majority of the Board. It is expected that at least two-thirds of the Board should be independent. Under our Governance Guidelines, an independent director is one who meets the definition of independence as defined by NYSE listing requirements. A director will not be considered independent if he or she has a material relationship with the Company. Generally, the Board will not consider a director to be independent under the following circumstances:</w:t>
      </w:r>
    </w:p>
    <w:p>
      <w:pPr>
        <w:spacing w:after="0" w:line="195" w:lineRule="exact"/>
        <w:rPr>
          <w:sz w:val="20"/>
          <w:szCs w:val="20"/>
          <w:color w:val="auto"/>
        </w:rPr>
      </w:pPr>
    </w:p>
    <w:p>
      <w:pPr>
        <w:ind w:left="540" w:right="300" w:hanging="200"/>
        <w:spacing w:after="0" w:line="262"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director is, or has been within the last three years, an employee of the Company, or an immediate family member of the director is, or has been within the last three years, an executive officer of the Company;</w:t>
      </w:r>
    </w:p>
    <w:p>
      <w:pPr>
        <w:spacing w:after="0" w:line="170" w:lineRule="exact"/>
        <w:rPr>
          <w:rFonts w:ascii="Arial" w:cs="Arial" w:eastAsia="Arial" w:hAnsi="Arial"/>
          <w:sz w:val="19"/>
          <w:szCs w:val="19"/>
          <w:color w:val="auto"/>
        </w:rPr>
      </w:pPr>
    </w:p>
    <w:p>
      <w:pPr>
        <w:ind w:left="540" w:right="260" w:hanging="200"/>
        <w:spacing w:after="0" w:line="239"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director or an immediate family member has received, during any 12-month period within the last three years, more than $120,000 in direct compensation from the Company, other than director and committee fees and pension or other forms of deferred compensation for prior service (provided such compensation is not contingent in any way on continued service);</w:t>
      </w:r>
    </w:p>
    <w:p>
      <w:pPr>
        <w:spacing w:after="0" w:line="191" w:lineRule="exact"/>
        <w:rPr>
          <w:rFonts w:ascii="Arial" w:cs="Arial" w:eastAsia="Arial" w:hAnsi="Arial"/>
          <w:sz w:val="19"/>
          <w:szCs w:val="19"/>
          <w:color w:val="auto"/>
        </w:rPr>
      </w:pPr>
    </w:p>
    <w:p>
      <w:pPr>
        <w:jc w:val="both"/>
        <w:ind w:left="540" w:right="160" w:hanging="200"/>
        <w:spacing w:after="0" w:line="244"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The director or an immediate family member is a current partner of a firm that is our internal or external auditor; (b) the director is a current employee of such firm; (c) the director has an immediate family member who is a current employee of such a firm who participates in the firm’s audit practice;</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33</w:t>
      </w:r>
    </w:p>
    <w:p>
      <w:pPr>
        <w:sectPr>
          <w:pgSz w:w="11900" w:h="16838" w:orient="portrait"/>
          <w:cols w:equalWidth="0" w:num="1">
            <w:col w:w="10900"/>
          </w:cols>
          <w:pgMar w:left="320" w:top="469" w:right="6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8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Board of Directors Information: </w:t>
      </w:r>
      <w:r>
        <w:rPr>
          <w:rFonts w:ascii="Arial" w:cs="Arial" w:eastAsia="Arial" w:hAnsi="Arial"/>
          <w:sz w:val="15"/>
          <w:szCs w:val="15"/>
          <w:b w:val="1"/>
          <w:bCs w:val="1"/>
          <w:color w:val="000000"/>
        </w:rPr>
        <w:t>Governance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540"/>
        <w:spacing w:after="0" w:line="262" w:lineRule="auto"/>
        <w:rPr>
          <w:sz w:val="20"/>
          <w:szCs w:val="20"/>
          <w:color w:val="auto"/>
        </w:rPr>
      </w:pPr>
      <w:r>
        <w:rPr>
          <w:rFonts w:ascii="Arial" w:cs="Arial" w:eastAsia="Arial" w:hAnsi="Arial"/>
          <w:sz w:val="19"/>
          <w:szCs w:val="19"/>
          <w:color w:val="auto"/>
        </w:rPr>
        <w:t>or (d) the director or an immediate family member was within the last three years (but is no longer) a partner or employee of such firm and personally worked on our audit within that time;</w:t>
      </w:r>
    </w:p>
    <w:p>
      <w:pPr>
        <w:spacing w:after="0" w:line="170" w:lineRule="exact"/>
        <w:rPr>
          <w:sz w:val="20"/>
          <w:szCs w:val="20"/>
          <w:color w:val="auto"/>
        </w:rPr>
      </w:pPr>
    </w:p>
    <w:p>
      <w:pPr>
        <w:ind w:left="540" w:right="40" w:hanging="200"/>
        <w:spacing w:after="0" w:line="244"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director or an immediate family member is, or has been within the last three years, employed as an executive officer of another entity where any of the present executive officers at the same time serves or served on that entity’s compensation committee; or</w:t>
      </w:r>
    </w:p>
    <w:p>
      <w:pPr>
        <w:spacing w:after="0" w:line="188" w:lineRule="exact"/>
        <w:rPr>
          <w:rFonts w:ascii="Arial" w:cs="Arial" w:eastAsia="Arial" w:hAnsi="Arial"/>
          <w:sz w:val="19"/>
          <w:szCs w:val="19"/>
          <w:color w:val="auto"/>
        </w:rPr>
      </w:pPr>
    </w:p>
    <w:p>
      <w:pPr>
        <w:jc w:val="both"/>
        <w:ind w:left="540" w:right="20" w:hanging="200"/>
        <w:spacing w:after="0" w:line="244"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director is a current employee, or an immediate family member is a current executive officer, of an entity that has made payments to, or received payments from, the Company for property or services in an amount which, in any of the last three fiscal years, exceeds the greater of $1 million, or two percent of such entity’s consolidated gross revenues.</w:t>
      </w:r>
    </w:p>
    <w:p>
      <w:pPr>
        <w:spacing w:after="0" w:line="162" w:lineRule="exact"/>
        <w:rPr>
          <w:sz w:val="20"/>
          <w:szCs w:val="20"/>
          <w:color w:val="auto"/>
        </w:rPr>
      </w:pPr>
    </w:p>
    <w:p>
      <w:pPr>
        <w:ind w:left="340" w:right="100"/>
        <w:spacing w:after="0" w:line="232" w:lineRule="auto"/>
        <w:rPr>
          <w:sz w:val="20"/>
          <w:szCs w:val="20"/>
          <w:color w:val="auto"/>
        </w:rPr>
      </w:pPr>
      <w:r>
        <w:rPr>
          <w:rFonts w:ascii="Arial" w:cs="Arial" w:eastAsia="Arial" w:hAnsi="Arial"/>
          <w:sz w:val="19"/>
          <w:szCs w:val="19"/>
          <w:color w:val="auto"/>
        </w:rPr>
        <w:t>Based upon the foregoing criteria, the Board of Directors determined that all of the following incumbent directors are independent within the meaning of NYSE listing requirements: Dr. Esther M. Alegria, Pierre Boulud, Richard C. Breeden, Cynthia L. Feldmann, Christopher S. Holland, Paul E. Martin, Dr. Nirav R. Shah, Louis A. Shapiro, and Dr. Mohsen M. Sohi. The Board of Directors also determined that each of the Compensation and Organization Development Committee members meets the additional requirements for independence required to be a member of a compensation committee under NYSE listing requirements and applicable law. The Board of Directors also has determined that each of the members of the Audit Committee meets the requirements for independence and financial literacy and possesses the accounting or related financial management expertise required to be a member of an audit committee under NYSE listing requirements and applicable law. The Board of Directors has further determined that all members of the Nominating and Governance Committee are independent within the meaning of the NYSE listing standards.</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Related Person Transactions</w:t>
      </w:r>
    </w:p>
    <w:p>
      <w:pPr>
        <w:spacing w:after="0" w:line="92" w:lineRule="exact"/>
        <w:rPr>
          <w:sz w:val="20"/>
          <w:szCs w:val="20"/>
          <w:color w:val="auto"/>
        </w:rPr>
      </w:pPr>
    </w:p>
    <w:p>
      <w:pPr>
        <w:ind w:left="340" w:right="600"/>
        <w:spacing w:after="0" w:line="262" w:lineRule="auto"/>
        <w:rPr>
          <w:sz w:val="20"/>
          <w:szCs w:val="20"/>
          <w:color w:val="auto"/>
        </w:rPr>
      </w:pPr>
      <w:r>
        <w:rPr>
          <w:rFonts w:ascii="Arial" w:cs="Arial" w:eastAsia="Arial" w:hAnsi="Arial"/>
          <w:sz w:val="19"/>
          <w:szCs w:val="19"/>
          <w:color w:val="auto"/>
        </w:rPr>
        <w:t>Since the beginning of fiscal 2026, we have not been a participant in, and there are not currently proposed, any related person transactions (within the meaning of, and required to be disclosed under, Item 404(a) of Regulation S-K).</w:t>
      </w:r>
    </w:p>
    <w:p>
      <w:pPr>
        <w:spacing w:after="0" w:line="145" w:lineRule="exact"/>
        <w:rPr>
          <w:sz w:val="20"/>
          <w:szCs w:val="20"/>
          <w:color w:val="auto"/>
        </w:rPr>
      </w:pPr>
    </w:p>
    <w:p>
      <w:pPr>
        <w:ind w:left="340" w:right="120"/>
        <w:spacing w:after="0" w:line="247" w:lineRule="auto"/>
        <w:rPr>
          <w:sz w:val="20"/>
          <w:szCs w:val="20"/>
          <w:color w:val="auto"/>
        </w:rPr>
      </w:pPr>
      <w:r>
        <w:rPr>
          <w:rFonts w:ascii="Arial" w:cs="Arial" w:eastAsia="Arial" w:hAnsi="Arial"/>
          <w:sz w:val="18"/>
          <w:szCs w:val="18"/>
          <w:color w:val="auto"/>
        </w:rPr>
        <w:t>Our Director Code of Ethics provides that STERIS directors may not receive any loans, consulting fees, or other material personal profit or benefit in connection with any transaction involving STERIS, other than compensation, expense payments and committee fees as a director (or in the case of a director employed by the Company, compensation as an employee), as approved by the full Board. Other than such payments, a director must disclose to the Company’s General Counsel any transaction, or proposed transaction, between a STERIS entity and the director, a member of the director’s immediate family, or a business the director or an immediate family member owns, controls, or has a substantial interest in. Directors also may not have a personal or family financial interest in any STERIS supplier, Customer, consultant, reseller or competitor that has reasonable potential for causing a conflict of interest or divided loyalty or resulting in material personal gain.</w:t>
      </w:r>
    </w:p>
    <w:p>
      <w:pPr>
        <w:spacing w:after="0" w:line="161" w:lineRule="exact"/>
        <w:rPr>
          <w:sz w:val="20"/>
          <w:szCs w:val="20"/>
          <w:color w:val="auto"/>
        </w:rPr>
      </w:pPr>
    </w:p>
    <w:p>
      <w:pPr>
        <w:ind w:left="340" w:right="60"/>
        <w:spacing w:after="0" w:line="235" w:lineRule="auto"/>
        <w:rPr>
          <w:sz w:val="20"/>
          <w:szCs w:val="20"/>
          <w:color w:val="auto"/>
        </w:rPr>
      </w:pPr>
      <w:r>
        <w:rPr>
          <w:rFonts w:ascii="Arial" w:cs="Arial" w:eastAsia="Arial" w:hAnsi="Arial"/>
          <w:sz w:val="19"/>
          <w:szCs w:val="19"/>
          <w:color w:val="auto"/>
        </w:rPr>
        <w:t>Our Code of Business Conduct for employees requires that relationships with third parties, as well as all business decisions, be based on what is required by law and in the best interests of STERIS, and not be motivated or influenced by personal considerations. This Code also requires that employees discuss with their supervisor or the STERIS Legal Department any activity that might create a conflict of interest, including personal financial interests that might reasonably affect their business judgment on behalf of the Company. The Code of Business Conduct also contains prohibitions with respect to conflicts of interest or transactions involving personal financial gain.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8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Board of Directors Information: </w:t>
      </w:r>
      <w:r>
        <w:rPr>
          <w:rFonts w:ascii="Arial" w:cs="Arial" w:eastAsia="Arial" w:hAnsi="Arial"/>
          <w:sz w:val="15"/>
          <w:szCs w:val="15"/>
          <w:b w:val="1"/>
          <w:bCs w:val="1"/>
          <w:color w:val="000000"/>
        </w:rPr>
        <w:t>Governance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180"/>
        <w:spacing w:after="0" w:line="234" w:lineRule="auto"/>
        <w:rPr>
          <w:sz w:val="20"/>
          <w:szCs w:val="20"/>
          <w:color w:val="auto"/>
        </w:rPr>
      </w:pPr>
      <w:r>
        <w:rPr>
          <w:rFonts w:ascii="Arial" w:cs="Arial" w:eastAsia="Arial" w:hAnsi="Arial"/>
          <w:sz w:val="19"/>
          <w:szCs w:val="19"/>
          <w:color w:val="auto"/>
        </w:rPr>
        <w:t>In addition, our Board has adopted a policy with respect to related party transactions. In general, this policy requires that all transactions or proposed transactions between the Company and a related party that exceed $120,000 and in which the related party has a direct or indirect material interest, be disclosed to and ratified or approved by the Audit Committee or by disinterested members of our full Board. Under this policy, related parties include all of our Directors and executive officers and their immediate family members, and entities owned (more than 10% ownership) by a Director, executive officer or their immediate family members. In fiscal year 2026, there were no related party transactions between us and related parties that required ratification or approval under this policy.</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Governance Guidelines</w:t>
      </w:r>
    </w:p>
    <w:p>
      <w:pPr>
        <w:spacing w:after="0" w:line="92" w:lineRule="exact"/>
        <w:rPr>
          <w:sz w:val="20"/>
          <w:szCs w:val="20"/>
          <w:color w:val="auto"/>
        </w:rPr>
      </w:pPr>
    </w:p>
    <w:p>
      <w:pPr>
        <w:ind w:left="340" w:right="180"/>
        <w:spacing w:after="0" w:line="244" w:lineRule="auto"/>
        <w:rPr>
          <w:sz w:val="20"/>
          <w:szCs w:val="20"/>
          <w:color w:val="auto"/>
        </w:rPr>
      </w:pPr>
      <w:r>
        <w:rPr>
          <w:rFonts w:ascii="Arial" w:cs="Arial" w:eastAsia="Arial" w:hAnsi="Arial"/>
          <w:sz w:val="19"/>
          <w:szCs w:val="19"/>
          <w:color w:val="auto"/>
        </w:rPr>
        <w:t xml:space="preserve">Our Board adopted its Governance Guidelines to assist primarily with the proper management and governance of the activities of the Board. The following is a summary of those Guidelines. A complete copy of the Governance Guidelines may be found at the “Corporate Governance” section of </w:t>
      </w:r>
      <w:r>
        <w:rPr>
          <w:rFonts w:ascii="Arial" w:cs="Arial" w:eastAsia="Arial" w:hAnsi="Arial"/>
          <w:sz w:val="19"/>
          <w:szCs w:val="19"/>
          <w:u w:val="single" w:color="auto"/>
          <w:color w:val="auto"/>
        </w:rPr>
        <w:t>steris-ir.com</w:t>
      </w:r>
      <w:r>
        <w:rPr>
          <w:rFonts w:ascii="Arial" w:cs="Arial" w:eastAsia="Arial" w:hAnsi="Arial"/>
          <w:sz w:val="19"/>
          <w:szCs w:val="19"/>
          <w:color w:val="auto"/>
        </w:rPr>
        <w:t>.</w:t>
      </w:r>
    </w:p>
    <w:p>
      <w:pPr>
        <w:spacing w:after="0" w:line="59" w:lineRule="exact"/>
        <w:rPr>
          <w:sz w:val="20"/>
          <w:szCs w:val="20"/>
          <w:color w:val="auto"/>
        </w:rPr>
      </w:pPr>
    </w:p>
    <w:p>
      <w:pPr>
        <w:ind w:left="860" w:right="160"/>
        <w:spacing w:after="0" w:line="213" w:lineRule="auto"/>
        <w:rPr>
          <w:sz w:val="20"/>
          <w:szCs w:val="20"/>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—There is no limitation on the number of terms a Director may serve. However, the Nominating and Governance Committee will not ordinarily recommend a nominee for election for a term beginning on or after the nominee’s 75</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birthday unless it has determined that under the circumstances such nomination would be in the best interest of the Company and its shareholders.</w:t>
      </w:r>
    </w:p>
    <w:p>
      <w:pPr>
        <w:spacing w:after="0" w:line="65" w:lineRule="exact"/>
        <w:rPr>
          <w:sz w:val="20"/>
          <w:szCs w:val="20"/>
          <w:color w:val="auto"/>
        </w:rPr>
      </w:pPr>
    </w:p>
    <w:p>
      <w:pPr>
        <w:ind w:left="860" w:right="40"/>
        <w:spacing w:after="0" w:line="244" w:lineRule="auto"/>
        <w:rPr>
          <w:sz w:val="20"/>
          <w:szCs w:val="20"/>
          <w:color w:val="auto"/>
        </w:rPr>
      </w:pPr>
      <w:r>
        <w:rPr>
          <w:rFonts w:ascii="Arial" w:cs="Arial" w:eastAsia="Arial" w:hAnsi="Arial"/>
          <w:sz w:val="19"/>
          <w:szCs w:val="19"/>
          <w:u w:val="single" w:color="auto"/>
          <w:color w:val="auto"/>
        </w:rPr>
        <w:t>Annual Meeting of Shareholders</w:t>
      </w:r>
      <w:r>
        <w:rPr>
          <w:rFonts w:ascii="Arial" w:cs="Arial" w:eastAsia="Arial" w:hAnsi="Arial"/>
          <w:sz w:val="19"/>
          <w:szCs w:val="19"/>
          <w:color w:val="auto"/>
        </w:rPr>
        <w:t>—The Board of Directors encourages all of its members to attend the annual general meeting. All of the Director nominees at the time of the 2025 annual general meeting attended the 2025 annual general meeting in person or via telecommunication equipment.</w:t>
      </w:r>
    </w:p>
    <w:p>
      <w:pPr>
        <w:spacing w:after="0" w:line="59" w:lineRule="exact"/>
        <w:rPr>
          <w:sz w:val="20"/>
          <w:szCs w:val="20"/>
          <w:color w:val="auto"/>
        </w:rPr>
      </w:pPr>
    </w:p>
    <w:p>
      <w:pPr>
        <w:ind w:left="860" w:right="140"/>
        <w:spacing w:after="0" w:line="235" w:lineRule="auto"/>
        <w:rPr>
          <w:sz w:val="20"/>
          <w:szCs w:val="20"/>
          <w:color w:val="auto"/>
        </w:rPr>
      </w:pPr>
      <w:r>
        <w:rPr>
          <w:rFonts w:ascii="Arial" w:cs="Arial" w:eastAsia="Arial" w:hAnsi="Arial"/>
          <w:sz w:val="19"/>
          <w:szCs w:val="19"/>
          <w:u w:val="single" w:color="auto"/>
          <w:color w:val="auto"/>
        </w:rPr>
        <w:t>Executive Sessions</w:t>
      </w:r>
      <w:r>
        <w:rPr>
          <w:rFonts w:ascii="Arial" w:cs="Arial" w:eastAsia="Arial" w:hAnsi="Arial"/>
          <w:sz w:val="19"/>
          <w:szCs w:val="19"/>
          <w:color w:val="auto"/>
        </w:rPr>
        <w:t>—The independent Directors of the Board will meet separately as a group at least every other regularly scheduled Board meeting. During fiscal 2026, the independent Directors met in executive session four times. The Chairman or Lead Director (if the Chairman is not independent) will assume the chair of the meetings of independent Directors and assume such further tasks as set forth in the Governance Guidelines and as the independent Directors may determine from time to time. As indicated under “Independence Standards” above, the current Chairman has been determined to be independent.</w:t>
      </w:r>
    </w:p>
    <w:p>
      <w:pPr>
        <w:spacing w:after="0" w:line="63" w:lineRule="exact"/>
        <w:rPr>
          <w:sz w:val="20"/>
          <w:szCs w:val="20"/>
          <w:color w:val="auto"/>
        </w:rPr>
      </w:pPr>
    </w:p>
    <w:p>
      <w:pPr>
        <w:ind w:left="860" w:right="120"/>
        <w:spacing w:after="0" w:line="236" w:lineRule="auto"/>
        <w:rPr>
          <w:sz w:val="20"/>
          <w:szCs w:val="20"/>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—Each member of the Board has complete and open access to management. Board members are expected to use their judgment so as to not distract management from the day-to-day operation of the Company. The Board and each Committee have the authority to obtain advice, reports or opinions from internal and external counsel and expert advisors and have the power to hire independent legal, finance and other advisors as they may deem necessary, without consulting with, or obtaining approval from, any officer in advance.</w:t>
      </w:r>
    </w:p>
    <w:p>
      <w:pPr>
        <w:spacing w:after="0" w:line="65" w:lineRule="exact"/>
        <w:rPr>
          <w:sz w:val="20"/>
          <w:szCs w:val="20"/>
          <w:color w:val="auto"/>
        </w:rPr>
      </w:pPr>
    </w:p>
    <w:p>
      <w:pPr>
        <w:ind w:left="860" w:right="40"/>
        <w:spacing w:after="0" w:line="235" w:lineRule="auto"/>
        <w:rPr>
          <w:sz w:val="20"/>
          <w:szCs w:val="20"/>
          <w:color w:val="auto"/>
        </w:rPr>
      </w:pPr>
      <w:r>
        <w:rPr>
          <w:rFonts w:ascii="Arial" w:cs="Arial" w:eastAsia="Arial" w:hAnsi="Arial"/>
          <w:sz w:val="19"/>
          <w:szCs w:val="19"/>
          <w:u w:val="single" w:color="auto"/>
          <w:color w:val="auto"/>
        </w:rPr>
        <w:t>Board and Committee Evaluations</w:t>
      </w:r>
      <w:r>
        <w:rPr>
          <w:rFonts w:ascii="Arial" w:cs="Arial" w:eastAsia="Arial" w:hAnsi="Arial"/>
          <w:sz w:val="19"/>
          <w:szCs w:val="19"/>
          <w:color w:val="auto"/>
        </w:rPr>
        <w:t>—The Board has conducted self-evaluations as well as individual director evaluations to assess the effectiveness of the Board and its members. The Chairman (or Lead Director, if the Chairman is not independent) and the Nominating and Governance Committee coordinate these evaluations. The purpose of these self-evaluations is to increase the effectiveness of the Board and each Committee, as well as their individual members. Changes in Board Committee structure, if any, are to be evaluated and recommended by the Nominating and Governance Committee, but require the concurrence of the full Board.</w:t>
      </w:r>
    </w:p>
    <w:p>
      <w:pPr>
        <w:spacing w:after="0" w:line="63" w:lineRule="exact"/>
        <w:rPr>
          <w:sz w:val="20"/>
          <w:szCs w:val="20"/>
          <w:color w:val="auto"/>
        </w:rPr>
      </w:pPr>
    </w:p>
    <w:p>
      <w:pPr>
        <w:ind w:left="860" w:right="220"/>
        <w:spacing w:after="0" w:line="262" w:lineRule="auto"/>
        <w:rPr>
          <w:sz w:val="20"/>
          <w:szCs w:val="20"/>
          <w:color w:val="auto"/>
        </w:rPr>
      </w:pPr>
      <w:r>
        <w:rPr>
          <w:rFonts w:ascii="Arial" w:cs="Arial" w:eastAsia="Arial" w:hAnsi="Arial"/>
          <w:sz w:val="19"/>
          <w:szCs w:val="19"/>
          <w:u w:val="single" w:color="auto"/>
          <w:color w:val="auto"/>
        </w:rPr>
        <w:t>Majority Voting</w:t>
      </w:r>
      <w:r>
        <w:rPr>
          <w:rFonts w:ascii="Arial" w:cs="Arial" w:eastAsia="Arial" w:hAnsi="Arial"/>
          <w:sz w:val="19"/>
          <w:szCs w:val="19"/>
          <w:color w:val="auto"/>
        </w:rPr>
        <w:t>—If an incumbent nominee for Director in an uncontested election does not receive the vote of at least the majority of the votes cast at any meeting for the election of Directors at</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35</w:t>
      </w:r>
    </w:p>
    <w:p>
      <w:pPr>
        <w:sectPr>
          <w:pgSz w:w="11900" w:h="16838" w:orient="portrait"/>
          <w:cols w:equalWidth="0" w:num="1">
            <w:col w:w="10900"/>
          </w:cols>
          <w:pgMar w:left="320" w:top="469" w:right="6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8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Board of Directors Information: </w:t>
      </w:r>
      <w:r>
        <w:rPr>
          <w:rFonts w:ascii="Arial" w:cs="Arial" w:eastAsia="Arial" w:hAnsi="Arial"/>
          <w:sz w:val="15"/>
          <w:szCs w:val="15"/>
          <w:b w:val="1"/>
          <w:bCs w:val="1"/>
          <w:color w:val="000000"/>
        </w:rPr>
        <w:t>Governance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860" w:right="40"/>
        <w:spacing w:after="0" w:line="239" w:lineRule="auto"/>
        <w:rPr>
          <w:sz w:val="20"/>
          <w:szCs w:val="20"/>
          <w:color w:val="auto"/>
        </w:rPr>
      </w:pPr>
      <w:r>
        <w:rPr>
          <w:rFonts w:ascii="Arial" w:cs="Arial" w:eastAsia="Arial" w:hAnsi="Arial"/>
          <w:sz w:val="19"/>
          <w:szCs w:val="19"/>
          <w:color w:val="auto"/>
        </w:rPr>
        <w:t>which a quorum is present, and no successor has been elected at such meeting, the Director will promptly offer his or her resignation as a Director to the Board of Directors. A majority of votes cast for the purposes of this provision means that the number of shares voted “for” a Director’s election exceeds 50% of the number of votes cast with respect to that director’s election.</w:t>
      </w:r>
    </w:p>
    <w:p>
      <w:pPr>
        <w:spacing w:after="0" w:line="62" w:lineRule="exact"/>
        <w:rPr>
          <w:sz w:val="20"/>
          <w:szCs w:val="20"/>
          <w:color w:val="auto"/>
        </w:rPr>
      </w:pPr>
    </w:p>
    <w:p>
      <w:pPr>
        <w:ind w:left="860" w:right="20"/>
        <w:spacing w:after="0" w:line="235" w:lineRule="auto"/>
        <w:rPr>
          <w:sz w:val="20"/>
          <w:szCs w:val="20"/>
          <w:color w:val="auto"/>
        </w:rPr>
      </w:pPr>
      <w:r>
        <w:rPr>
          <w:rFonts w:ascii="Arial" w:cs="Arial" w:eastAsia="Arial" w:hAnsi="Arial"/>
          <w:sz w:val="19"/>
          <w:szCs w:val="19"/>
          <w:color w:val="auto"/>
        </w:rPr>
        <w:t>The Nominating and Governance Committee will make a recommendation to the Board regarding whether to accept or reject the offered resignation or whether other action should be taken. The Board will consider the offer of resignation and disclose its decision regarding the offer and the rationale for its decision within 90 days from the date of the certification of the election results. If an incumbent Director’s offer of resignation is not accepted by the Board, such fact will be promptly communicated to the Director and such Director will continue to serve until a successor is duly elected, or such Director’s earlier resignation or removal.</w:t>
      </w:r>
    </w:p>
    <w:p>
      <w:pPr>
        <w:spacing w:after="0" w:line="63" w:lineRule="exact"/>
        <w:rPr>
          <w:sz w:val="20"/>
          <w:szCs w:val="20"/>
          <w:color w:val="auto"/>
        </w:rPr>
      </w:pPr>
    </w:p>
    <w:p>
      <w:pPr>
        <w:ind w:left="860" w:right="20"/>
        <w:spacing w:after="0" w:line="236" w:lineRule="auto"/>
        <w:rPr>
          <w:sz w:val="20"/>
          <w:szCs w:val="20"/>
          <w:color w:val="auto"/>
        </w:rPr>
      </w:pPr>
      <w:r>
        <w:rPr>
          <w:rFonts w:ascii="Arial" w:cs="Arial" w:eastAsia="Arial" w:hAnsi="Arial"/>
          <w:sz w:val="19"/>
          <w:szCs w:val="19"/>
          <w:color w:val="auto"/>
        </w:rPr>
        <w:t>If a Director’s resignation is accepted by the Board, then the resignation will be effective as of the date of acceptance, and the acceptance will be promptly communicated to the Director. If a Director’s resignation is accepted in the foregoing circumstances, or a director otherwise resigns or is removed or fails to be re-nominated, then the Board, in its sole discretion, may fill any resulting vacancy, or may decrease the size of the Board of Directors, pursuant to the Company’s Articles. If an election of directors is contested, a plurality voting standard shall apply to all directors.</w:t>
      </w:r>
    </w:p>
    <w:p>
      <w:pPr>
        <w:spacing w:after="0" w:line="65" w:lineRule="exact"/>
        <w:rPr>
          <w:sz w:val="20"/>
          <w:szCs w:val="20"/>
          <w:color w:val="auto"/>
        </w:rPr>
      </w:pPr>
    </w:p>
    <w:p>
      <w:pPr>
        <w:ind w:left="860" w:right="120"/>
        <w:spacing w:after="0" w:line="233" w:lineRule="auto"/>
        <w:rPr>
          <w:sz w:val="20"/>
          <w:szCs w:val="20"/>
          <w:color w:val="auto"/>
        </w:rPr>
      </w:pPr>
      <w:r>
        <w:rPr>
          <w:rFonts w:ascii="Arial" w:cs="Arial" w:eastAsia="Arial" w:hAnsi="Arial"/>
          <w:sz w:val="19"/>
          <w:szCs w:val="19"/>
          <w:u w:val="single" w:color="auto"/>
          <w:color w:val="auto"/>
        </w:rPr>
        <w:t>Service on Other Boards</w:t>
      </w:r>
      <w:r>
        <w:rPr>
          <w:rFonts w:ascii="Arial" w:cs="Arial" w:eastAsia="Arial" w:hAnsi="Arial"/>
          <w:sz w:val="19"/>
          <w:szCs w:val="19"/>
          <w:color w:val="auto"/>
        </w:rPr>
        <w:t>—Employee Directors may not serve on more than one other public company board, and non-employee Directors may not serve on more than three other public company boards. In addition, members of the Audit Committee may not serve on more than three public company audit committees simultaneously, and non-employee Directors that are also named executive officers for other public companies may not serve on a public company board other than the Board and the board of his or her employer. The Nominating and Governance Committee must give advance approval before an employee Director or executive officer of the Company may accept an invitation to serve on another public company board and before any Director may serve on another public company board in which another Director is an officer.</w:t>
      </w:r>
    </w:p>
    <w:p>
      <w:pPr>
        <w:spacing w:after="0" w:line="64" w:lineRule="exact"/>
        <w:rPr>
          <w:sz w:val="20"/>
          <w:szCs w:val="20"/>
          <w:color w:val="auto"/>
        </w:rPr>
      </w:pPr>
    </w:p>
    <w:p>
      <w:pPr>
        <w:ind w:left="860"/>
        <w:spacing w:after="0" w:line="235" w:lineRule="auto"/>
        <w:rPr>
          <w:sz w:val="20"/>
          <w:szCs w:val="20"/>
          <w:color w:val="auto"/>
        </w:rPr>
      </w:pPr>
      <w:r>
        <w:rPr>
          <w:rFonts w:ascii="Arial" w:cs="Arial" w:eastAsia="Arial" w:hAnsi="Arial"/>
          <w:sz w:val="19"/>
          <w:szCs w:val="19"/>
          <w:u w:val="single" w:color="auto"/>
          <w:color w:val="auto"/>
        </w:rPr>
        <w:t>New Director Orientation</w:t>
      </w:r>
      <w:r>
        <w:rPr>
          <w:rFonts w:ascii="Arial" w:cs="Arial" w:eastAsia="Arial" w:hAnsi="Arial"/>
          <w:sz w:val="19"/>
          <w:szCs w:val="19"/>
          <w:color w:val="auto"/>
        </w:rPr>
        <w:t>—All new Directors will be provided an orientation to acquaint them with the Company’s business, strategies, long-range plans, financial statements, the Governance Guidelines, and the Director Code of Ethics. New Directors will also be introduced to our senior management, internal auditor, and independent auditor. In addition, from time to time, Directors will receive information and updates on legal and regulatory changes that affect the Company, its employees and the operation of the Board. The Nominating and Governance Committee will from time to time make other recommendations regarding further educational opportunities for directors.</w:t>
      </w:r>
    </w:p>
    <w:p>
      <w:pPr>
        <w:spacing w:after="0" w:line="63" w:lineRule="exact"/>
        <w:rPr>
          <w:sz w:val="20"/>
          <w:szCs w:val="20"/>
          <w:color w:val="auto"/>
        </w:rPr>
      </w:pPr>
    </w:p>
    <w:p>
      <w:pPr>
        <w:ind w:left="860" w:right="600"/>
        <w:spacing w:after="0" w:line="239" w:lineRule="auto"/>
        <w:rPr>
          <w:sz w:val="20"/>
          <w:szCs w:val="20"/>
          <w:color w:val="auto"/>
        </w:rPr>
      </w:pPr>
      <w:r>
        <w:rPr>
          <w:rFonts w:ascii="Arial" w:cs="Arial" w:eastAsia="Arial" w:hAnsi="Arial"/>
          <w:sz w:val="19"/>
          <w:szCs w:val="19"/>
          <w:u w:val="single" w:color="auto"/>
          <w:color w:val="auto"/>
        </w:rPr>
        <w:t>Attendance at Meetings</w:t>
      </w:r>
      <w:r>
        <w:rPr>
          <w:rFonts w:ascii="Arial" w:cs="Arial" w:eastAsia="Arial" w:hAnsi="Arial"/>
          <w:sz w:val="19"/>
          <w:szCs w:val="19"/>
          <w:color w:val="auto"/>
        </w:rPr>
        <w:t>—In order to effectively oversee management, all Directors are expected to attend Board meetings and meetings of committees of which they are members. Directors who attend less than 75% of Board meetings and meetings of committees of which they are members for two consecutive years will be subject to assessment by the Board to determine continued eligibility for directorship.</w:t>
      </w:r>
    </w:p>
    <w:p>
      <w:pPr>
        <w:spacing w:after="0" w:line="62" w:lineRule="exact"/>
        <w:rPr>
          <w:sz w:val="20"/>
          <w:szCs w:val="20"/>
          <w:color w:val="auto"/>
        </w:rPr>
      </w:pPr>
    </w:p>
    <w:p>
      <w:pPr>
        <w:ind w:left="860" w:right="120"/>
        <w:spacing w:after="0" w:line="236" w:lineRule="auto"/>
        <w:rPr>
          <w:sz w:val="20"/>
          <w:szCs w:val="20"/>
          <w:color w:val="auto"/>
        </w:rPr>
      </w:pPr>
      <w:r>
        <w:rPr>
          <w:rFonts w:ascii="Arial" w:cs="Arial" w:eastAsia="Arial" w:hAnsi="Arial"/>
          <w:sz w:val="19"/>
          <w:szCs w:val="19"/>
          <w:u w:val="single" w:color="auto"/>
          <w:color w:val="auto"/>
        </w:rPr>
        <w:t>Shareholder Communications</w:t>
      </w:r>
      <w:r>
        <w:rPr>
          <w:rFonts w:ascii="Arial" w:cs="Arial" w:eastAsia="Arial" w:hAnsi="Arial"/>
          <w:sz w:val="19"/>
          <w:szCs w:val="19"/>
          <w:color w:val="auto"/>
        </w:rPr>
        <w:t>—Shareholders and other interested parties may communicate with the Board of Directors as a group, with the non-management directors as a group, or with any individual director by sending written communications to STERIS plc, 70 Sir John Rogerson’s Quay, Dublin 2, D02 R296 Ireland, Attention: Company Secretary. Complaints regarding accounting, internal accounting controls, or auditing matters will be forwarded directly to the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8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Board of Directors Information: </w:t>
      </w:r>
      <w:r>
        <w:rPr>
          <w:rFonts w:ascii="Arial" w:cs="Arial" w:eastAsia="Arial" w:hAnsi="Arial"/>
          <w:sz w:val="15"/>
          <w:szCs w:val="15"/>
          <w:b w:val="1"/>
          <w:bCs w:val="1"/>
          <w:color w:val="000000"/>
        </w:rPr>
        <w:t>Governance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860" w:right="80"/>
        <w:spacing w:after="0" w:line="236" w:lineRule="auto"/>
        <w:rPr>
          <w:sz w:val="20"/>
          <w:szCs w:val="20"/>
          <w:color w:val="auto"/>
        </w:rPr>
      </w:pPr>
      <w:r>
        <w:rPr>
          <w:rFonts w:ascii="Arial" w:cs="Arial" w:eastAsia="Arial" w:hAnsi="Arial"/>
          <w:sz w:val="19"/>
          <w:szCs w:val="19"/>
          <w:color w:val="auto"/>
        </w:rPr>
        <w:t>chairperson of the Audit Committee. All other communications will be provided to the individual Directors or group of Directors to whom they are addressed. Communications that are considered to be improper for submission to the intended recipients will not be provided to the directors. Examples of communications that would be considered improper for submission include, without limitation, solicitations, routine Customer matters, communications that do not relate, directly or indirectly, to our business and communications that relate to improper or irrelevant topics.</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Insider Trading Policy</w:t>
      </w:r>
    </w:p>
    <w:p>
      <w:pPr>
        <w:spacing w:after="0" w:line="92" w:lineRule="exact"/>
        <w:rPr>
          <w:sz w:val="20"/>
          <w:szCs w:val="20"/>
          <w:color w:val="auto"/>
        </w:rPr>
      </w:pPr>
    </w:p>
    <w:p>
      <w:pPr>
        <w:ind w:left="340" w:right="40"/>
        <w:spacing w:after="0" w:line="231" w:lineRule="auto"/>
        <w:rPr>
          <w:sz w:val="20"/>
          <w:szCs w:val="20"/>
          <w:color w:val="auto"/>
        </w:rPr>
      </w:pPr>
      <w:r>
        <w:rPr>
          <w:rFonts w:ascii="Arial" w:cs="Arial" w:eastAsia="Arial" w:hAnsi="Arial"/>
          <w:sz w:val="19"/>
          <w:szCs w:val="19"/>
          <w:color w:val="auto"/>
        </w:rPr>
        <w:t>The Company maintains an Insider Trading Policy that it believes is reasonably designed to promote compliance with insider trading laws, rules and regulations by restricting certain activities in or relating to Company securities by Directors, executive officers and employees, and their respective related persons. These restrictions include advance clearance requirements for Directors, executive officers and certain other employees for all transactions as well as “blackout” provisions. The Insider Trading Policy also includes a blanket prohibition that prevents Directors, executive officers, employees and their respective related persons from purchasing financial instruments (including prepaid variable forward contracts, equity swaps, collars or exchange funds), or otherwise engaging in transactions, that hedge or offset, or are designed to hedge or offset, decreases in the market value of the Company’s securities, whether granted as part of compensation to, or otherwise held directly or indirectly by, such Director, executive officer, employee or their respective related persons. The Insider Trading Policy further prohibits other types of speculative transactions in Company securities, including short-term trading, short sales, option trading and pledging (including margin purchases of Company stock). In addition, certain employees are subject to officer stock ownership policies. See “Compensation Governance—Officer Stock Ownership Policy” for more information.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Ethics and Compliance</w:t>
      </w:r>
    </w:p>
    <w:p>
      <w:pPr>
        <w:spacing w:after="0" w:line="92" w:lineRule="exact"/>
        <w:rPr>
          <w:sz w:val="20"/>
          <w:szCs w:val="20"/>
          <w:color w:val="auto"/>
        </w:rPr>
      </w:pPr>
    </w:p>
    <w:p>
      <w:pPr>
        <w:ind w:left="340"/>
        <w:spacing w:after="0" w:line="231" w:lineRule="auto"/>
        <w:rPr>
          <w:sz w:val="20"/>
          <w:szCs w:val="20"/>
          <w:color w:val="auto"/>
        </w:rPr>
      </w:pPr>
      <w:r>
        <w:rPr>
          <w:rFonts w:ascii="Arial" w:cs="Arial" w:eastAsia="Arial" w:hAnsi="Arial"/>
          <w:sz w:val="19"/>
          <w:szCs w:val="19"/>
          <w:color w:val="auto"/>
        </w:rPr>
        <w:t>The Company is committed to conducting its business fairly, honorably and with integrity wherever it operates. The Company’s Code of Business Conduct sets the standard for legal and ethical behavior, addressing topics such as bribery and corruption, supply chain transparency, proper behavior in the workplace, and avoiding conflicts of interest. Employees have been instructed that if they have any questions or concerns about compliance with the Company’s Policies, applicable laws, or principles as outlined in the STERIS Code of Business Conduct, or are unsure of the “right thing” to do, they should talk with their supervisor, their local or Corporate Human Resources department personnel, STERIS’s Chief Compliance and Quality Officer, or the STERIS Legal Department, or submit a report to the STERIS Ethics Line. The STERIS Ethics Line does not replace other communication channels already in place. However, if employees have an issue regarding an ethics or compliance-related matter that they believe they cannot communicate effectively using existing internal channels, they are instructed by the Code of Business Conduct to call the STERIS Ethics Line. Reports on the STERIS Ethics Line may be made anonymously and without reprisals for matters reported in good faith.</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37</w:t>
      </w:r>
    </w:p>
    <w:p>
      <w:pPr>
        <w:sectPr>
          <w:pgSz w:w="11900" w:h="16838" w:orient="portrait"/>
          <w:cols w:equalWidth="0" w:num="1">
            <w:col w:w="10900"/>
          </w:cols>
          <w:pgMar w:left="320" w:top="469" w:right="6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8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Board of Directors Information: </w:t>
      </w:r>
      <w:r>
        <w:rPr>
          <w:rFonts w:ascii="Arial" w:cs="Arial" w:eastAsia="Arial" w:hAnsi="Arial"/>
          <w:sz w:val="15"/>
          <w:szCs w:val="15"/>
          <w:b w:val="1"/>
          <w:bCs w:val="1"/>
          <w:color w:val="000000"/>
        </w:rPr>
        <w:t>Governance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Corporate Responsibility</w:t>
      </w:r>
    </w:p>
    <w:p>
      <w:pPr>
        <w:spacing w:after="0" w:line="92" w:lineRule="exact"/>
        <w:rPr>
          <w:sz w:val="20"/>
          <w:szCs w:val="20"/>
          <w:color w:val="auto"/>
        </w:rPr>
      </w:pPr>
    </w:p>
    <w:p>
      <w:pPr>
        <w:ind w:left="340" w:right="80"/>
        <w:spacing w:after="0" w:line="236" w:lineRule="auto"/>
        <w:rPr>
          <w:sz w:val="20"/>
          <w:szCs w:val="20"/>
          <w:color w:val="auto"/>
        </w:rPr>
      </w:pPr>
      <w:r>
        <w:rPr>
          <w:rFonts w:ascii="Arial" w:cs="Arial" w:eastAsia="Arial" w:hAnsi="Arial"/>
          <w:sz w:val="19"/>
          <w:szCs w:val="19"/>
          <w:color w:val="auto"/>
        </w:rPr>
        <w:t>WE HELP OUR CUSTOMERS CREATE A HEALTHIER AND SAFER WORLD by providing innovative healthcare and life science products and services around the globe. Inspired by our Customers’ efforts to create a healthier and safer world, and guided by our legacy of leadership and innovation, we strive to be a great Company. To STERIS, this means we will make a difference by providing world-class products and services for our Customers, safe and rewarding work for our People, and superior returns for our Shareholders.</w:t>
      </w:r>
    </w:p>
    <w:p>
      <w:pPr>
        <w:spacing w:after="0" w:line="169" w:lineRule="exact"/>
        <w:rPr>
          <w:sz w:val="20"/>
          <w:szCs w:val="20"/>
          <w:color w:val="auto"/>
        </w:rPr>
      </w:pPr>
    </w:p>
    <w:p>
      <w:pPr>
        <w:ind w:left="340" w:right="80"/>
        <w:spacing w:after="0" w:line="232" w:lineRule="auto"/>
        <w:rPr>
          <w:sz w:val="20"/>
          <w:szCs w:val="20"/>
          <w:color w:val="auto"/>
        </w:rPr>
      </w:pPr>
      <w:r>
        <w:rPr>
          <w:rFonts w:ascii="Arial" w:cs="Arial" w:eastAsia="Arial" w:hAnsi="Arial"/>
          <w:sz w:val="19"/>
          <w:szCs w:val="19"/>
          <w:color w:val="auto"/>
        </w:rPr>
        <w:t>The Corporate Responsibility function is led by the Vice President, Corporate Responsibility and Safety. The Corporate Responsibility function, with support from our CEO, General Counsel and other senior executives, works to actively develop and refine our environmental, social and governance (“ESG”) strategies, programs, and policies. The Corporate Responsibility function works closely with our Global Sustainability Steering Committee to build ESG values and implement strategies, programs, and policies across the Company. The Global Sustainability Steering Committee is a cross-functional team of senior leadership, subcommittee chairs, and subject matter experts spanning our businesses and Legal, Investor Relations, Human Resources, Continuous Improvement, Compliance, Facilities, and Health, Safety and Environment functions. The Corporate Responsibility team regularly updates the Nominating and Governance Committee of our Board of Directors regarding its activities, including evaluating carbon emissions, preparing for regulatory requirements, reporting ESG metrics, and reviewing ESG ratings.</w:t>
      </w:r>
    </w:p>
    <w:p>
      <w:pPr>
        <w:spacing w:after="0" w:line="167" w:lineRule="exact"/>
        <w:rPr>
          <w:sz w:val="20"/>
          <w:szCs w:val="20"/>
          <w:color w:val="auto"/>
        </w:rPr>
      </w:pPr>
    </w:p>
    <w:p>
      <w:pPr>
        <w:ind w:left="340" w:right="160"/>
        <w:spacing w:after="0" w:line="256" w:lineRule="auto"/>
        <w:rPr>
          <w:sz w:val="20"/>
          <w:szCs w:val="20"/>
          <w:color w:val="auto"/>
        </w:rPr>
      </w:pPr>
      <w:r>
        <w:rPr>
          <w:rFonts w:ascii="Arial" w:cs="Arial" w:eastAsia="Arial" w:hAnsi="Arial"/>
          <w:sz w:val="18"/>
          <w:szCs w:val="18"/>
          <w:color w:val="auto"/>
        </w:rPr>
        <w:t xml:space="preserve">For a more detailed discussion of some of the Company’s Corporate Responsibility, Sustainability and related efforts, including environmental health and safety and energy and conservation, please refer to the Company’s Annual Report on Form 10-K and the sustainability section of </w:t>
      </w:r>
      <w:r>
        <w:rPr>
          <w:rFonts w:ascii="Arial" w:cs="Arial" w:eastAsia="Arial" w:hAnsi="Arial"/>
          <w:sz w:val="18"/>
          <w:szCs w:val="18"/>
          <w:u w:val="single" w:color="auto"/>
          <w:color w:val="auto"/>
        </w:rPr>
        <w:t>steris.com</w:t>
      </w:r>
      <w:r>
        <w:rPr>
          <w:rFonts w:ascii="Arial" w:cs="Arial" w:eastAsia="Arial" w:hAnsi="Arial"/>
          <w:sz w:val="18"/>
          <w:szCs w:val="18"/>
          <w:color w:val="auto"/>
        </w:rPr>
        <w:t xml:space="preserve">. Information available on or through the Company’s Annual Report on Form 10-K and information available at </w:t>
      </w:r>
      <w:r>
        <w:rPr>
          <w:rFonts w:ascii="Arial" w:cs="Arial" w:eastAsia="Arial" w:hAnsi="Arial"/>
          <w:sz w:val="18"/>
          <w:szCs w:val="18"/>
          <w:u w:val="single" w:color="auto"/>
          <w:color w:val="auto"/>
        </w:rPr>
        <w:t>steris.com</w:t>
      </w:r>
      <w:r>
        <w:rPr>
          <w:rFonts w:ascii="Arial" w:cs="Arial" w:eastAsia="Arial" w:hAnsi="Arial"/>
          <w:sz w:val="18"/>
          <w:szCs w:val="18"/>
          <w:color w:val="auto"/>
        </w:rPr>
        <w:t xml:space="preserve"> is not part of this Proxy Statement unless specifically incorporated herein.</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49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Board of Directors Information: </w:t>
      </w:r>
      <w:r>
        <w:rPr>
          <w:rFonts w:ascii="Arial" w:cs="Arial" w:eastAsia="Arial" w:hAnsi="Arial"/>
          <w:sz w:val="15"/>
          <w:szCs w:val="15"/>
          <w:b w:val="1"/>
          <w:bCs w:val="1"/>
          <w:color w:val="000000"/>
        </w:rPr>
        <w:t>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Independent Registered Public Accounting Firm</w:t>
      </w:r>
    </w:p>
    <w:p>
      <w:pPr>
        <w:spacing w:after="0" w:line="114" w:lineRule="exact"/>
        <w:rPr>
          <w:sz w:val="20"/>
          <w:szCs w:val="20"/>
          <w:color w:val="auto"/>
        </w:rPr>
      </w:pPr>
    </w:p>
    <w:p>
      <w:pPr>
        <w:ind w:left="340" w:right="160"/>
        <w:spacing w:after="0" w:line="236" w:lineRule="auto"/>
        <w:rPr>
          <w:sz w:val="20"/>
          <w:szCs w:val="20"/>
          <w:color w:val="auto"/>
        </w:rPr>
      </w:pPr>
      <w:r>
        <w:rPr>
          <w:rFonts w:ascii="Arial" w:cs="Arial" w:eastAsia="Arial" w:hAnsi="Arial"/>
          <w:sz w:val="19"/>
          <w:szCs w:val="19"/>
          <w:color w:val="auto"/>
        </w:rPr>
        <w:t>Ernst &amp; Young LLP was appointed as the Company’s independent registered public accounting firm for the fiscal year ended March 31, 2026, by the Audit Committee of the Board of Directors, which appointment was ratified by the shareholders on July 31, 2025. The lead audit partner from Ernst &amp; Young LLP is expected to be present at the Annual Meeting and will be given an opportunity to make a statement if desired and to answer appropriate questions with respect to that firm’s audit of the Company’s financial statements and records for the fiscal year ended March 31, 2026.</w:t>
      </w:r>
    </w:p>
    <w:p>
      <w:pPr>
        <w:spacing w:after="0" w:line="169" w:lineRule="exact"/>
        <w:rPr>
          <w:sz w:val="20"/>
          <w:szCs w:val="20"/>
          <w:color w:val="auto"/>
        </w:rPr>
      </w:pPr>
    </w:p>
    <w:p>
      <w:pPr>
        <w:ind w:left="340" w:right="180"/>
        <w:spacing w:after="0" w:line="252" w:lineRule="auto"/>
        <w:rPr>
          <w:sz w:val="20"/>
          <w:szCs w:val="20"/>
          <w:color w:val="auto"/>
        </w:rPr>
      </w:pPr>
      <w:r>
        <w:rPr>
          <w:rFonts w:ascii="Arial" w:cs="Arial" w:eastAsia="Arial" w:hAnsi="Arial"/>
          <w:sz w:val="18"/>
          <w:szCs w:val="18"/>
          <w:color w:val="auto"/>
        </w:rPr>
        <w:t>During fiscal 2026, the Audit Committee regularly evaluated the services provided by Ernst &amp; Young LLP. The Audit Committee discussed the services of Ernst &amp; Young LLP privately with the Senior Vice President and Chief Financial Officer (“CFO”) outside of the presence of the firm, separately with the Chief Compliance and Quality Officer (who is responsible for Internal Audit), outside the presence of the firm and the CFO, and with the firm outside the presence of the foregoing individuals. These discussions generally occurred at each regular Audit Committee meeting, as well as at other times.</w:t>
      </w:r>
    </w:p>
    <w:p>
      <w:pPr>
        <w:spacing w:after="0" w:line="157" w:lineRule="exact"/>
        <w:rPr>
          <w:sz w:val="20"/>
          <w:szCs w:val="20"/>
          <w:color w:val="auto"/>
        </w:rPr>
      </w:pPr>
    </w:p>
    <w:p>
      <w:pPr>
        <w:ind w:left="340"/>
        <w:spacing w:after="0" w:line="233" w:lineRule="auto"/>
        <w:rPr>
          <w:sz w:val="20"/>
          <w:szCs w:val="20"/>
          <w:color w:val="auto"/>
        </w:rPr>
      </w:pPr>
      <w:r>
        <w:rPr>
          <w:rFonts w:ascii="Arial" w:cs="Arial" w:eastAsia="Arial" w:hAnsi="Arial"/>
          <w:sz w:val="19"/>
          <w:szCs w:val="19"/>
          <w:color w:val="auto"/>
        </w:rPr>
        <w:t>As part of the independent registered public accounting firm appointment process for fiscal 2026, the Audit Committee conducted, with the assistance of an independent third party and the Nominating and Governance Committee, a comprehensive formal evaluation of Ernst &amp; Young LLP. The evaluation included an assessment of the following categories: quality of services provided; sufficiency of audit firm resources; communication and interaction; and independence, objectivity and professional skepticism. This evaluation was performed individually by each member of the Audit Committee. Members of management who regularly interact with Ernst &amp; Young LLP also provide feedback regarding Ernst &amp; Young LLP to the Audit Committee. The Audit Committee reviewed and discussed the evaluation responses from the Committee members and from management.</w:t>
      </w:r>
    </w:p>
    <w:p>
      <w:pPr>
        <w:spacing w:after="0" w:line="168" w:lineRule="exact"/>
        <w:rPr>
          <w:sz w:val="20"/>
          <w:szCs w:val="20"/>
          <w:color w:val="auto"/>
        </w:rPr>
      </w:pPr>
    </w:p>
    <w:p>
      <w:pPr>
        <w:ind w:left="340"/>
        <w:spacing w:after="0" w:line="233" w:lineRule="auto"/>
        <w:rPr>
          <w:sz w:val="20"/>
          <w:szCs w:val="20"/>
          <w:color w:val="auto"/>
        </w:rPr>
      </w:pPr>
      <w:r>
        <w:rPr>
          <w:rFonts w:ascii="Arial" w:cs="Arial" w:eastAsia="Arial" w:hAnsi="Arial"/>
          <w:sz w:val="19"/>
          <w:szCs w:val="19"/>
          <w:color w:val="auto"/>
        </w:rPr>
        <w:t>Also, as part of its annual independent auditor appointment process, the Audit Committee considers whether to rotate its independent registered public accounting firm. Ernst &amp; Young LLP has been the Company’s independent registered public accounting firm since the end of fiscal 2019 and was the independent registered public accounting firm for Old STERIS from the Combination until the Redomiciliation (and was first retained by the predecessor entity of Old STERIS, STERIS Corporation, beginning with the 1989 fiscal year). Ernst &amp; Young LLP rotates its lead audit partner every five years. The Audit Committee interviews candidates proposed by Ernst &amp; Young LLP and selects the lead audit partner from the proposed candidates. There are significant benefits to having an independent registered public accounting firm with an extensive history with the Company. These include:</w:t>
      </w:r>
    </w:p>
    <w:p>
      <w:pPr>
        <w:spacing w:after="0" w:line="194" w:lineRule="exact"/>
        <w:rPr>
          <w:sz w:val="20"/>
          <w:szCs w:val="20"/>
          <w:color w:val="auto"/>
        </w:rPr>
      </w:pPr>
    </w:p>
    <w:p>
      <w:pPr>
        <w:ind w:left="540" w:right="240" w:hanging="200"/>
        <w:spacing w:after="0" w:line="262" w:lineRule="auto"/>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Higher quality audit work and accounting advice, due to Ernst &amp; Young LLP’s institutional knowledge of our business and operations, accounting policies and financial systems, and internal control framework; and</w:t>
      </w:r>
    </w:p>
    <w:p>
      <w:pPr>
        <w:spacing w:after="0" w:line="170" w:lineRule="exact"/>
        <w:rPr>
          <w:rFonts w:ascii="Arial" w:cs="Arial" w:eastAsia="Arial" w:hAnsi="Arial"/>
          <w:sz w:val="19"/>
          <w:szCs w:val="19"/>
          <w:color w:val="auto"/>
        </w:rPr>
      </w:pPr>
    </w:p>
    <w:p>
      <w:pPr>
        <w:ind w:left="540" w:right="160" w:hanging="200"/>
        <w:spacing w:after="0" w:line="262" w:lineRule="auto"/>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Operational efficiencies and a resulting lower fee structure because of Ernst &amp; Young LLP’s history and familiarity with our business.</w:t>
      </w:r>
    </w:p>
    <w:p>
      <w:pPr>
        <w:spacing w:after="0" w:line="145" w:lineRule="exact"/>
        <w:rPr>
          <w:sz w:val="20"/>
          <w:szCs w:val="20"/>
          <w:color w:val="auto"/>
        </w:rPr>
      </w:pPr>
    </w:p>
    <w:p>
      <w:pPr>
        <w:ind w:left="340" w:right="80"/>
        <w:spacing w:after="0" w:line="262" w:lineRule="auto"/>
        <w:rPr>
          <w:sz w:val="20"/>
          <w:szCs w:val="20"/>
          <w:color w:val="auto"/>
        </w:rPr>
      </w:pPr>
      <w:r>
        <w:rPr>
          <w:rFonts w:ascii="Arial" w:cs="Arial" w:eastAsia="Arial" w:hAnsi="Arial"/>
          <w:sz w:val="19"/>
          <w:szCs w:val="19"/>
          <w:color w:val="auto"/>
        </w:rPr>
        <w:t>The Audit Committee has adopted policies and procedures that are intended to control the non-audit or audit related services provided by Ernst &amp; Young LLP and to monitor their continuing independence.</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39</w:t>
      </w:r>
    </w:p>
    <w:p>
      <w:pPr>
        <w:sectPr>
          <w:pgSz w:w="11900" w:h="16838" w:orient="portrait"/>
          <w:cols w:equalWidth="0" w:num="1">
            <w:col w:w="10900"/>
          </w:cols>
          <w:pgMar w:left="320" w:top="469" w:right="6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49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Board of Directors Information: </w:t>
      </w:r>
      <w:r>
        <w:rPr>
          <w:rFonts w:ascii="Arial" w:cs="Arial" w:eastAsia="Arial" w:hAnsi="Arial"/>
          <w:sz w:val="15"/>
          <w:szCs w:val="15"/>
          <w:b w:val="1"/>
          <w:bCs w:val="1"/>
          <w:color w:val="000000"/>
        </w:rPr>
        <w:t>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60"/>
        <w:spacing w:after="0" w:line="265" w:lineRule="auto"/>
        <w:rPr>
          <w:sz w:val="20"/>
          <w:szCs w:val="20"/>
          <w:color w:val="auto"/>
        </w:rPr>
      </w:pPr>
      <w:r>
        <w:rPr>
          <w:rFonts w:ascii="Arial" w:cs="Arial" w:eastAsia="Arial" w:hAnsi="Arial"/>
          <w:sz w:val="18"/>
          <w:szCs w:val="18"/>
          <w:color w:val="auto"/>
        </w:rPr>
        <w:t>Under these policies, the Audit Committee must pre-approve all services performed by Ernst &amp; Young LLP. In addition, the Audit Committee may delegate authority to grant certain pre -approvals to a member of the Committee. Pre-approvals granted by a member of the Audit Committee are reported to the full Audit Committee at its next regularly scheduled meeting.</w:t>
      </w:r>
    </w:p>
    <w:p>
      <w:pPr>
        <w:spacing w:after="0" w:line="143" w:lineRule="exact"/>
        <w:rPr>
          <w:sz w:val="20"/>
          <w:szCs w:val="20"/>
          <w:color w:val="auto"/>
        </w:rPr>
      </w:pPr>
    </w:p>
    <w:p>
      <w:pPr>
        <w:ind w:left="340" w:right="380"/>
        <w:spacing w:after="0" w:line="262" w:lineRule="auto"/>
        <w:rPr>
          <w:sz w:val="20"/>
          <w:szCs w:val="20"/>
          <w:color w:val="auto"/>
        </w:rPr>
      </w:pPr>
      <w:r>
        <w:rPr>
          <w:rFonts w:ascii="Arial" w:cs="Arial" w:eastAsia="Arial" w:hAnsi="Arial"/>
          <w:sz w:val="19"/>
          <w:szCs w:val="19"/>
          <w:color w:val="auto"/>
        </w:rPr>
        <w:t>The aggregate fees for professional services by Ernst &amp; Young LLP for the Company for the fiscal years ended March 31, 2026 and March 31, 2025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121920</wp:posOffset>
            </wp:positionV>
            <wp:extent cx="6718300" cy="4851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18300" cy="485140"/>
                    </a:xfrm>
                    <a:prstGeom prst="rect">
                      <a:avLst/>
                    </a:prstGeom>
                    <a:noFill/>
                  </pic:spPr>
                </pic:pic>
              </a:graphicData>
            </a:graphic>
          </wp:anchor>
        </w:drawing>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31"/>
        </w:trPr>
        <w:tc>
          <w:tcPr>
            <w:tcW w:w="8180" w:type="dxa"/>
            <w:vAlign w:val="bottom"/>
            <w:shd w:val="clear" w:color="auto" w:fill="3E8EDE"/>
          </w:tcPr>
          <w:p>
            <w:pPr>
              <w:spacing w:after="0"/>
              <w:rPr>
                <w:sz w:val="20"/>
                <w:szCs w:val="20"/>
                <w:color w:val="auto"/>
              </w:rPr>
            </w:pPr>
          </w:p>
        </w:tc>
        <w:tc>
          <w:tcPr>
            <w:tcW w:w="480" w:type="dxa"/>
            <w:vAlign w:val="bottom"/>
            <w:shd w:val="clear" w:color="auto" w:fill="3E8EDE"/>
          </w:tcPr>
          <w:p>
            <w:pPr>
              <w:spacing w:after="0"/>
              <w:rPr>
                <w:sz w:val="20"/>
                <w:szCs w:val="20"/>
                <w:color w:val="auto"/>
              </w:rPr>
            </w:pPr>
          </w:p>
        </w:tc>
        <w:tc>
          <w:tcPr>
            <w:tcW w:w="1900" w:type="dxa"/>
            <w:vAlign w:val="bottom"/>
            <w:gridSpan w:val="3"/>
            <w:shd w:val="clear" w:color="auto" w:fill="3E8EDE"/>
          </w:tcPr>
          <w:p>
            <w:pPr>
              <w:jc w:val="right"/>
              <w:ind w:right="297"/>
              <w:spacing w:after="0"/>
              <w:rPr>
                <w:sz w:val="20"/>
                <w:szCs w:val="20"/>
                <w:color w:val="auto"/>
              </w:rPr>
            </w:pPr>
            <w:r>
              <w:rPr>
                <w:rFonts w:ascii="Arial" w:cs="Arial" w:eastAsia="Arial" w:hAnsi="Arial"/>
                <w:sz w:val="14"/>
                <w:szCs w:val="14"/>
                <w:b w:val="1"/>
                <w:bCs w:val="1"/>
                <w:color w:val="FFFFFF"/>
                <w:w w:val="97"/>
              </w:rPr>
              <w:t>Years Ended March 31,</w:t>
            </w:r>
          </w:p>
        </w:tc>
      </w:tr>
      <w:tr>
        <w:trPr>
          <w:trHeight w:val="246"/>
        </w:trPr>
        <w:tc>
          <w:tcPr>
            <w:tcW w:w="8180" w:type="dxa"/>
            <w:vAlign w:val="bottom"/>
            <w:shd w:val="clear" w:color="auto" w:fill="3E8EDE"/>
          </w:tcPr>
          <w:p>
            <w:pPr>
              <w:spacing w:after="0"/>
              <w:rPr>
                <w:sz w:val="21"/>
                <w:szCs w:val="21"/>
                <w:color w:val="auto"/>
              </w:rPr>
            </w:pPr>
          </w:p>
        </w:tc>
        <w:tc>
          <w:tcPr>
            <w:tcW w:w="480" w:type="dxa"/>
            <w:vAlign w:val="bottom"/>
            <w:shd w:val="clear" w:color="auto" w:fill="3E8EDE"/>
          </w:tcPr>
          <w:p>
            <w:pPr>
              <w:jc w:val="right"/>
              <w:spacing w:after="0"/>
              <w:rPr>
                <w:sz w:val="20"/>
                <w:szCs w:val="20"/>
                <w:color w:val="auto"/>
              </w:rPr>
            </w:pPr>
            <w:r>
              <w:rPr>
                <w:rFonts w:ascii="Arial" w:cs="Arial" w:eastAsia="Arial" w:hAnsi="Arial"/>
                <w:sz w:val="14"/>
                <w:szCs w:val="14"/>
                <w:b w:val="1"/>
                <w:bCs w:val="1"/>
                <w:color w:val="FFFFFF"/>
              </w:rPr>
              <w:t> </w:t>
            </w:r>
          </w:p>
        </w:tc>
        <w:tc>
          <w:tcPr>
            <w:tcW w:w="760" w:type="dxa"/>
            <w:vAlign w:val="bottom"/>
            <w:shd w:val="clear" w:color="auto" w:fill="3E8EDE"/>
          </w:tcPr>
          <w:p>
            <w:pPr>
              <w:jc w:val="right"/>
              <w:ind w:right="320"/>
              <w:spacing w:after="0"/>
              <w:rPr>
                <w:sz w:val="20"/>
                <w:szCs w:val="20"/>
                <w:color w:val="auto"/>
              </w:rPr>
            </w:pPr>
            <w:r>
              <w:rPr>
                <w:rFonts w:ascii="Arial" w:cs="Arial" w:eastAsia="Arial" w:hAnsi="Arial"/>
                <w:sz w:val="14"/>
                <w:szCs w:val="14"/>
                <w:b w:val="1"/>
                <w:bCs w:val="1"/>
                <w:color w:val="FFFFFF"/>
                <w:w w:val="75"/>
              </w:rPr>
              <w:t>2026 </w:t>
            </w:r>
          </w:p>
        </w:tc>
        <w:tc>
          <w:tcPr>
            <w:tcW w:w="440" w:type="dxa"/>
            <w:vAlign w:val="bottom"/>
            <w:shd w:val="clear" w:color="auto" w:fill="3E8EDE"/>
          </w:tcPr>
          <w:p>
            <w:pPr>
              <w:ind w:left="320"/>
              <w:spacing w:after="0"/>
              <w:rPr>
                <w:sz w:val="20"/>
                <w:szCs w:val="20"/>
                <w:color w:val="auto"/>
              </w:rPr>
            </w:pPr>
            <w:r>
              <w:rPr>
                <w:rFonts w:ascii="Arial" w:cs="Arial" w:eastAsia="Arial" w:hAnsi="Arial"/>
                <w:sz w:val="14"/>
                <w:szCs w:val="14"/>
                <w:b w:val="1"/>
                <w:bCs w:val="1"/>
                <w:color w:val="FFFFFF"/>
                <w:w w:val="71"/>
              </w:rPr>
              <w:t> </w:t>
            </w:r>
          </w:p>
        </w:tc>
        <w:tc>
          <w:tcPr>
            <w:tcW w:w="700" w:type="dxa"/>
            <w:vAlign w:val="bottom"/>
            <w:shd w:val="clear" w:color="auto" w:fill="3E8EDE"/>
          </w:tcPr>
          <w:p>
            <w:pPr>
              <w:jc w:val="right"/>
              <w:ind w:right="297"/>
              <w:spacing w:after="0"/>
              <w:rPr>
                <w:sz w:val="20"/>
                <w:szCs w:val="20"/>
                <w:color w:val="auto"/>
              </w:rPr>
            </w:pPr>
            <w:r>
              <w:rPr>
                <w:rFonts w:ascii="Arial" w:cs="Arial" w:eastAsia="Arial" w:hAnsi="Arial"/>
                <w:sz w:val="14"/>
                <w:szCs w:val="14"/>
                <w:b w:val="1"/>
                <w:bCs w:val="1"/>
                <w:color w:val="FFFFFF"/>
                <w:w w:val="96"/>
              </w:rPr>
              <w:t>2025</w:t>
            </w:r>
          </w:p>
        </w:tc>
      </w:tr>
      <w:tr>
        <w:trPr>
          <w:trHeight w:val="261"/>
        </w:trPr>
        <w:tc>
          <w:tcPr>
            <w:tcW w:w="8180" w:type="dxa"/>
            <w:vAlign w:val="bottom"/>
            <w:shd w:val="clear" w:color="auto" w:fill="3E8EDE"/>
          </w:tcPr>
          <w:p>
            <w:pPr>
              <w:spacing w:after="0"/>
              <w:rPr>
                <w:sz w:val="20"/>
                <w:szCs w:val="20"/>
                <w:color w:val="auto"/>
              </w:rPr>
            </w:pPr>
            <w:r>
              <w:rPr>
                <w:rFonts w:ascii="Arial" w:cs="Arial" w:eastAsia="Arial" w:hAnsi="Arial"/>
                <w:sz w:val="14"/>
                <w:szCs w:val="14"/>
                <w:b w:val="1"/>
                <w:bCs w:val="1"/>
                <w:color w:val="FFFFFF"/>
              </w:rPr>
              <w:t>  Type of Fees</w:t>
            </w:r>
          </w:p>
        </w:tc>
        <w:tc>
          <w:tcPr>
            <w:tcW w:w="480" w:type="dxa"/>
            <w:vAlign w:val="bottom"/>
            <w:shd w:val="clear" w:color="auto" w:fill="3E8EDE"/>
          </w:tcPr>
          <w:p>
            <w:pPr>
              <w:spacing w:after="0"/>
              <w:rPr>
                <w:sz w:val="22"/>
                <w:szCs w:val="22"/>
                <w:color w:val="auto"/>
              </w:rPr>
            </w:pPr>
          </w:p>
        </w:tc>
        <w:tc>
          <w:tcPr>
            <w:tcW w:w="1900" w:type="dxa"/>
            <w:vAlign w:val="bottom"/>
            <w:gridSpan w:val="3"/>
            <w:shd w:val="clear" w:color="auto" w:fill="3E8EDE"/>
          </w:tcPr>
          <w:p>
            <w:pPr>
              <w:jc w:val="right"/>
              <w:ind w:right="577"/>
              <w:spacing w:after="0"/>
              <w:rPr>
                <w:sz w:val="20"/>
                <w:szCs w:val="20"/>
                <w:color w:val="auto"/>
              </w:rPr>
            </w:pPr>
            <w:r>
              <w:rPr>
                <w:rFonts w:ascii="Arial" w:cs="Arial" w:eastAsia="Arial" w:hAnsi="Arial"/>
                <w:sz w:val="14"/>
                <w:szCs w:val="14"/>
                <w:b w:val="1"/>
                <w:bCs w:val="1"/>
                <w:color w:val="FFFFFF"/>
              </w:rPr>
              <w:t>(in thousands)</w:t>
            </w:r>
          </w:p>
        </w:tc>
      </w:tr>
      <w:tr>
        <w:trPr>
          <w:trHeight w:val="272"/>
        </w:trPr>
        <w:tc>
          <w:tcPr>
            <w:tcW w:w="8180" w:type="dxa"/>
            <w:vAlign w:val="bottom"/>
            <w:shd w:val="clear" w:color="auto" w:fill="E2EEFA"/>
          </w:tcPr>
          <w:p>
            <w:pPr>
              <w:spacing w:after="0"/>
              <w:rPr>
                <w:sz w:val="20"/>
                <w:szCs w:val="20"/>
                <w:color w:val="auto"/>
              </w:rPr>
            </w:pPr>
            <w:r>
              <w:rPr>
                <w:rFonts w:ascii="Arial" w:cs="Arial" w:eastAsia="Arial" w:hAnsi="Arial"/>
                <w:sz w:val="17"/>
                <w:szCs w:val="17"/>
                <w:color w:val="auto"/>
              </w:rPr>
              <w:t> Audit Fees</w:t>
            </w:r>
          </w:p>
        </w:tc>
        <w:tc>
          <w:tcPr>
            <w:tcW w:w="48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2EEFA"/>
          </w:tcPr>
          <w:p>
            <w:pPr>
              <w:jc w:val="right"/>
              <w:ind w:right="240"/>
              <w:spacing w:after="0"/>
              <w:rPr>
                <w:sz w:val="20"/>
                <w:szCs w:val="20"/>
                <w:color w:val="auto"/>
              </w:rPr>
            </w:pPr>
            <w:r>
              <w:rPr>
                <w:rFonts w:ascii="Arial" w:cs="Arial" w:eastAsia="Arial" w:hAnsi="Arial"/>
                <w:sz w:val="17"/>
                <w:szCs w:val="17"/>
                <w:color w:val="auto"/>
                <w:w w:val="98"/>
              </w:rPr>
              <w:t>5,790</w:t>
            </w:r>
          </w:p>
        </w:tc>
        <w:tc>
          <w:tcPr>
            <w:tcW w:w="440" w:type="dxa"/>
            <w:vAlign w:val="bottom"/>
            <w:shd w:val="clear" w:color="auto" w:fill="E2EEFA"/>
          </w:tcPr>
          <w:p>
            <w:pPr>
              <w:ind w:left="34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E2EEFA"/>
          </w:tcPr>
          <w:p>
            <w:pPr>
              <w:jc w:val="right"/>
              <w:ind w:right="177"/>
              <w:spacing w:after="0"/>
              <w:rPr>
                <w:sz w:val="20"/>
                <w:szCs w:val="20"/>
                <w:color w:val="auto"/>
              </w:rPr>
            </w:pPr>
            <w:r>
              <w:rPr>
                <w:rFonts w:ascii="Arial" w:cs="Arial" w:eastAsia="Arial" w:hAnsi="Arial"/>
                <w:sz w:val="17"/>
                <w:szCs w:val="17"/>
                <w:color w:val="auto"/>
                <w:w w:val="98"/>
              </w:rPr>
              <w:t>6,046</w:t>
            </w:r>
          </w:p>
        </w:tc>
      </w:tr>
      <w:tr>
        <w:trPr>
          <w:trHeight w:val="267"/>
        </w:trPr>
        <w:tc>
          <w:tcPr>
            <w:tcW w:w="8180" w:type="dxa"/>
            <w:vAlign w:val="bottom"/>
          </w:tcPr>
          <w:p>
            <w:pPr>
              <w:spacing w:after="0"/>
              <w:rPr>
                <w:sz w:val="20"/>
                <w:szCs w:val="20"/>
                <w:color w:val="auto"/>
              </w:rPr>
            </w:pPr>
            <w:r>
              <w:rPr>
                <w:rFonts w:ascii="Arial" w:cs="Arial" w:eastAsia="Arial" w:hAnsi="Arial"/>
                <w:sz w:val="17"/>
                <w:szCs w:val="17"/>
                <w:color w:val="auto"/>
              </w:rPr>
              <w:t> Audit-Related Fees</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40"/>
              <w:spacing w:after="0"/>
              <w:rPr>
                <w:sz w:val="20"/>
                <w:szCs w:val="20"/>
                <w:color w:val="auto"/>
              </w:rPr>
            </w:pPr>
            <w:r>
              <w:rPr>
                <w:rFonts w:ascii="Arial" w:cs="Arial" w:eastAsia="Arial" w:hAnsi="Arial"/>
                <w:sz w:val="17"/>
                <w:szCs w:val="17"/>
                <w:color w:val="auto"/>
              </w:rPr>
              <w:t>2</w:t>
            </w:r>
          </w:p>
        </w:tc>
        <w:tc>
          <w:tcPr>
            <w:tcW w:w="440" w:type="dxa"/>
            <w:vAlign w:val="bottom"/>
          </w:tcPr>
          <w:p>
            <w:pPr>
              <w:spacing w:after="0"/>
              <w:rPr>
                <w:sz w:val="23"/>
                <w:szCs w:val="23"/>
                <w:color w:val="auto"/>
              </w:rPr>
            </w:pPr>
          </w:p>
        </w:tc>
        <w:tc>
          <w:tcPr>
            <w:tcW w:w="700" w:type="dxa"/>
            <w:vAlign w:val="bottom"/>
          </w:tcPr>
          <w:p>
            <w:pPr>
              <w:jc w:val="right"/>
              <w:ind w:right="177"/>
              <w:spacing w:after="0"/>
              <w:rPr>
                <w:sz w:val="20"/>
                <w:szCs w:val="20"/>
                <w:color w:val="auto"/>
              </w:rPr>
            </w:pPr>
            <w:r>
              <w:rPr>
                <w:rFonts w:ascii="Arial" w:cs="Arial" w:eastAsia="Arial" w:hAnsi="Arial"/>
                <w:sz w:val="17"/>
                <w:szCs w:val="17"/>
                <w:color w:val="auto"/>
              </w:rPr>
              <w:t>—</w:t>
            </w:r>
          </w:p>
        </w:tc>
      </w:tr>
      <w:tr>
        <w:trPr>
          <w:trHeight w:val="277"/>
        </w:trPr>
        <w:tc>
          <w:tcPr>
            <w:tcW w:w="8180" w:type="dxa"/>
            <w:vAlign w:val="bottom"/>
            <w:shd w:val="clear" w:color="auto" w:fill="E2EEFA"/>
          </w:tcPr>
          <w:p>
            <w:pPr>
              <w:spacing w:after="0"/>
              <w:rPr>
                <w:sz w:val="20"/>
                <w:szCs w:val="20"/>
                <w:color w:val="auto"/>
              </w:rPr>
            </w:pPr>
            <w:r>
              <w:rPr>
                <w:rFonts w:ascii="Arial" w:cs="Arial" w:eastAsia="Arial" w:hAnsi="Arial"/>
                <w:sz w:val="17"/>
                <w:szCs w:val="17"/>
                <w:color w:val="auto"/>
              </w:rPr>
              <w:t> Tax Fees</w:t>
            </w:r>
          </w:p>
        </w:tc>
        <w:tc>
          <w:tcPr>
            <w:tcW w:w="48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2EEFA"/>
          </w:tcPr>
          <w:p>
            <w:pPr>
              <w:jc w:val="right"/>
              <w:ind w:right="240"/>
              <w:spacing w:after="0"/>
              <w:rPr>
                <w:sz w:val="20"/>
                <w:szCs w:val="20"/>
                <w:color w:val="auto"/>
              </w:rPr>
            </w:pPr>
            <w:r>
              <w:rPr>
                <w:rFonts w:ascii="Arial" w:cs="Arial" w:eastAsia="Arial" w:hAnsi="Arial"/>
                <w:sz w:val="17"/>
                <w:szCs w:val="17"/>
                <w:color w:val="auto"/>
              </w:rPr>
              <w:t>486</w:t>
            </w:r>
          </w:p>
        </w:tc>
        <w:tc>
          <w:tcPr>
            <w:tcW w:w="440" w:type="dxa"/>
            <w:vAlign w:val="bottom"/>
            <w:shd w:val="clear" w:color="auto" w:fill="E2EEFA"/>
          </w:tcPr>
          <w:p>
            <w:pPr>
              <w:ind w:left="34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E2EEFA"/>
          </w:tcPr>
          <w:p>
            <w:pPr>
              <w:jc w:val="right"/>
              <w:ind w:right="177"/>
              <w:spacing w:after="0"/>
              <w:rPr>
                <w:sz w:val="20"/>
                <w:szCs w:val="20"/>
                <w:color w:val="auto"/>
              </w:rPr>
            </w:pPr>
            <w:r>
              <w:rPr>
                <w:rFonts w:ascii="Arial" w:cs="Arial" w:eastAsia="Arial" w:hAnsi="Arial"/>
                <w:sz w:val="17"/>
                <w:szCs w:val="17"/>
                <w:color w:val="auto"/>
              </w:rPr>
              <w:t>211</w:t>
            </w:r>
          </w:p>
        </w:tc>
      </w:tr>
      <w:tr>
        <w:trPr>
          <w:trHeight w:val="267"/>
        </w:trPr>
        <w:tc>
          <w:tcPr>
            <w:tcW w:w="8180" w:type="dxa"/>
            <w:vAlign w:val="bottom"/>
            <w:tcBorders>
              <w:bottom w:val="single" w:sz="8" w:color="3E8EDE"/>
            </w:tcBorders>
          </w:tcPr>
          <w:p>
            <w:pPr>
              <w:spacing w:after="0"/>
              <w:rPr>
                <w:sz w:val="20"/>
                <w:szCs w:val="20"/>
                <w:color w:val="auto"/>
              </w:rPr>
            </w:pPr>
            <w:r>
              <w:rPr>
                <w:rFonts w:ascii="Arial" w:cs="Arial" w:eastAsia="Arial" w:hAnsi="Arial"/>
                <w:sz w:val="17"/>
                <w:szCs w:val="17"/>
                <w:color w:val="auto"/>
              </w:rPr>
              <w:t> All Other Fees</w:t>
            </w:r>
          </w:p>
        </w:tc>
        <w:tc>
          <w:tcPr>
            <w:tcW w:w="480" w:type="dxa"/>
            <w:vAlign w:val="bottom"/>
            <w:tcBorders>
              <w:bottom w:val="single" w:sz="8" w:color="3E8EDE"/>
            </w:tcBorders>
          </w:tcPr>
          <w:p>
            <w:pPr>
              <w:spacing w:after="0"/>
              <w:rPr>
                <w:sz w:val="23"/>
                <w:szCs w:val="23"/>
                <w:color w:val="auto"/>
              </w:rPr>
            </w:pPr>
          </w:p>
        </w:tc>
        <w:tc>
          <w:tcPr>
            <w:tcW w:w="760" w:type="dxa"/>
            <w:vAlign w:val="bottom"/>
            <w:tcBorders>
              <w:bottom w:val="single" w:sz="8" w:color="3E8EDE"/>
            </w:tcBorders>
          </w:tcPr>
          <w:p>
            <w:pPr>
              <w:jc w:val="right"/>
              <w:ind w:right="24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3E8EDE"/>
            </w:tcBorders>
          </w:tcPr>
          <w:p>
            <w:pPr>
              <w:spacing w:after="0"/>
              <w:rPr>
                <w:sz w:val="23"/>
                <w:szCs w:val="23"/>
                <w:color w:val="auto"/>
              </w:rPr>
            </w:pPr>
          </w:p>
        </w:tc>
        <w:tc>
          <w:tcPr>
            <w:tcW w:w="700" w:type="dxa"/>
            <w:vAlign w:val="bottom"/>
            <w:tcBorders>
              <w:bottom w:val="single" w:sz="8" w:color="3E8EDE"/>
            </w:tcBorders>
          </w:tcPr>
          <w:p>
            <w:pPr>
              <w:jc w:val="right"/>
              <w:ind w:right="177"/>
              <w:spacing w:after="0"/>
              <w:rPr>
                <w:sz w:val="20"/>
                <w:szCs w:val="20"/>
                <w:color w:val="auto"/>
              </w:rPr>
            </w:pPr>
            <w:r>
              <w:rPr>
                <w:rFonts w:ascii="Arial" w:cs="Arial" w:eastAsia="Arial" w:hAnsi="Arial"/>
                <w:sz w:val="17"/>
                <w:szCs w:val="17"/>
                <w:color w:val="auto"/>
              </w:rPr>
              <w:t>—</w:t>
            </w:r>
          </w:p>
        </w:tc>
      </w:tr>
      <w:tr>
        <w:trPr>
          <w:trHeight w:val="252"/>
        </w:trPr>
        <w:tc>
          <w:tcPr>
            <w:tcW w:w="8180" w:type="dxa"/>
            <w:vAlign w:val="bottom"/>
            <w:tcBorders>
              <w:bottom w:val="single" w:sz="8" w:color="3E8EDE"/>
            </w:tcBorders>
            <w:shd w:val="clear" w:color="auto" w:fill="E2EEFA"/>
          </w:tcPr>
          <w:p>
            <w:pPr>
              <w:spacing w:after="0"/>
              <w:rPr>
                <w:sz w:val="20"/>
                <w:szCs w:val="20"/>
                <w:color w:val="auto"/>
              </w:rPr>
            </w:pPr>
            <w:r>
              <w:rPr>
                <w:rFonts w:ascii="Arial" w:cs="Arial" w:eastAsia="Arial" w:hAnsi="Arial"/>
                <w:sz w:val="17"/>
                <w:szCs w:val="17"/>
                <w:color w:val="auto"/>
              </w:rPr>
              <w:t> Total</w:t>
            </w:r>
          </w:p>
        </w:tc>
        <w:tc>
          <w:tcPr>
            <w:tcW w:w="48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3E8EDE"/>
            </w:tcBorders>
            <w:shd w:val="clear" w:color="auto" w:fill="E2EEFA"/>
          </w:tcPr>
          <w:p>
            <w:pPr>
              <w:jc w:val="right"/>
              <w:ind w:right="240"/>
              <w:spacing w:after="0"/>
              <w:rPr>
                <w:sz w:val="20"/>
                <w:szCs w:val="20"/>
                <w:color w:val="auto"/>
              </w:rPr>
            </w:pPr>
            <w:r>
              <w:rPr>
                <w:rFonts w:ascii="Arial" w:cs="Arial" w:eastAsia="Arial" w:hAnsi="Arial"/>
                <w:sz w:val="17"/>
                <w:szCs w:val="17"/>
                <w:color w:val="auto"/>
                <w:w w:val="98"/>
              </w:rPr>
              <w:t>6,278</w:t>
            </w:r>
          </w:p>
        </w:tc>
        <w:tc>
          <w:tcPr>
            <w:tcW w:w="440" w:type="dxa"/>
            <w:vAlign w:val="bottom"/>
            <w:tcBorders>
              <w:bottom w:val="single" w:sz="8" w:color="3E8EDE"/>
            </w:tcBorders>
            <w:shd w:val="clear" w:color="auto" w:fill="E2EEFA"/>
          </w:tcPr>
          <w:p>
            <w:pPr>
              <w:ind w:left="340"/>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3E8EDE"/>
            </w:tcBorders>
            <w:shd w:val="clear" w:color="auto" w:fill="E2EEFA"/>
          </w:tcPr>
          <w:p>
            <w:pPr>
              <w:jc w:val="right"/>
              <w:ind w:right="177"/>
              <w:spacing w:after="0"/>
              <w:rPr>
                <w:sz w:val="20"/>
                <w:szCs w:val="20"/>
                <w:color w:val="auto"/>
              </w:rPr>
            </w:pPr>
            <w:r>
              <w:rPr>
                <w:rFonts w:ascii="Arial" w:cs="Arial" w:eastAsia="Arial" w:hAnsi="Arial"/>
                <w:sz w:val="17"/>
                <w:szCs w:val="17"/>
                <w:color w:val="auto"/>
                <w:w w:val="98"/>
              </w:rPr>
              <w:t>6,257</w:t>
            </w:r>
          </w:p>
        </w:tc>
      </w:tr>
    </w:tbl>
    <w:p>
      <w:pPr>
        <w:spacing w:after="0" w:line="186" w:lineRule="exact"/>
        <w:rPr>
          <w:sz w:val="20"/>
          <w:szCs w:val="20"/>
          <w:color w:val="auto"/>
        </w:rPr>
      </w:pPr>
    </w:p>
    <w:p>
      <w:pPr>
        <w:ind w:left="340" w:right="100"/>
        <w:spacing w:after="0" w:line="233" w:lineRule="auto"/>
        <w:rPr>
          <w:sz w:val="20"/>
          <w:szCs w:val="20"/>
          <w:color w:val="auto"/>
        </w:rPr>
      </w:pPr>
      <w:r>
        <w:rPr>
          <w:rFonts w:ascii="Arial" w:cs="Arial" w:eastAsia="Arial" w:hAnsi="Arial"/>
          <w:sz w:val="19"/>
          <w:szCs w:val="19"/>
          <w:color w:val="auto"/>
        </w:rPr>
        <w:t>All of the services provided by Ernst &amp; Young LLP in fiscal year 2026 were pre-approved in accordance with the Audit Committee’s pre-approval policies and procedures described above. In the above table, “Audit Fees” are fees paid to Ernst &amp; Young LLP for professional services for the audit of the Company’s consolidated financial statements included in Form 10-K and in the Irish Statutory Accounts and review of financial statements included in Form 10-Qs, for the audit of the Company’s internal control over financial reporting and for services that are provided by the accountant in connection with statutory audits; “Audit-Related Fees” include fees billed by Ernst &amp; Young LLP for assurance and related services that are reasonably related to the performance of the audit or review of the Company’s financial statements, benefit plan audits and access to technical research tools; and “Tax Fees” include fees for tax compliance, tax advice and tax planning.</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40 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2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Board of Directors Information: </w:t>
      </w:r>
      <w:r>
        <w:rPr>
          <w:rFonts w:ascii="Arial" w:cs="Arial" w:eastAsia="Arial" w:hAnsi="Arial"/>
          <w:sz w:val="15"/>
          <w:szCs w:val="15"/>
          <w:b w:val="1"/>
          <w:bCs w:val="1"/>
          <w:color w:val="000000"/>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Report of the Audit Committee</w:t>
      </w:r>
    </w:p>
    <w:p>
      <w:pPr>
        <w:spacing w:after="0" w:line="114" w:lineRule="exact"/>
        <w:rPr>
          <w:sz w:val="20"/>
          <w:szCs w:val="20"/>
          <w:color w:val="auto"/>
        </w:rPr>
      </w:pPr>
    </w:p>
    <w:p>
      <w:pPr>
        <w:ind w:left="340"/>
        <w:spacing w:after="0" w:line="236" w:lineRule="auto"/>
        <w:rPr>
          <w:sz w:val="20"/>
          <w:szCs w:val="20"/>
          <w:color w:val="auto"/>
        </w:rPr>
      </w:pPr>
      <w:r>
        <w:rPr>
          <w:rFonts w:ascii="Arial" w:cs="Arial" w:eastAsia="Arial" w:hAnsi="Arial"/>
          <w:sz w:val="19"/>
          <w:szCs w:val="19"/>
          <w:color w:val="auto"/>
        </w:rPr>
        <w:t xml:space="preserve">The Audit Committee has been established in accordance with the Exchange Act. The Board of Directors of the Company has adopted a written Audit Committee charter. A copy of the Audit Committee’s charter may be found at the “Corporate Governance” section of </w:t>
      </w:r>
      <w:r>
        <w:rPr>
          <w:rFonts w:ascii="Arial" w:cs="Arial" w:eastAsia="Arial" w:hAnsi="Arial"/>
          <w:sz w:val="19"/>
          <w:szCs w:val="19"/>
          <w:u w:val="single" w:color="auto"/>
          <w:color w:val="auto"/>
        </w:rPr>
        <w:t>steris-ir.com</w:t>
      </w:r>
      <w:r>
        <w:rPr>
          <w:rFonts w:ascii="Arial" w:cs="Arial" w:eastAsia="Arial" w:hAnsi="Arial"/>
          <w:sz w:val="19"/>
          <w:szCs w:val="19"/>
          <w:color w:val="auto"/>
        </w:rPr>
        <w:t>. Based on the review and determination of the Board, members of the Audit Committee meet the financial literacy and independence criteria to serve on the audit committee of a public company. The Audit Committee met nine times during fiscal 2026 and holds executive sessions following each regular quarterly meeting.</w:t>
      </w:r>
    </w:p>
    <w:p>
      <w:pPr>
        <w:spacing w:after="0" w:line="169" w:lineRule="exact"/>
        <w:rPr>
          <w:sz w:val="20"/>
          <w:szCs w:val="20"/>
          <w:color w:val="auto"/>
        </w:rPr>
      </w:pPr>
    </w:p>
    <w:p>
      <w:pPr>
        <w:ind w:left="340" w:right="100"/>
        <w:spacing w:after="0" w:line="252" w:lineRule="auto"/>
        <w:rPr>
          <w:sz w:val="20"/>
          <w:szCs w:val="20"/>
          <w:color w:val="auto"/>
        </w:rPr>
      </w:pPr>
      <w:r>
        <w:rPr>
          <w:rFonts w:ascii="Arial" w:cs="Arial" w:eastAsia="Arial" w:hAnsi="Arial"/>
          <w:sz w:val="18"/>
          <w:szCs w:val="18"/>
          <w:color w:val="auto"/>
        </w:rPr>
        <w:t>The Audit Committee has reviewed and discussed with the Company’s management and Ernst &amp; Young LLP, the Company’s independent registered public accounting firm, the audited financial statements of the Company contained in the Company’s Annual Report on Form 10-K for the year ended March 31, 2026 and Irish Statutory Accounts. The Audit Committee has also discussed with the Company’s independent registered public accounting firm the matters required to be discussed by the applicable requirements of the Public Company Accounting Oversight Board and the Securities and Exchange Commission.</w:t>
      </w:r>
    </w:p>
    <w:p>
      <w:pPr>
        <w:spacing w:after="0" w:line="157" w:lineRule="exact"/>
        <w:rPr>
          <w:sz w:val="20"/>
          <w:szCs w:val="20"/>
          <w:color w:val="auto"/>
        </w:rPr>
      </w:pPr>
    </w:p>
    <w:p>
      <w:pPr>
        <w:ind w:left="340" w:right="100"/>
        <w:spacing w:after="0" w:line="236" w:lineRule="auto"/>
        <w:rPr>
          <w:sz w:val="20"/>
          <w:szCs w:val="20"/>
          <w:color w:val="auto"/>
        </w:rPr>
      </w:pPr>
      <w:r>
        <w:rPr>
          <w:rFonts w:ascii="Arial" w:cs="Arial" w:eastAsia="Arial" w:hAnsi="Arial"/>
          <w:sz w:val="19"/>
          <w:szCs w:val="19"/>
          <w:color w:val="auto"/>
        </w:rPr>
        <w:t>The Audit Committee has received and reviewed the written disclosures and the letter from Ernst &amp; Young LLP required by applicable requirements of the Public Company Accounting Oversight Board regarding Ernst &amp; Young LLP’s communications with the Audit Committee concerning independence, and has discussed with Ernst &amp; Young LLP their independence. The Audit Committee has also concluded that Ernst &amp; Young LLP’s provision of non-audit services to the Company is compatible with their independence.</w:t>
      </w:r>
    </w:p>
    <w:p>
      <w:pPr>
        <w:spacing w:after="0" w:line="169" w:lineRule="exact"/>
        <w:rPr>
          <w:sz w:val="20"/>
          <w:szCs w:val="20"/>
          <w:color w:val="auto"/>
        </w:rPr>
      </w:pPr>
    </w:p>
    <w:p>
      <w:pPr>
        <w:ind w:left="340" w:right="60"/>
        <w:spacing w:after="0" w:line="244" w:lineRule="auto"/>
        <w:rPr>
          <w:sz w:val="20"/>
          <w:szCs w:val="20"/>
          <w:color w:val="auto"/>
        </w:rPr>
      </w:pPr>
      <w:r>
        <w:rPr>
          <w:rFonts w:ascii="Arial" w:cs="Arial" w:eastAsia="Arial" w:hAnsi="Arial"/>
          <w:sz w:val="19"/>
          <w:szCs w:val="19"/>
          <w:color w:val="auto"/>
        </w:rPr>
        <w:t>Based on the review and discussions referred to above, the Audit Committee recommended to the Board of Directors that the audited financial statements be included in the Company’s Annual Report on Form 10-K for the fiscal year ended March 31, 2026 filed with the Securities and Exchange Commission.</w:t>
      </w:r>
    </w:p>
    <w:p>
      <w:pPr>
        <w:spacing w:after="0" w:line="162" w:lineRule="exact"/>
        <w:rPr>
          <w:sz w:val="20"/>
          <w:szCs w:val="20"/>
          <w:color w:val="auto"/>
        </w:rPr>
      </w:pPr>
    </w:p>
    <w:p>
      <w:pPr>
        <w:ind w:left="340" w:right="60"/>
        <w:spacing w:after="0" w:line="236" w:lineRule="auto"/>
        <w:rPr>
          <w:sz w:val="20"/>
          <w:szCs w:val="20"/>
          <w:color w:val="auto"/>
        </w:rPr>
      </w:pPr>
      <w:r>
        <w:rPr>
          <w:rFonts w:ascii="Arial" w:cs="Arial" w:eastAsia="Arial" w:hAnsi="Arial"/>
          <w:sz w:val="19"/>
          <w:szCs w:val="19"/>
          <w:color w:val="auto"/>
        </w:rPr>
        <w:t>The Audit Committee evaluated Ernst &amp; Young LLP in connection with its consideration of the appointment of an independent registered public accounting firm in connection with its reappointment of the firm for fiscal 2027. Based upon the evaluation and considerations described in the Section “Independent Registered Public Accounting Firm,” the Audit Committee recommends that the Company’s shareholders ratify the reappointment of Ernst &amp; Young LLP as the Company’s independent registered public accounting firm for fiscal 2027.</w:t>
      </w:r>
    </w:p>
    <w:p>
      <w:pPr>
        <w:spacing w:after="0" w:line="169" w:lineRule="exact"/>
        <w:rPr>
          <w:sz w:val="20"/>
          <w:szCs w:val="20"/>
          <w:color w:val="auto"/>
        </w:rPr>
      </w:pPr>
    </w:p>
    <w:p>
      <w:pPr>
        <w:ind w:left="340" w:right="260"/>
        <w:spacing w:after="0" w:line="239" w:lineRule="auto"/>
        <w:rPr>
          <w:sz w:val="20"/>
          <w:szCs w:val="20"/>
          <w:color w:val="auto"/>
        </w:rPr>
      </w:pPr>
      <w:r>
        <w:rPr>
          <w:rFonts w:ascii="Arial" w:cs="Arial" w:eastAsia="Arial" w:hAnsi="Arial"/>
          <w:sz w:val="19"/>
          <w:szCs w:val="19"/>
          <w:color w:val="auto"/>
        </w:rPr>
        <w:t>Other actions regularly undertaken by the Audit Committee during the fiscal year include: pre-review and discussion with management of Form 10-Qs filed by the Company with the SEC, pre-review and discussion with management of Company earnings releases, annual review of internal controls over financial reporting (“ICFR”), review of critical accounting policies and pronouncements, as well as other important financial accounting and reporting issues.</w:t>
      </w:r>
    </w:p>
    <w:p>
      <w:pPr>
        <w:spacing w:after="0" w:line="166" w:lineRule="exact"/>
        <w:rPr>
          <w:sz w:val="20"/>
          <w:szCs w:val="20"/>
          <w:color w:val="auto"/>
        </w:rPr>
      </w:pPr>
    </w:p>
    <w:p>
      <w:pPr>
        <w:ind w:left="340" w:right="400"/>
        <w:spacing w:after="0" w:line="239" w:lineRule="auto"/>
        <w:rPr>
          <w:sz w:val="20"/>
          <w:szCs w:val="20"/>
          <w:color w:val="auto"/>
        </w:rPr>
      </w:pPr>
      <w:r>
        <w:rPr>
          <w:rFonts w:ascii="Arial" w:cs="Arial" w:eastAsia="Arial" w:hAnsi="Arial"/>
          <w:sz w:val="19"/>
          <w:szCs w:val="19"/>
          <w:color w:val="auto"/>
        </w:rPr>
        <w:t>The Audit Committee also is responsible for oversight of and periodically reviews the Company’s cybersecurity programs, security risks and the Company’s efforts to minimize and eliminate these risks. For more information on cybersecurity oversight and risk, and the Audit Committee’s roles and responsibilities with respect to the same, see the section titled “Cybersecurity Oversight.”</w:t>
      </w:r>
    </w:p>
    <w:p>
      <w:pPr>
        <w:spacing w:after="0" w:line="166" w:lineRule="exact"/>
        <w:rPr>
          <w:sz w:val="20"/>
          <w:szCs w:val="20"/>
          <w:color w:val="auto"/>
        </w:rPr>
      </w:pPr>
    </w:p>
    <w:p>
      <w:pPr>
        <w:ind w:left="340" w:right="860"/>
        <w:spacing w:after="0" w:line="262" w:lineRule="auto"/>
        <w:rPr>
          <w:sz w:val="20"/>
          <w:szCs w:val="20"/>
          <w:color w:val="auto"/>
        </w:rPr>
      </w:pPr>
      <w:r>
        <w:rPr>
          <w:rFonts w:ascii="Arial" w:cs="Arial" w:eastAsia="Arial" w:hAnsi="Arial"/>
          <w:sz w:val="19"/>
          <w:szCs w:val="19"/>
          <w:color w:val="auto"/>
        </w:rPr>
        <w:t>In addition, the Audit Committee, with the assistance of an independent third party, undertook a self-evaluation of its performance and effectiveness for fiscal 2026.</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Audit Committee of the Board of Directors</w:t>
      </w:r>
    </w:p>
    <w:p>
      <w:pPr>
        <w:ind w:left="340"/>
        <w:spacing w:after="0" w:line="232" w:lineRule="auto"/>
        <w:rPr>
          <w:sz w:val="20"/>
          <w:szCs w:val="20"/>
          <w:color w:val="auto"/>
        </w:rPr>
      </w:pPr>
      <w:r>
        <w:rPr>
          <w:rFonts w:ascii="Arial" w:cs="Arial" w:eastAsia="Arial" w:hAnsi="Arial"/>
          <w:sz w:val="19"/>
          <w:szCs w:val="19"/>
          <w:color w:val="auto"/>
        </w:rPr>
        <w:t>Richard C. Breeden – Chair</w:t>
      </w:r>
    </w:p>
    <w:p>
      <w:pPr>
        <w:ind w:left="340"/>
        <w:spacing w:after="0" w:line="228" w:lineRule="auto"/>
        <w:rPr>
          <w:sz w:val="20"/>
          <w:szCs w:val="20"/>
          <w:color w:val="auto"/>
        </w:rPr>
      </w:pPr>
      <w:r>
        <w:rPr>
          <w:rFonts w:ascii="Arial" w:cs="Arial" w:eastAsia="Arial" w:hAnsi="Arial"/>
          <w:sz w:val="19"/>
          <w:szCs w:val="19"/>
          <w:color w:val="auto"/>
        </w:rPr>
        <w:t>Cynthia L. Feldmann</w:t>
      </w:r>
    </w:p>
    <w:p>
      <w:pPr>
        <w:ind w:left="340"/>
        <w:spacing w:after="0" w:line="227" w:lineRule="auto"/>
        <w:rPr>
          <w:sz w:val="20"/>
          <w:szCs w:val="20"/>
          <w:color w:val="auto"/>
        </w:rPr>
      </w:pPr>
      <w:r>
        <w:rPr>
          <w:rFonts w:ascii="Arial" w:cs="Arial" w:eastAsia="Arial" w:hAnsi="Arial"/>
          <w:sz w:val="19"/>
          <w:szCs w:val="19"/>
          <w:color w:val="auto"/>
        </w:rPr>
        <w:t>Christopher S. Holland</w:t>
      </w:r>
    </w:p>
    <w:p>
      <w:pPr>
        <w:ind w:left="340"/>
        <w:spacing w:after="0" w:line="228" w:lineRule="auto"/>
        <w:rPr>
          <w:sz w:val="20"/>
          <w:szCs w:val="20"/>
          <w:color w:val="auto"/>
        </w:rPr>
      </w:pPr>
      <w:r>
        <w:rPr>
          <w:rFonts w:ascii="Arial" w:cs="Arial" w:eastAsia="Arial" w:hAnsi="Arial"/>
          <w:sz w:val="19"/>
          <w:szCs w:val="19"/>
          <w:color w:val="auto"/>
        </w:rPr>
        <w:t>Paul E. Martin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9"/>
          <w:szCs w:val="19"/>
          <w:color w:val="auto"/>
        </w:rPr>
        <w:t>Louis A. Shapiro</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41</w:t>
      </w:r>
    </w:p>
    <w:p>
      <w:pPr>
        <w:sectPr>
          <w:pgSz w:w="11900" w:h="16838" w:orient="portrait"/>
          <w:cols w:equalWidth="0" w:num="1">
            <w:col w:w="10900"/>
          </w:cols>
          <w:pgMar w:left="320" w:top="469" w:right="6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2876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10045" cy="2876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160"/>
        <w:spacing w:after="0"/>
        <w:rPr>
          <w:sz w:val="20"/>
          <w:szCs w:val="20"/>
          <w:color w:val="auto"/>
        </w:rPr>
      </w:pPr>
      <w:r>
        <w:rPr>
          <w:rFonts w:ascii="Arial" w:cs="Arial" w:eastAsia="Arial" w:hAnsi="Arial"/>
          <w:sz w:val="21"/>
          <w:szCs w:val="21"/>
          <w:b w:val="1"/>
          <w:bCs w:val="1"/>
          <w:color w:val="3E8ED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68580</wp:posOffset>
            </wp:positionV>
            <wp:extent cx="67100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241935</wp:posOffset>
            </wp:positionV>
            <wp:extent cx="6710045" cy="28784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10045" cy="2878455"/>
                    </a:xfrm>
                    <a:prstGeom prst="rect">
                      <a:avLst/>
                    </a:prstGeom>
                    <a:noFill/>
                  </pic:spPr>
                </pic:pic>
              </a:graphicData>
            </a:graphic>
          </wp:anchor>
        </w:drawing>
      </w:r>
    </w:p>
    <w:p>
      <w:pPr>
        <w:spacing w:after="0" w:line="36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3E8EDE"/>
        </w:rPr>
        <w:t>COMPENSATION AND ORGANIZATION DEVELOPMENT COMMITTEE OVERVIEW</w:t>
      </w:r>
    </w:p>
    <w:p>
      <w:pPr>
        <w:spacing w:after="0" w:line="92" w:lineRule="exact"/>
        <w:rPr>
          <w:sz w:val="20"/>
          <w:szCs w:val="20"/>
          <w:color w:val="auto"/>
        </w:rPr>
      </w:pPr>
    </w:p>
    <w:p>
      <w:pPr>
        <w:ind w:left="660" w:right="500"/>
        <w:spacing w:after="0" w:line="232" w:lineRule="auto"/>
        <w:rPr>
          <w:sz w:val="20"/>
          <w:szCs w:val="20"/>
          <w:color w:val="auto"/>
        </w:rPr>
      </w:pPr>
      <w:r>
        <w:rPr>
          <w:rFonts w:ascii="Arial" w:cs="Arial" w:eastAsia="Arial" w:hAnsi="Arial"/>
          <w:sz w:val="19"/>
          <w:szCs w:val="19"/>
          <w:color w:val="auto"/>
        </w:rPr>
        <w:t>The Compensation and Organization Development Committee of our Board of Directors, which we refer to in this Compensation Discussion and Analysis as the Compensation Committee or the Committee, is responsible for approving the compensation, benefits and perquisites of the President and CEO and senior management, and our general compensation philosophy. The Committee also approves annual equity grants available under our equity incentive compensation plan for eligible employees, as well as cash bonus payments to senior management and the maximum amount payable under our annual management cash bonus plan, based upon performance criteria established by the Committee under that plan. The Committee has regularly retained an independent compensation consultant to assist with its responsibilities. Each member of the Committee satisfied the independence standards of the SEC and the NYSE.</w:t>
      </w:r>
    </w:p>
    <w:p>
      <w:pPr>
        <w:spacing w:after="0" w:line="171" w:lineRule="exact"/>
        <w:rPr>
          <w:sz w:val="20"/>
          <w:szCs w:val="20"/>
          <w:color w:val="auto"/>
        </w:rPr>
      </w:pPr>
    </w:p>
    <w:p>
      <w:pPr>
        <w:ind w:left="660" w:right="400"/>
        <w:spacing w:after="0" w:line="234" w:lineRule="auto"/>
        <w:rPr>
          <w:sz w:val="20"/>
          <w:szCs w:val="20"/>
          <w:color w:val="auto"/>
        </w:rPr>
      </w:pPr>
      <w:r>
        <w:rPr>
          <w:rFonts w:ascii="Arial" w:cs="Arial" w:eastAsia="Arial" w:hAnsi="Arial"/>
          <w:sz w:val="19"/>
          <w:szCs w:val="19"/>
          <w:color w:val="auto"/>
        </w:rPr>
        <w:t>The Committee is also responsible for oversight of the Company’s human capital and work environment (including HR-related ethics complaints, management development, succession planning and other related areas of focus). The Committee reviews the results of the Company’s twice annual employee engagement survey, which is an anonymous survey in which all employees are encouraged to participate. This process has been helpful in enabling the Company to focus on strengths and identify potential areas of improvement. For a more detailed discussion of the Company’s human capital actions, see the discussion of “Employees and Human Capital Management” in the Company’s Annual Report on Form 10-K for the fiscal year ended March 31, 2026.</w:t>
      </w:r>
    </w:p>
    <w:p>
      <w:pPr>
        <w:spacing w:after="0" w:line="166" w:lineRule="exact"/>
        <w:rPr>
          <w:sz w:val="20"/>
          <w:szCs w:val="20"/>
          <w:color w:val="auto"/>
        </w:rPr>
      </w:pPr>
    </w:p>
    <w:p>
      <w:pPr>
        <w:ind w:left="660" w:right="440"/>
        <w:spacing w:after="0" w:line="262" w:lineRule="auto"/>
        <w:rPr>
          <w:sz w:val="20"/>
          <w:szCs w:val="20"/>
          <w:color w:val="auto"/>
        </w:rPr>
      </w:pPr>
      <w:r>
        <w:rPr>
          <w:rFonts w:ascii="Arial" w:cs="Arial" w:eastAsia="Arial" w:hAnsi="Arial"/>
          <w:sz w:val="19"/>
          <w:szCs w:val="19"/>
          <w:color w:val="auto"/>
        </w:rPr>
        <w:t>Except as otherwise expressly specified in this Compensation Discussion and Analysis, all information provided is for the fiscal year ended March 31, 2026 and prior periods.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Named Executive Officers</w:t>
      </w:r>
    </w:p>
    <w:p>
      <w:pPr>
        <w:spacing w:after="0" w:line="92" w:lineRule="exact"/>
        <w:rPr>
          <w:sz w:val="20"/>
          <w:szCs w:val="20"/>
          <w:color w:val="auto"/>
        </w:rPr>
      </w:pPr>
    </w:p>
    <w:p>
      <w:pPr>
        <w:ind w:left="340" w:right="180"/>
        <w:spacing w:after="0" w:line="262" w:lineRule="auto"/>
        <w:rPr>
          <w:sz w:val="20"/>
          <w:szCs w:val="20"/>
          <w:color w:val="auto"/>
        </w:rPr>
      </w:pPr>
      <w:r>
        <w:rPr>
          <w:rFonts w:ascii="Arial" w:cs="Arial" w:eastAsia="Arial" w:hAnsi="Arial"/>
          <w:sz w:val="19"/>
          <w:szCs w:val="19"/>
          <w:color w:val="auto"/>
        </w:rPr>
        <w:t>Our named executive officers (“NEOs”) for fiscal 2026, as shown in the Fiscal 2026 Summary Compensation Table, were as follows:</w:t>
      </w:r>
    </w:p>
    <w:p>
      <w:pPr>
        <w:spacing w:after="0" w:line="170" w:lineRule="exact"/>
        <w:rPr>
          <w:sz w:val="20"/>
          <w:szCs w:val="20"/>
          <w:color w:val="auto"/>
        </w:rPr>
      </w:pPr>
    </w:p>
    <w:p>
      <w:pPr>
        <w:ind w:left="540" w:hanging="200"/>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Daniel A. Carestio, President and CEO;</w:t>
      </w:r>
    </w:p>
    <w:p>
      <w:pPr>
        <w:spacing w:after="0" w:line="221" w:lineRule="exact"/>
        <w:rPr>
          <w:rFonts w:ascii="Arial" w:cs="Arial" w:eastAsia="Arial" w:hAnsi="Arial"/>
          <w:sz w:val="19"/>
          <w:szCs w:val="19"/>
          <w:color w:val="auto"/>
        </w:rPr>
      </w:pPr>
    </w:p>
    <w:p>
      <w:pPr>
        <w:ind w:left="540" w:hanging="200"/>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Michael J. Tokich, Senior Financial Advisor (Former Senior Vice President and CFO until August 18, 2025);</w:t>
      </w:r>
    </w:p>
    <w:p>
      <w:pPr>
        <w:spacing w:after="0" w:line="221" w:lineRule="exact"/>
        <w:rPr>
          <w:rFonts w:ascii="Arial" w:cs="Arial" w:eastAsia="Arial" w:hAnsi="Arial"/>
          <w:sz w:val="19"/>
          <w:szCs w:val="19"/>
          <w:color w:val="auto"/>
        </w:rPr>
      </w:pPr>
    </w:p>
    <w:p>
      <w:pPr>
        <w:ind w:left="540" w:hanging="200"/>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Karen L. Burton, Senior Vice President and CFO (starting August 18, 2025);</w:t>
      </w:r>
    </w:p>
    <w:p>
      <w:pPr>
        <w:spacing w:after="0" w:line="221" w:lineRule="exact"/>
        <w:rPr>
          <w:rFonts w:ascii="Arial" w:cs="Arial" w:eastAsia="Arial" w:hAnsi="Arial"/>
          <w:sz w:val="19"/>
          <w:szCs w:val="19"/>
          <w:color w:val="auto"/>
        </w:rPr>
      </w:pPr>
    </w:p>
    <w:p>
      <w:pPr>
        <w:ind w:left="540" w:hanging="200"/>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J. Adam Zangerle, Senior Vice President, General Counsel and Company Secretary;</w:t>
      </w:r>
    </w:p>
    <w:p>
      <w:pPr>
        <w:spacing w:after="0" w:line="221" w:lineRule="exact"/>
        <w:rPr>
          <w:rFonts w:ascii="Arial" w:cs="Arial" w:eastAsia="Arial" w:hAnsi="Arial"/>
          <w:sz w:val="19"/>
          <w:szCs w:val="19"/>
          <w:color w:val="auto"/>
        </w:rPr>
      </w:pPr>
    </w:p>
    <w:p>
      <w:pPr>
        <w:ind w:left="540" w:hanging="200"/>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Cary L. Majors, Senior Vice President and President, Healthcare; and</w:t>
      </w:r>
    </w:p>
    <w:p>
      <w:pPr>
        <w:spacing w:after="0" w:line="221" w:lineRule="exact"/>
        <w:rPr>
          <w:rFonts w:ascii="Arial" w:cs="Arial" w:eastAsia="Arial" w:hAnsi="Arial"/>
          <w:sz w:val="19"/>
          <w:szCs w:val="19"/>
          <w:color w:val="auto"/>
        </w:rPr>
      </w:pPr>
    </w:p>
    <w:p>
      <w:pPr>
        <w:ind w:left="540" w:hanging="200"/>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Mary Clare Fraser, Senior Vice President and Chief Human Resources Officer.</w:t>
      </w:r>
    </w:p>
    <w:p>
      <w:pPr>
        <w:spacing w:after="0" w:line="196" w:lineRule="exact"/>
        <w:rPr>
          <w:sz w:val="20"/>
          <w:szCs w:val="20"/>
          <w:color w:val="auto"/>
        </w:rPr>
      </w:pPr>
    </w:p>
    <w:p>
      <w:pPr>
        <w:ind w:left="340"/>
        <w:spacing w:after="0" w:line="262" w:lineRule="auto"/>
        <w:rPr>
          <w:sz w:val="20"/>
          <w:szCs w:val="20"/>
          <w:color w:val="auto"/>
        </w:rPr>
      </w:pPr>
      <w:r>
        <w:rPr>
          <w:rFonts w:ascii="Arial" w:cs="Arial" w:eastAsia="Arial" w:hAnsi="Arial"/>
          <w:sz w:val="19"/>
          <w:szCs w:val="19"/>
          <w:color w:val="auto"/>
        </w:rPr>
        <w:t>In portions of the remainder of this Compensation Discussion and Analysis we will discuss compensation paid and awarded to our named executive officers and the basis for the decisions that were made with respect thereto.</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General Compensation Philosophy</w:t>
      </w:r>
    </w:p>
    <w:p>
      <w:pPr>
        <w:spacing w:after="0" w:line="92" w:lineRule="exact"/>
        <w:rPr>
          <w:sz w:val="20"/>
          <w:szCs w:val="20"/>
          <w:color w:val="auto"/>
        </w:rPr>
      </w:pPr>
    </w:p>
    <w:p>
      <w:pPr>
        <w:ind w:left="340" w:right="140"/>
        <w:spacing w:after="0" w:line="236" w:lineRule="auto"/>
        <w:rPr>
          <w:sz w:val="20"/>
          <w:szCs w:val="20"/>
          <w:color w:val="auto"/>
        </w:rPr>
      </w:pPr>
      <w:r>
        <w:rPr>
          <w:rFonts w:ascii="Arial" w:cs="Arial" w:eastAsia="Arial" w:hAnsi="Arial"/>
          <w:sz w:val="19"/>
          <w:szCs w:val="19"/>
          <w:color w:val="auto"/>
        </w:rPr>
        <w:t>Our management compensation programs are designed to align management’s interests with the long-term interests of shareholders and to support and promote the achievement of our goals and objectives by helping to recruit and retain executive talent required to successfully manage our business. Our management compensation programs also seek to align compensation with individual and Company performance to help achieve the goals and objectives of the business by providing and balancing incentives for annual financial performance as well as the generation of long-term value.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Our general compensation philosophy includes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154305</wp:posOffset>
            </wp:positionV>
            <wp:extent cx="6710045" cy="164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10045" cy="164465"/>
                    </a:xfrm>
                    <a:prstGeom prst="rect">
                      <a:avLst/>
                    </a:prstGeom>
                    <a:noFill/>
                  </pic:spPr>
                </pic:pic>
              </a:graphicData>
            </a:graphic>
          </wp:anchor>
        </w:drawing>
      </w:r>
    </w:p>
    <w:p>
      <w:pPr>
        <w:spacing w:after="0" w:line="228" w:lineRule="exact"/>
        <w:rPr>
          <w:sz w:val="20"/>
          <w:szCs w:val="20"/>
          <w:color w:val="auto"/>
        </w:rPr>
      </w:pPr>
    </w:p>
    <w:p>
      <w:pPr>
        <w:ind w:left="540" w:hanging="200"/>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Be performance based, with variable pay constituting a significant portion of total compensation,</w:t>
      </w:r>
    </w:p>
    <w:p>
      <w:pPr>
        <w:spacing w:after="0" w:line="40" w:lineRule="exact"/>
        <w:rPr>
          <w:rFonts w:ascii="Arial" w:cs="Arial" w:eastAsia="Arial" w:hAnsi="Arial"/>
          <w:sz w:val="19"/>
          <w:szCs w:val="19"/>
          <w:color w:val="auto"/>
        </w:rPr>
      </w:pPr>
    </w:p>
    <w:p>
      <w:pPr>
        <w:ind w:left="540" w:right="140" w:hanging="200"/>
        <w:spacing w:after="0" w:line="284" w:lineRule="auto"/>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Create commonality of interest between our executives and shareholders by aligning realized compensation with changes in shareholder value,</w:t>
      </w:r>
    </w:p>
    <w:p>
      <w:pPr>
        <w:ind w:left="540" w:hanging="200"/>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Encourage growth in the setting and attainment of our short- and long-term objectives,</w:t>
      </w:r>
    </w:p>
    <w:p>
      <w:pPr>
        <w:spacing w:after="0" w:line="40" w:lineRule="exact"/>
        <w:rPr>
          <w:rFonts w:ascii="Arial" w:cs="Arial" w:eastAsia="Arial" w:hAnsi="Arial"/>
          <w:sz w:val="19"/>
          <w:szCs w:val="19"/>
          <w:color w:val="auto"/>
        </w:rPr>
      </w:pPr>
    </w:p>
    <w:p>
      <w:pPr>
        <w:ind w:left="540" w:hanging="200"/>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Reward our executives for long-term improvement in shareholder value,</w:t>
      </w:r>
    </w:p>
    <w:p>
      <w:pPr>
        <w:spacing w:after="0" w:line="40" w:lineRule="exact"/>
        <w:rPr>
          <w:rFonts w:ascii="Arial" w:cs="Arial" w:eastAsia="Arial" w:hAnsi="Arial"/>
          <w:sz w:val="19"/>
          <w:szCs w:val="19"/>
          <w:color w:val="auto"/>
        </w:rPr>
      </w:pPr>
    </w:p>
    <w:p>
      <w:pPr>
        <w:ind w:left="540" w:hanging="200"/>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Attract, retain and motivate highly skilled executives,</w:t>
      </w:r>
    </w:p>
    <w:p>
      <w:pPr>
        <w:spacing w:after="0" w:line="40" w:lineRule="exact"/>
        <w:rPr>
          <w:rFonts w:ascii="Arial" w:cs="Arial" w:eastAsia="Arial" w:hAnsi="Arial"/>
          <w:sz w:val="19"/>
          <w:szCs w:val="19"/>
          <w:color w:val="auto"/>
        </w:rPr>
      </w:pPr>
    </w:p>
    <w:p>
      <w:pPr>
        <w:ind w:left="540" w:hanging="200"/>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Build a strong talent base to reinforce our succession planning objectives,</w:t>
      </w:r>
    </w:p>
    <w:p>
      <w:pPr>
        <w:spacing w:after="0" w:line="40" w:lineRule="exact"/>
        <w:rPr>
          <w:rFonts w:ascii="Arial" w:cs="Arial" w:eastAsia="Arial" w:hAnsi="Arial"/>
          <w:sz w:val="19"/>
          <w:szCs w:val="19"/>
          <w:color w:val="auto"/>
        </w:rPr>
      </w:pPr>
    </w:p>
    <w:p>
      <w:pPr>
        <w:ind w:left="540" w:hanging="200"/>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Be competitive with companies in our peer group,</w:t>
      </w:r>
    </w:p>
    <w:p>
      <w:pPr>
        <w:spacing w:after="0" w:line="40" w:lineRule="exact"/>
        <w:rPr>
          <w:rFonts w:ascii="Arial" w:cs="Arial" w:eastAsia="Arial" w:hAnsi="Arial"/>
          <w:sz w:val="19"/>
          <w:szCs w:val="19"/>
          <w:color w:val="auto"/>
        </w:rPr>
      </w:pPr>
    </w:p>
    <w:p>
      <w:pPr>
        <w:ind w:left="540" w:hanging="200"/>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Maximize the financial efficiency of the overall program,</w:t>
      </w:r>
    </w:p>
    <w:p>
      <w:pPr>
        <w:spacing w:after="0" w:line="40" w:lineRule="exact"/>
        <w:rPr>
          <w:rFonts w:ascii="Arial" w:cs="Arial" w:eastAsia="Arial" w:hAnsi="Arial"/>
          <w:sz w:val="19"/>
          <w:szCs w:val="19"/>
          <w:color w:val="auto"/>
        </w:rPr>
      </w:pPr>
    </w:p>
    <w:p>
      <w:pPr>
        <w:ind w:left="540" w:hanging="200"/>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Help ensure that corporate governance practices and the impact of our Say on Pay proposals are upheld, and</w:t>
      </w:r>
    </w:p>
    <w:p>
      <w:pPr>
        <w:spacing w:after="0" w:line="40" w:lineRule="exact"/>
        <w:rPr>
          <w:rFonts w:ascii="Arial" w:cs="Arial" w:eastAsia="Arial" w:hAnsi="Arial"/>
          <w:sz w:val="19"/>
          <w:szCs w:val="19"/>
          <w:color w:val="auto"/>
        </w:rPr>
      </w:pPr>
    </w:p>
    <w:p>
      <w:pPr>
        <w:ind w:left="540" w:hanging="200"/>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Avoid incentive compensation designs that may lead to excessive risk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-1292225</wp:posOffset>
            </wp:positionV>
            <wp:extent cx="6710045" cy="164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10045" cy="16446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-963295</wp:posOffset>
            </wp:positionV>
            <wp:extent cx="6710045" cy="164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10045" cy="16446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-634365</wp:posOffset>
            </wp:positionV>
            <wp:extent cx="6710045" cy="164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10045" cy="16446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-305435</wp:posOffset>
            </wp:positionV>
            <wp:extent cx="6710045" cy="164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10045" cy="164465"/>
                    </a:xfrm>
                    <a:prstGeom prst="rect">
                      <a:avLst/>
                    </a:prstGeom>
                    <a:noFill/>
                  </pic:spPr>
                </pic:pic>
              </a:graphicData>
            </a:graphic>
          </wp:anchor>
        </w:drawing>
      </w:r>
    </w:p>
    <w:p>
      <w:pPr>
        <w:spacing w:after="0" w:line="202" w:lineRule="exact"/>
        <w:rPr>
          <w:sz w:val="20"/>
          <w:szCs w:val="20"/>
          <w:color w:val="auto"/>
        </w:rPr>
      </w:pPr>
    </w:p>
    <w:p>
      <w:pPr>
        <w:ind w:left="340" w:right="40"/>
        <w:spacing w:after="0" w:line="236" w:lineRule="auto"/>
        <w:rPr>
          <w:sz w:val="20"/>
          <w:szCs w:val="20"/>
          <w:color w:val="auto"/>
        </w:rPr>
      </w:pPr>
      <w:r>
        <w:rPr>
          <w:rFonts w:ascii="Arial" w:cs="Arial" w:eastAsia="Arial" w:hAnsi="Arial"/>
          <w:sz w:val="19"/>
          <w:szCs w:val="19"/>
          <w:color w:val="auto"/>
        </w:rPr>
        <w:t>The Committee also believes that it must maintain flexibility in establishing compensation practices to allow it to address compensation trends, competitive issues, business needs, industry and the broader economic environment, and special situations that will be encountered in the recruitment, retention, and promotion of employees. Therefore, the compensation practices approved by the Committee will likely vary from year to year and from person to person, depending on the particular circumstances.</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43</w:t>
      </w:r>
    </w:p>
    <w:p>
      <w:pPr>
        <w:sectPr>
          <w:pgSz w:w="11900" w:h="16838" w:orient="portrait"/>
          <w:cols w:equalWidth="0" w:num="1">
            <w:col w:w="10900"/>
          </w:cols>
          <w:pgMar w:left="320" w:top="469" w:right="6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Compensation Governance Practices</w:t>
      </w:r>
    </w:p>
    <w:p>
      <w:pPr>
        <w:spacing w:after="0" w:line="92" w:lineRule="exact"/>
        <w:rPr>
          <w:sz w:val="20"/>
          <w:szCs w:val="20"/>
          <w:color w:val="auto"/>
        </w:rPr>
      </w:pPr>
    </w:p>
    <w:p>
      <w:pPr>
        <w:jc w:val="both"/>
        <w:ind w:left="340" w:right="380"/>
        <w:spacing w:after="0" w:line="239" w:lineRule="auto"/>
        <w:rPr>
          <w:sz w:val="20"/>
          <w:szCs w:val="20"/>
          <w:color w:val="auto"/>
        </w:rPr>
      </w:pPr>
      <w:r>
        <w:rPr>
          <w:rFonts w:ascii="Arial" w:cs="Arial" w:eastAsia="Arial" w:hAnsi="Arial"/>
          <w:sz w:val="19"/>
          <w:szCs w:val="19"/>
          <w:color w:val="auto"/>
        </w:rPr>
        <w:t>The Company maintains several best practices in compensation governance, some of which are summarized in the table below. A more detailed discussion of certain of these practices appears subsequently in the “Compensation Governance” section of this Compensation Discussion and Analysis and other of these practices are mentioned in other portions of this Proxy Statement.</w:t>
      </w:r>
    </w:p>
    <w:p>
      <w:pPr>
        <w:sectPr>
          <w:pgSz w:w="11900" w:h="16838" w:orient="portrait"/>
          <w:cols w:equalWidth="0" w:num="1">
            <w:col w:w="10900"/>
          </w:cols>
          <w:pgMar w:left="320" w:top="469" w:right="679" w:bottom="1440" w:gutter="0" w:footer="0" w:header="0"/>
        </w:sectPr>
      </w:pPr>
    </w:p>
    <w:p>
      <w:pPr>
        <w:spacing w:after="0" w:line="208"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5715</wp:posOffset>
            </wp:positionV>
            <wp:extent cx="3166110" cy="147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166110" cy="14795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-83820</wp:posOffset>
            </wp:positionV>
            <wp:extent cx="67100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9"/>
          <w:szCs w:val="19"/>
          <w:b w:val="1"/>
          <w:bCs w:val="1"/>
          <w:color w:val="auto"/>
        </w:rPr>
        <w:t>What the Company Does</w:t>
      </w:r>
    </w:p>
    <w:p>
      <w:pPr>
        <w:spacing w:after="0" w:line="2" w:lineRule="exact"/>
        <w:rPr>
          <w:sz w:val="20"/>
          <w:szCs w:val="20"/>
          <w:color w:val="auto"/>
        </w:rPr>
      </w:pPr>
    </w:p>
    <w:p>
      <w:pPr>
        <w:ind w:left="720" w:right="840" w:hanging="285"/>
        <w:spacing w:after="0" w:line="242" w:lineRule="auto"/>
        <w:tabs>
          <w:tab w:leader="none" w:pos="7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Hold an annual Say on Pay advisory vote for shareholders.</w:t>
      </w:r>
    </w:p>
    <w:p>
      <w:pPr>
        <w:spacing w:after="0" w:line="72" w:lineRule="exact"/>
        <w:rPr>
          <w:rFonts w:ascii="Arial" w:cs="Arial" w:eastAsia="Arial" w:hAnsi="Arial"/>
          <w:sz w:val="19"/>
          <w:szCs w:val="19"/>
          <w:color w:val="auto"/>
        </w:rPr>
      </w:pPr>
    </w:p>
    <w:p>
      <w:pPr>
        <w:ind w:left="720" w:right="200" w:hanging="285"/>
        <w:spacing w:after="0" w:line="239" w:lineRule="auto"/>
        <w:tabs>
          <w:tab w:leader="none" w:pos="7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Engage independent outside compensation consultants and utilize market and industry data to help ensure we compensate fairly and competitively, but not excessively.</w:t>
      </w:r>
    </w:p>
    <w:p>
      <w:pPr>
        <w:spacing w:after="0" w:line="75" w:lineRule="exact"/>
        <w:rPr>
          <w:rFonts w:ascii="Arial" w:cs="Arial" w:eastAsia="Arial" w:hAnsi="Arial"/>
          <w:sz w:val="19"/>
          <w:szCs w:val="19"/>
          <w:color w:val="auto"/>
        </w:rPr>
      </w:pPr>
    </w:p>
    <w:p>
      <w:pPr>
        <w:ind w:left="720" w:right="140" w:hanging="285"/>
        <w:spacing w:after="0" w:line="235" w:lineRule="auto"/>
        <w:tabs>
          <w:tab w:leader="none" w:pos="7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Mitigate undue risk-taking by using multiple performance metrics, imposing caps on payouts, employing clawback policies for annual incentive and equity awards, making annual incentive awards subject to complete Committee discretion, and performing annual compensation risk assessments.</w:t>
      </w:r>
    </w:p>
    <w:p>
      <w:pPr>
        <w:spacing w:after="0" w:line="76" w:lineRule="exact"/>
        <w:rPr>
          <w:rFonts w:ascii="Arial" w:cs="Arial" w:eastAsia="Arial" w:hAnsi="Arial"/>
          <w:sz w:val="19"/>
          <w:szCs w:val="19"/>
          <w:color w:val="auto"/>
        </w:rPr>
      </w:pPr>
    </w:p>
    <w:p>
      <w:pPr>
        <w:ind w:left="720" w:right="240" w:hanging="285"/>
        <w:spacing w:after="0" w:line="262" w:lineRule="auto"/>
        <w:tabs>
          <w:tab w:leader="none" w:pos="7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Utilize only “double trigger” vesting of equity awards for change in control situations.</w:t>
      </w:r>
    </w:p>
    <w:p>
      <w:pPr>
        <w:spacing w:after="0" w:line="53" w:lineRule="exact"/>
        <w:rPr>
          <w:rFonts w:ascii="Arial" w:cs="Arial" w:eastAsia="Arial" w:hAnsi="Arial"/>
          <w:sz w:val="19"/>
          <w:szCs w:val="19"/>
          <w:color w:val="auto"/>
        </w:rPr>
      </w:pPr>
    </w:p>
    <w:p>
      <w:pPr>
        <w:ind w:left="720" w:right="20" w:hanging="285"/>
        <w:spacing w:after="0" w:line="244" w:lineRule="auto"/>
        <w:tabs>
          <w:tab w:leader="none" w:pos="7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Provide multiyear vesting for equity awards to promote long-term shareholder value creation and employee retention.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180"/>
        <w:spacing w:after="0"/>
        <w:rPr>
          <w:sz w:val="20"/>
          <w:szCs w:val="20"/>
          <w:color w:val="auto"/>
        </w:rPr>
      </w:pPr>
      <w:r>
        <w:rPr>
          <w:rFonts w:ascii="Arial" w:cs="Arial" w:eastAsia="Arial" w:hAnsi="Arial"/>
          <w:sz w:val="12"/>
          <w:szCs w:val="1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5715</wp:posOffset>
            </wp:positionV>
            <wp:extent cx="3223260" cy="147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23260" cy="14795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9"/>
          <w:szCs w:val="19"/>
          <w:b w:val="1"/>
          <w:bCs w:val="1"/>
          <w:color w:val="auto"/>
        </w:rPr>
        <w:t>What the Company Does Not Do</w:t>
      </w:r>
    </w:p>
    <w:p>
      <w:pPr>
        <w:spacing w:after="0" w:line="2" w:lineRule="exact"/>
        <w:rPr>
          <w:sz w:val="20"/>
          <w:szCs w:val="20"/>
          <w:color w:val="auto"/>
        </w:rPr>
      </w:pPr>
    </w:p>
    <w:p>
      <w:pPr>
        <w:ind w:left="300" w:hanging="297"/>
        <w:spacing w:after="0"/>
        <w:tabs>
          <w:tab w:leader="none" w:pos="3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Provide employment agreements to U.S. executives.</w:t>
      </w:r>
    </w:p>
    <w:p>
      <w:pPr>
        <w:spacing w:after="0" w:line="87" w:lineRule="exact"/>
        <w:rPr>
          <w:rFonts w:ascii="Arial" w:cs="Arial" w:eastAsia="Arial" w:hAnsi="Arial"/>
          <w:sz w:val="19"/>
          <w:szCs w:val="19"/>
          <w:color w:val="auto"/>
        </w:rPr>
      </w:pPr>
    </w:p>
    <w:p>
      <w:pPr>
        <w:ind w:left="300" w:right="20" w:hanging="297"/>
        <w:spacing w:after="0" w:line="262" w:lineRule="auto"/>
        <w:tabs>
          <w:tab w:leader="none" w:pos="3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Permit hedging or pledging or short sales of Company shares.</w:t>
      </w:r>
    </w:p>
    <w:p>
      <w:pPr>
        <w:spacing w:after="0" w:line="53" w:lineRule="exact"/>
        <w:rPr>
          <w:rFonts w:ascii="Arial" w:cs="Arial" w:eastAsia="Arial" w:hAnsi="Arial"/>
          <w:sz w:val="19"/>
          <w:szCs w:val="19"/>
          <w:color w:val="auto"/>
        </w:rPr>
      </w:pPr>
    </w:p>
    <w:p>
      <w:pPr>
        <w:ind w:left="300" w:right="40" w:hanging="297"/>
        <w:spacing w:after="0" w:line="262" w:lineRule="auto"/>
        <w:tabs>
          <w:tab w:leader="none" w:pos="3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Reprice underwater stock options without shareholder approval.</w:t>
      </w:r>
    </w:p>
    <w:p>
      <w:pPr>
        <w:spacing w:after="0" w:line="53" w:lineRule="exact"/>
        <w:rPr>
          <w:rFonts w:ascii="Arial" w:cs="Arial" w:eastAsia="Arial" w:hAnsi="Arial"/>
          <w:sz w:val="19"/>
          <w:szCs w:val="19"/>
          <w:color w:val="auto"/>
        </w:rPr>
      </w:pPr>
    </w:p>
    <w:p>
      <w:pPr>
        <w:ind w:left="300" w:right="340" w:hanging="297"/>
        <w:spacing w:after="0" w:line="262" w:lineRule="auto"/>
        <w:tabs>
          <w:tab w:leader="none" w:pos="3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Provide discretionary accelerated vesting of equity awards of executives.</w:t>
      </w:r>
    </w:p>
    <w:p>
      <w:pPr>
        <w:spacing w:after="0" w:line="53" w:lineRule="exact"/>
        <w:rPr>
          <w:rFonts w:ascii="Arial" w:cs="Arial" w:eastAsia="Arial" w:hAnsi="Arial"/>
          <w:sz w:val="19"/>
          <w:szCs w:val="19"/>
          <w:color w:val="auto"/>
        </w:rPr>
      </w:pPr>
    </w:p>
    <w:p>
      <w:pPr>
        <w:ind w:left="300" w:right="920" w:hanging="297"/>
        <w:spacing w:after="0" w:line="262" w:lineRule="auto"/>
        <w:tabs>
          <w:tab w:leader="none" w:pos="3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Provide excessive benefits or perquisites to executives.</w:t>
      </w:r>
    </w:p>
    <w:p>
      <w:pPr>
        <w:spacing w:after="0" w:line="53" w:lineRule="exact"/>
        <w:rPr>
          <w:rFonts w:ascii="Arial" w:cs="Arial" w:eastAsia="Arial" w:hAnsi="Arial"/>
          <w:sz w:val="19"/>
          <w:szCs w:val="19"/>
          <w:color w:val="auto"/>
        </w:rPr>
      </w:pPr>
    </w:p>
    <w:p>
      <w:pPr>
        <w:ind w:left="300" w:right="240" w:hanging="297"/>
        <w:spacing w:after="0" w:line="239" w:lineRule="auto"/>
        <w:tabs>
          <w:tab w:leader="none" w:pos="3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Provide gross-ups for Internal Revenue Code Section 280G excise taxes that may be imposed on severance or similar payments made in connection with a change in control.</w:t>
      </w:r>
    </w:p>
    <w:p>
      <w:pPr>
        <w:spacing w:after="0" w:line="787" w:lineRule="exact"/>
        <w:rPr>
          <w:sz w:val="20"/>
          <w:szCs w:val="20"/>
          <w:color w:val="auto"/>
        </w:rPr>
      </w:pPr>
    </w:p>
    <w:p>
      <w:pPr>
        <w:sectPr>
          <w:pgSz w:w="11900" w:h="16838" w:orient="portrait"/>
          <w:cols w:equalWidth="0" w:num="2">
            <w:col w:w="5320" w:space="720"/>
            <w:col w:w="4860"/>
          </w:cols>
          <w:pgMar w:left="320" w:top="469" w:right="679" w:bottom="1440" w:gutter="0" w:footer="0" w:header="0"/>
          <w:type w:val="continuous"/>
        </w:sectPr>
      </w:pPr>
    </w:p>
    <w:p>
      <w:pPr>
        <w:ind w:left="720" w:right="5800" w:hanging="285"/>
        <w:spacing w:after="0" w:line="265"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Regularly review compensation, especially incentive design, to help ensure continued alignment with Company strategy and shareholder interests.</w:t>
      </w:r>
    </w:p>
    <w:p>
      <w:pPr>
        <w:spacing w:after="0" w:line="52" w:lineRule="exact"/>
        <w:rPr>
          <w:rFonts w:ascii="Arial" w:cs="Arial" w:eastAsia="Arial" w:hAnsi="Arial"/>
          <w:sz w:val="18"/>
          <w:szCs w:val="18"/>
          <w:color w:val="auto"/>
        </w:rPr>
      </w:pPr>
    </w:p>
    <w:p>
      <w:pPr>
        <w:ind w:left="720" w:right="5580" w:hanging="285"/>
        <w:spacing w:after="0" w:line="232" w:lineRule="auto"/>
        <w:tabs>
          <w:tab w:leader="none" w:pos="7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Set meaningful stock ownership guidelines for the CEO (6 times base salary) and other executives: 4 times base salary for CFO, 3 times base salary for other Senior Vice Presidents, 2 times base salary for other corporate Vice Presidents and certain other employees at or above specified grade levels, and 1 times base salary for certain other employees (see “Compensation Governance - Officer Stock Ownership Policy” later in this Compensation Discussion and Analysis).</w:t>
      </w:r>
    </w:p>
    <w:p>
      <w:pPr>
        <w:spacing w:after="0" w:line="76" w:lineRule="exact"/>
        <w:rPr>
          <w:rFonts w:ascii="Arial" w:cs="Arial" w:eastAsia="Arial" w:hAnsi="Arial"/>
          <w:sz w:val="19"/>
          <w:szCs w:val="19"/>
          <w:color w:val="auto"/>
        </w:rPr>
      </w:pPr>
    </w:p>
    <w:p>
      <w:pPr>
        <w:ind w:left="720" w:right="5760" w:hanging="285"/>
        <w:spacing w:after="0" w:line="244" w:lineRule="auto"/>
        <w:tabs>
          <w:tab w:leader="none" w:pos="7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Use an appropriate mix of cash and non-cash compensation, with an emphasis on variable (at risk) compensation.</w:t>
      </w:r>
    </w:p>
    <w:p>
      <w:pPr>
        <w:spacing w:after="0" w:line="71" w:lineRule="exact"/>
        <w:rPr>
          <w:rFonts w:ascii="Arial" w:cs="Arial" w:eastAsia="Arial" w:hAnsi="Arial"/>
          <w:sz w:val="19"/>
          <w:szCs w:val="19"/>
          <w:color w:val="auto"/>
        </w:rPr>
      </w:pPr>
    </w:p>
    <w:p>
      <w:pPr>
        <w:ind w:left="720" w:right="5780" w:hanging="285"/>
        <w:spacing w:after="0" w:line="237" w:lineRule="auto"/>
        <w:tabs>
          <w:tab w:leader="none" w:pos="7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Use premium-priced stock options as part of the non-cash variable long-term incentive compensation</w:t>
      </w:r>
    </w:p>
    <w:p>
      <w:pPr>
        <w:ind w:left="720"/>
        <w:spacing w:after="0" w:line="226" w:lineRule="auto"/>
        <w:rPr>
          <w:sz w:val="20"/>
          <w:szCs w:val="20"/>
          <w:color w:val="auto"/>
        </w:rPr>
      </w:pPr>
      <w:r>
        <w:rPr>
          <w:rFonts w:ascii="Arial" w:cs="Arial" w:eastAsia="Arial" w:hAnsi="Arial"/>
          <w:sz w:val="19"/>
          <w:szCs w:val="19"/>
          <w:color w:val="auto"/>
        </w:rPr>
        <w:t>program.</w:t>
      </w:r>
    </w:p>
    <w:p>
      <w:pPr>
        <w:ind w:left="340"/>
        <w:spacing w:after="0"/>
        <w:tabs>
          <w:tab w:leader="none" w:pos="5920" w:val="left"/>
        </w:tabs>
        <w:rPr>
          <w:sz w:val="20"/>
          <w:szCs w:val="20"/>
          <w:color w:val="auto"/>
        </w:rPr>
      </w:pPr>
      <w:r>
        <w:rPr>
          <w:rFonts w:ascii="Arial" w:cs="Arial" w:eastAsia="Arial" w:hAnsi="Arial"/>
          <w:sz w:val="4"/>
          <w:szCs w:val="4"/>
          <w:color w:val="auto"/>
        </w:rPr>
        <w:t> </w:t>
      </w:r>
      <w:r>
        <w:rPr>
          <w:sz w:val="20"/>
          <w:szCs w:val="20"/>
          <w:color w:val="auto"/>
        </w:rPr>
        <w:tab/>
      </w: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56515</wp:posOffset>
            </wp:positionV>
            <wp:extent cx="67100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Consideration of 2025 Say on Pay Vote Results</w:t>
      </w:r>
    </w:p>
    <w:p>
      <w:pPr>
        <w:spacing w:after="0" w:line="92" w:lineRule="exact"/>
        <w:rPr>
          <w:sz w:val="20"/>
          <w:szCs w:val="20"/>
          <w:color w:val="auto"/>
        </w:rPr>
      </w:pPr>
    </w:p>
    <w:p>
      <w:pPr>
        <w:ind w:left="340" w:right="40"/>
        <w:spacing w:after="0" w:line="234" w:lineRule="auto"/>
        <w:rPr>
          <w:sz w:val="20"/>
          <w:szCs w:val="20"/>
          <w:color w:val="auto"/>
        </w:rPr>
      </w:pPr>
      <w:r>
        <w:rPr>
          <w:rFonts w:ascii="Arial" w:cs="Arial" w:eastAsia="Arial" w:hAnsi="Arial"/>
          <w:sz w:val="19"/>
          <w:szCs w:val="19"/>
          <w:color w:val="auto"/>
        </w:rPr>
        <w:t>The Committee reviewed the results of our 2025 “Say on Pay” vote, in which our named executive officer compensation was supported by more than 90% of the votes cast on the matter. After taking into consideration the strong support for our executive compensation program reflected in our annual Say on Pay vote results, the Committee decided to continue to apply the same philosophy, compensation objectives, and governing principles as it has used in recent years when making subsequent decisions or adopting subsequent policies regarding named executive officer compensation. Also, after taking into consideration this strong support, the Committee decided to continue using the same executive pay structure of base salary, cash bonus and a mix of restricted stock and stock options.</w:t>
      </w:r>
    </w:p>
    <w:p>
      <w:pPr>
        <w:spacing w:after="0" w:line="166" w:lineRule="exact"/>
        <w:rPr>
          <w:sz w:val="20"/>
          <w:szCs w:val="20"/>
          <w:color w:val="auto"/>
        </w:rPr>
      </w:pPr>
    </w:p>
    <w:p>
      <w:pPr>
        <w:ind w:left="340" w:right="120"/>
        <w:spacing w:after="0" w:line="236" w:lineRule="auto"/>
        <w:rPr>
          <w:sz w:val="20"/>
          <w:szCs w:val="20"/>
          <w:color w:val="auto"/>
        </w:rPr>
      </w:pPr>
      <w:r>
        <w:rPr>
          <w:rFonts w:ascii="Arial" w:cs="Arial" w:eastAsia="Arial" w:hAnsi="Arial"/>
          <w:sz w:val="19"/>
          <w:szCs w:val="19"/>
          <w:color w:val="auto"/>
        </w:rPr>
        <w:t>The Committee has solicited the input of our shareholders regarding our executive compensation program at every Annual Meeting since the 2010 Annual Meeting of Shareholders through a non-binding advisory “Say on Pay” proposal and will continue to seek shareholder input on our executive compensation, in accordance with the provisions of the Dodd-Frank Act, at the Annual Meeting. The following table shows the results of the “Say on Pay” vote by the Company’s shareholders for fiscal 2021 through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137160</wp:posOffset>
            </wp:positionV>
            <wp:extent cx="6710045" cy="139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10045" cy="139700"/>
                    </a:xfrm>
                    <a:prstGeom prst="rect">
                      <a:avLst/>
                    </a:prstGeom>
                    <a:noFill/>
                  </pic:spPr>
                </pic:pic>
              </a:graphicData>
            </a:graphic>
          </wp:anchor>
        </w:drawing>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900" w:type="dxa"/>
            <w:vAlign w:val="bottom"/>
            <w:shd w:val="clear" w:color="auto" w:fill="3E8EDE"/>
          </w:tcPr>
          <w:p>
            <w:pPr>
              <w:spacing w:after="0"/>
              <w:rPr>
                <w:sz w:val="18"/>
                <w:szCs w:val="18"/>
                <w:color w:val="auto"/>
              </w:rPr>
            </w:pPr>
          </w:p>
        </w:tc>
        <w:tc>
          <w:tcPr>
            <w:tcW w:w="1280" w:type="dxa"/>
            <w:vAlign w:val="bottom"/>
            <w:shd w:val="clear" w:color="auto" w:fill="3E8EDE"/>
          </w:tcPr>
          <w:p>
            <w:pPr>
              <w:jc w:val="right"/>
              <w:ind w:right="477"/>
              <w:spacing w:after="0"/>
              <w:rPr>
                <w:sz w:val="20"/>
                <w:szCs w:val="20"/>
                <w:color w:val="auto"/>
              </w:rPr>
            </w:pPr>
            <w:r>
              <w:rPr>
                <w:rFonts w:ascii="Arial" w:cs="Arial" w:eastAsia="Arial" w:hAnsi="Arial"/>
                <w:sz w:val="14"/>
                <w:szCs w:val="14"/>
                <w:b w:val="1"/>
                <w:bCs w:val="1"/>
                <w:color w:val="FFFFFF"/>
              </w:rPr>
              <w:t>2025</w:t>
            </w:r>
          </w:p>
        </w:tc>
        <w:tc>
          <w:tcPr>
            <w:tcW w:w="1320" w:type="dxa"/>
            <w:vAlign w:val="bottom"/>
            <w:shd w:val="clear" w:color="auto" w:fill="3E8EDE"/>
          </w:tcPr>
          <w:p>
            <w:pPr>
              <w:jc w:val="right"/>
              <w:ind w:right="537"/>
              <w:spacing w:after="0"/>
              <w:rPr>
                <w:sz w:val="20"/>
                <w:szCs w:val="20"/>
                <w:color w:val="auto"/>
              </w:rPr>
            </w:pPr>
            <w:r>
              <w:rPr>
                <w:rFonts w:ascii="Arial" w:cs="Arial" w:eastAsia="Arial" w:hAnsi="Arial"/>
                <w:sz w:val="14"/>
                <w:szCs w:val="14"/>
                <w:b w:val="1"/>
                <w:bCs w:val="1"/>
                <w:color w:val="FFFFFF"/>
              </w:rPr>
              <w:t>2024</w:t>
            </w:r>
          </w:p>
        </w:tc>
        <w:tc>
          <w:tcPr>
            <w:tcW w:w="1360" w:type="dxa"/>
            <w:vAlign w:val="bottom"/>
            <w:shd w:val="clear" w:color="auto" w:fill="3E8EDE"/>
          </w:tcPr>
          <w:p>
            <w:pPr>
              <w:jc w:val="right"/>
              <w:ind w:right="537"/>
              <w:spacing w:after="0"/>
              <w:rPr>
                <w:sz w:val="20"/>
                <w:szCs w:val="20"/>
                <w:color w:val="auto"/>
              </w:rPr>
            </w:pPr>
            <w:r>
              <w:rPr>
                <w:rFonts w:ascii="Arial" w:cs="Arial" w:eastAsia="Arial" w:hAnsi="Arial"/>
                <w:sz w:val="14"/>
                <w:szCs w:val="14"/>
                <w:b w:val="1"/>
                <w:bCs w:val="1"/>
                <w:color w:val="FFFFFF"/>
              </w:rPr>
              <w:t>2023</w:t>
            </w:r>
          </w:p>
        </w:tc>
        <w:tc>
          <w:tcPr>
            <w:tcW w:w="1380" w:type="dxa"/>
            <w:vAlign w:val="bottom"/>
            <w:shd w:val="clear" w:color="auto" w:fill="3E8EDE"/>
          </w:tcPr>
          <w:p>
            <w:pPr>
              <w:jc w:val="right"/>
              <w:ind w:right="557"/>
              <w:spacing w:after="0"/>
              <w:rPr>
                <w:sz w:val="20"/>
                <w:szCs w:val="20"/>
                <w:color w:val="auto"/>
              </w:rPr>
            </w:pPr>
            <w:r>
              <w:rPr>
                <w:rFonts w:ascii="Arial" w:cs="Arial" w:eastAsia="Arial" w:hAnsi="Arial"/>
                <w:sz w:val="14"/>
                <w:szCs w:val="14"/>
                <w:b w:val="1"/>
                <w:bCs w:val="1"/>
                <w:color w:val="FFFFFF"/>
              </w:rPr>
              <w:t>2022</w:t>
            </w:r>
          </w:p>
        </w:tc>
        <w:tc>
          <w:tcPr>
            <w:tcW w:w="1320" w:type="dxa"/>
            <w:vAlign w:val="bottom"/>
            <w:shd w:val="clear" w:color="auto" w:fill="3E8EDE"/>
          </w:tcPr>
          <w:p>
            <w:pPr>
              <w:jc w:val="right"/>
              <w:ind w:right="497"/>
              <w:spacing w:after="0"/>
              <w:rPr>
                <w:sz w:val="20"/>
                <w:szCs w:val="20"/>
                <w:color w:val="auto"/>
              </w:rPr>
            </w:pPr>
            <w:r>
              <w:rPr>
                <w:rFonts w:ascii="Arial" w:cs="Arial" w:eastAsia="Arial" w:hAnsi="Arial"/>
                <w:sz w:val="14"/>
                <w:szCs w:val="14"/>
                <w:b w:val="1"/>
                <w:bCs w:val="1"/>
                <w:color w:val="FFFFFF"/>
              </w:rPr>
              <w:t>2021</w:t>
            </w:r>
          </w:p>
        </w:tc>
      </w:tr>
      <w:tr>
        <w:trPr>
          <w:trHeight w:val="239"/>
        </w:trPr>
        <w:tc>
          <w:tcPr>
            <w:tcW w:w="390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7"/>
                <w:szCs w:val="17"/>
                <w:color w:val="auto"/>
              </w:rPr>
              <w:t>% of votes cast on proposal in favor</w:t>
            </w:r>
          </w:p>
        </w:tc>
        <w:tc>
          <w:tcPr>
            <w:tcW w:w="1280" w:type="dxa"/>
            <w:vAlign w:val="bottom"/>
            <w:tcBorders>
              <w:bottom w:val="single" w:sz="8" w:color="E2EEFA"/>
            </w:tcBorders>
            <w:shd w:val="clear" w:color="auto" w:fill="E2EEFA"/>
          </w:tcPr>
          <w:p>
            <w:pPr>
              <w:jc w:val="right"/>
              <w:ind w:right="117"/>
              <w:spacing w:after="0"/>
              <w:rPr>
                <w:sz w:val="20"/>
                <w:szCs w:val="20"/>
                <w:color w:val="auto"/>
              </w:rPr>
            </w:pPr>
            <w:r>
              <w:rPr>
                <w:rFonts w:ascii="Arial" w:cs="Arial" w:eastAsia="Arial" w:hAnsi="Arial"/>
                <w:sz w:val="17"/>
                <w:szCs w:val="17"/>
                <w:color w:val="auto"/>
              </w:rPr>
              <w:t>90.14%</w:t>
            </w:r>
          </w:p>
        </w:tc>
        <w:tc>
          <w:tcPr>
            <w:tcW w:w="1320" w:type="dxa"/>
            <w:vAlign w:val="bottom"/>
            <w:tcBorders>
              <w:bottom w:val="single" w:sz="8" w:color="E2EEFA"/>
            </w:tcBorders>
            <w:shd w:val="clear" w:color="auto" w:fill="E2EEFA"/>
          </w:tcPr>
          <w:p>
            <w:pPr>
              <w:jc w:val="right"/>
              <w:ind w:right="177"/>
              <w:spacing w:after="0"/>
              <w:rPr>
                <w:sz w:val="20"/>
                <w:szCs w:val="20"/>
                <w:color w:val="auto"/>
              </w:rPr>
            </w:pPr>
            <w:r>
              <w:rPr>
                <w:rFonts w:ascii="Arial" w:cs="Arial" w:eastAsia="Arial" w:hAnsi="Arial"/>
                <w:sz w:val="17"/>
                <w:szCs w:val="17"/>
                <w:color w:val="auto"/>
              </w:rPr>
              <w:t>92.70%</w:t>
            </w:r>
          </w:p>
        </w:tc>
        <w:tc>
          <w:tcPr>
            <w:tcW w:w="1360" w:type="dxa"/>
            <w:vAlign w:val="bottom"/>
            <w:tcBorders>
              <w:bottom w:val="single" w:sz="8" w:color="E2EEFA"/>
            </w:tcBorders>
            <w:shd w:val="clear" w:color="auto" w:fill="E2EEFA"/>
          </w:tcPr>
          <w:p>
            <w:pPr>
              <w:jc w:val="right"/>
              <w:ind w:right="177"/>
              <w:spacing w:after="0"/>
              <w:rPr>
                <w:sz w:val="20"/>
                <w:szCs w:val="20"/>
                <w:color w:val="auto"/>
              </w:rPr>
            </w:pPr>
            <w:r>
              <w:rPr>
                <w:rFonts w:ascii="Arial" w:cs="Arial" w:eastAsia="Arial" w:hAnsi="Arial"/>
                <w:sz w:val="17"/>
                <w:szCs w:val="17"/>
                <w:color w:val="auto"/>
              </w:rPr>
              <w:t>92.23%</w:t>
            </w:r>
          </w:p>
        </w:tc>
        <w:tc>
          <w:tcPr>
            <w:tcW w:w="1380" w:type="dxa"/>
            <w:vAlign w:val="bottom"/>
            <w:tcBorders>
              <w:bottom w:val="single" w:sz="8" w:color="E2EEFA"/>
            </w:tcBorders>
            <w:shd w:val="clear" w:color="auto" w:fill="E2EEFA"/>
          </w:tcPr>
          <w:p>
            <w:pPr>
              <w:jc w:val="right"/>
              <w:ind w:right="177"/>
              <w:spacing w:after="0"/>
              <w:rPr>
                <w:sz w:val="20"/>
                <w:szCs w:val="20"/>
                <w:color w:val="auto"/>
              </w:rPr>
            </w:pPr>
            <w:r>
              <w:rPr>
                <w:rFonts w:ascii="Arial" w:cs="Arial" w:eastAsia="Arial" w:hAnsi="Arial"/>
                <w:sz w:val="17"/>
                <w:szCs w:val="17"/>
                <w:color w:val="auto"/>
              </w:rPr>
              <w:t>95.74%</w:t>
            </w:r>
          </w:p>
        </w:tc>
        <w:tc>
          <w:tcPr>
            <w:tcW w:w="1320" w:type="dxa"/>
            <w:vAlign w:val="bottom"/>
            <w:tcBorders>
              <w:bottom w:val="single" w:sz="8" w:color="E2EEFA"/>
            </w:tcBorders>
            <w:shd w:val="clear" w:color="auto" w:fill="E2EEFA"/>
          </w:tcPr>
          <w:p>
            <w:pPr>
              <w:jc w:val="right"/>
              <w:ind w:right="117"/>
              <w:spacing w:after="0"/>
              <w:rPr>
                <w:sz w:val="20"/>
                <w:szCs w:val="20"/>
                <w:color w:val="auto"/>
              </w:rPr>
            </w:pPr>
            <w:r>
              <w:rPr>
                <w:rFonts w:ascii="Arial" w:cs="Arial" w:eastAsia="Arial" w:hAnsi="Arial"/>
                <w:sz w:val="17"/>
                <w:szCs w:val="17"/>
                <w:color w:val="auto"/>
              </w:rPr>
              <w:t>96.59%</w:t>
            </w:r>
          </w:p>
        </w:tc>
      </w:tr>
      <w:tr>
        <w:trPr>
          <w:trHeight w:val="236"/>
        </w:trPr>
        <w:tc>
          <w:tcPr>
            <w:tcW w:w="3900" w:type="dxa"/>
            <w:vAlign w:val="bottom"/>
          </w:tcPr>
          <w:p>
            <w:pPr>
              <w:ind w:left="60"/>
              <w:spacing w:after="0"/>
              <w:rPr>
                <w:sz w:val="20"/>
                <w:szCs w:val="20"/>
                <w:color w:val="auto"/>
              </w:rPr>
            </w:pPr>
            <w:r>
              <w:rPr>
                <w:rFonts w:ascii="Arial" w:cs="Arial" w:eastAsia="Arial" w:hAnsi="Arial"/>
                <w:sz w:val="17"/>
                <w:szCs w:val="17"/>
                <w:color w:val="auto"/>
              </w:rPr>
              <w:t>Votes for</w:t>
            </w:r>
          </w:p>
        </w:tc>
        <w:tc>
          <w:tcPr>
            <w:tcW w:w="1280" w:type="dxa"/>
            <w:vAlign w:val="bottom"/>
          </w:tcPr>
          <w:p>
            <w:pPr>
              <w:jc w:val="right"/>
              <w:ind w:right="117"/>
              <w:spacing w:after="0"/>
              <w:rPr>
                <w:sz w:val="20"/>
                <w:szCs w:val="20"/>
                <w:color w:val="auto"/>
              </w:rPr>
            </w:pPr>
            <w:r>
              <w:rPr>
                <w:rFonts w:ascii="Arial" w:cs="Arial" w:eastAsia="Arial" w:hAnsi="Arial"/>
                <w:sz w:val="17"/>
                <w:szCs w:val="17"/>
                <w:color w:val="auto"/>
              </w:rPr>
              <w:t>77,678,574</w:t>
            </w:r>
          </w:p>
        </w:tc>
        <w:tc>
          <w:tcPr>
            <w:tcW w:w="1320" w:type="dxa"/>
            <w:vAlign w:val="bottom"/>
          </w:tcPr>
          <w:p>
            <w:pPr>
              <w:jc w:val="right"/>
              <w:ind w:right="177"/>
              <w:spacing w:after="0"/>
              <w:rPr>
                <w:sz w:val="20"/>
                <w:szCs w:val="20"/>
                <w:color w:val="auto"/>
              </w:rPr>
            </w:pPr>
            <w:r>
              <w:rPr>
                <w:rFonts w:ascii="Arial" w:cs="Arial" w:eastAsia="Arial" w:hAnsi="Arial"/>
                <w:sz w:val="17"/>
                <w:szCs w:val="17"/>
                <w:color w:val="auto"/>
              </w:rPr>
              <w:t>82,283,019</w:t>
            </w: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81,238,272</w:t>
            </w:r>
          </w:p>
        </w:tc>
        <w:tc>
          <w:tcPr>
            <w:tcW w:w="1380" w:type="dxa"/>
            <w:vAlign w:val="bottom"/>
          </w:tcPr>
          <w:p>
            <w:pPr>
              <w:jc w:val="right"/>
              <w:ind w:right="177"/>
              <w:spacing w:after="0"/>
              <w:rPr>
                <w:sz w:val="20"/>
                <w:szCs w:val="20"/>
                <w:color w:val="auto"/>
              </w:rPr>
            </w:pPr>
            <w:r>
              <w:rPr>
                <w:rFonts w:ascii="Arial" w:cs="Arial" w:eastAsia="Arial" w:hAnsi="Arial"/>
                <w:sz w:val="17"/>
                <w:szCs w:val="17"/>
                <w:color w:val="auto"/>
              </w:rPr>
              <w:t>83,487,034</w:t>
            </w:r>
          </w:p>
        </w:tc>
        <w:tc>
          <w:tcPr>
            <w:tcW w:w="1320" w:type="dxa"/>
            <w:vAlign w:val="bottom"/>
          </w:tcPr>
          <w:p>
            <w:pPr>
              <w:jc w:val="right"/>
              <w:ind w:right="117"/>
              <w:spacing w:after="0"/>
              <w:rPr>
                <w:sz w:val="20"/>
                <w:szCs w:val="20"/>
                <w:color w:val="auto"/>
              </w:rPr>
            </w:pPr>
            <w:r>
              <w:rPr>
                <w:rFonts w:ascii="Arial" w:cs="Arial" w:eastAsia="Arial" w:hAnsi="Arial"/>
                <w:sz w:val="17"/>
                <w:szCs w:val="17"/>
                <w:color w:val="auto"/>
              </w:rPr>
              <w:t>70,427,202</w:t>
            </w:r>
          </w:p>
        </w:tc>
      </w:tr>
      <w:tr>
        <w:trPr>
          <w:trHeight w:val="256"/>
        </w:trPr>
        <w:tc>
          <w:tcPr>
            <w:tcW w:w="3900" w:type="dxa"/>
            <w:vAlign w:val="bottom"/>
            <w:shd w:val="clear" w:color="auto" w:fill="E2EEFA"/>
          </w:tcPr>
          <w:p>
            <w:pPr>
              <w:ind w:left="60"/>
              <w:spacing w:after="0"/>
              <w:rPr>
                <w:sz w:val="20"/>
                <w:szCs w:val="20"/>
                <w:color w:val="auto"/>
              </w:rPr>
            </w:pPr>
            <w:r>
              <w:rPr>
                <w:rFonts w:ascii="Arial" w:cs="Arial" w:eastAsia="Arial" w:hAnsi="Arial"/>
                <w:sz w:val="17"/>
                <w:szCs w:val="17"/>
                <w:color w:val="auto"/>
              </w:rPr>
              <w:t>Votes against</w:t>
            </w:r>
          </w:p>
        </w:tc>
        <w:tc>
          <w:tcPr>
            <w:tcW w:w="1280" w:type="dxa"/>
            <w:vAlign w:val="bottom"/>
            <w:shd w:val="clear" w:color="auto" w:fill="E2EEFA"/>
          </w:tcPr>
          <w:p>
            <w:pPr>
              <w:jc w:val="right"/>
              <w:ind w:right="117"/>
              <w:spacing w:after="0"/>
              <w:rPr>
                <w:sz w:val="20"/>
                <w:szCs w:val="20"/>
                <w:color w:val="auto"/>
              </w:rPr>
            </w:pPr>
            <w:r>
              <w:rPr>
                <w:rFonts w:ascii="Arial" w:cs="Arial" w:eastAsia="Arial" w:hAnsi="Arial"/>
                <w:sz w:val="17"/>
                <w:szCs w:val="17"/>
                <w:color w:val="auto"/>
              </w:rPr>
              <w:t>8,498,219</w:t>
            </w:r>
          </w:p>
        </w:tc>
        <w:tc>
          <w:tcPr>
            <w:tcW w:w="1320" w:type="dxa"/>
            <w:vAlign w:val="bottom"/>
            <w:shd w:val="clear" w:color="auto" w:fill="E2EEFA"/>
          </w:tcPr>
          <w:p>
            <w:pPr>
              <w:jc w:val="right"/>
              <w:ind w:right="177"/>
              <w:spacing w:after="0"/>
              <w:rPr>
                <w:sz w:val="20"/>
                <w:szCs w:val="20"/>
                <w:color w:val="auto"/>
              </w:rPr>
            </w:pPr>
            <w:r>
              <w:rPr>
                <w:rFonts w:ascii="Arial" w:cs="Arial" w:eastAsia="Arial" w:hAnsi="Arial"/>
                <w:sz w:val="17"/>
                <w:szCs w:val="17"/>
                <w:color w:val="auto"/>
              </w:rPr>
              <w:t>6,478,744</w:t>
            </w:r>
          </w:p>
        </w:tc>
        <w:tc>
          <w:tcPr>
            <w:tcW w:w="1360" w:type="dxa"/>
            <w:vAlign w:val="bottom"/>
            <w:shd w:val="clear" w:color="auto" w:fill="E2EEFA"/>
          </w:tcPr>
          <w:p>
            <w:pPr>
              <w:jc w:val="right"/>
              <w:ind w:right="177"/>
              <w:spacing w:after="0"/>
              <w:rPr>
                <w:sz w:val="20"/>
                <w:szCs w:val="20"/>
                <w:color w:val="auto"/>
              </w:rPr>
            </w:pPr>
            <w:r>
              <w:rPr>
                <w:rFonts w:ascii="Arial" w:cs="Arial" w:eastAsia="Arial" w:hAnsi="Arial"/>
                <w:sz w:val="17"/>
                <w:szCs w:val="17"/>
                <w:color w:val="auto"/>
              </w:rPr>
              <w:t>6,841,234</w:t>
            </w:r>
          </w:p>
        </w:tc>
        <w:tc>
          <w:tcPr>
            <w:tcW w:w="1380" w:type="dxa"/>
            <w:vAlign w:val="bottom"/>
            <w:shd w:val="clear" w:color="auto" w:fill="E2EEFA"/>
          </w:tcPr>
          <w:p>
            <w:pPr>
              <w:jc w:val="right"/>
              <w:ind w:right="177"/>
              <w:spacing w:after="0"/>
              <w:rPr>
                <w:sz w:val="20"/>
                <w:szCs w:val="20"/>
                <w:color w:val="auto"/>
              </w:rPr>
            </w:pPr>
            <w:r>
              <w:rPr>
                <w:rFonts w:ascii="Arial" w:cs="Arial" w:eastAsia="Arial" w:hAnsi="Arial"/>
                <w:sz w:val="17"/>
                <w:szCs w:val="17"/>
                <w:color w:val="auto"/>
              </w:rPr>
              <w:t>3,718,395</w:t>
            </w:r>
          </w:p>
        </w:tc>
        <w:tc>
          <w:tcPr>
            <w:tcW w:w="1320" w:type="dxa"/>
            <w:vAlign w:val="bottom"/>
            <w:shd w:val="clear" w:color="auto" w:fill="E2EEFA"/>
          </w:tcPr>
          <w:p>
            <w:pPr>
              <w:jc w:val="right"/>
              <w:ind w:right="117"/>
              <w:spacing w:after="0"/>
              <w:rPr>
                <w:sz w:val="20"/>
                <w:szCs w:val="20"/>
                <w:color w:val="auto"/>
              </w:rPr>
            </w:pPr>
            <w:r>
              <w:rPr>
                <w:rFonts w:ascii="Arial" w:cs="Arial" w:eastAsia="Arial" w:hAnsi="Arial"/>
                <w:sz w:val="17"/>
                <w:szCs w:val="17"/>
                <w:color w:val="auto"/>
              </w:rPr>
              <w:t>2,486,333</w:t>
            </w:r>
          </w:p>
        </w:tc>
      </w:tr>
      <w:tr>
        <w:trPr>
          <w:trHeight w:val="236"/>
        </w:trPr>
        <w:tc>
          <w:tcPr>
            <w:tcW w:w="3900" w:type="dxa"/>
            <w:vAlign w:val="bottom"/>
          </w:tcPr>
          <w:p>
            <w:pPr>
              <w:ind w:left="60"/>
              <w:spacing w:after="0"/>
              <w:rPr>
                <w:sz w:val="20"/>
                <w:szCs w:val="20"/>
                <w:color w:val="auto"/>
              </w:rPr>
            </w:pPr>
            <w:r>
              <w:rPr>
                <w:rFonts w:ascii="Arial" w:cs="Arial" w:eastAsia="Arial" w:hAnsi="Arial"/>
                <w:sz w:val="17"/>
                <w:szCs w:val="17"/>
                <w:color w:val="auto"/>
              </w:rPr>
              <w:t>Abstentions</w:t>
            </w:r>
          </w:p>
        </w:tc>
        <w:tc>
          <w:tcPr>
            <w:tcW w:w="1280" w:type="dxa"/>
            <w:vAlign w:val="bottom"/>
          </w:tcPr>
          <w:p>
            <w:pPr>
              <w:jc w:val="right"/>
              <w:ind w:right="117"/>
              <w:spacing w:after="0"/>
              <w:rPr>
                <w:sz w:val="20"/>
                <w:szCs w:val="20"/>
                <w:color w:val="auto"/>
              </w:rPr>
            </w:pPr>
            <w:r>
              <w:rPr>
                <w:rFonts w:ascii="Arial" w:cs="Arial" w:eastAsia="Arial" w:hAnsi="Arial"/>
                <w:sz w:val="17"/>
                <w:szCs w:val="17"/>
                <w:color w:val="auto"/>
              </w:rPr>
              <w:t>193,930</w:t>
            </w:r>
          </w:p>
        </w:tc>
        <w:tc>
          <w:tcPr>
            <w:tcW w:w="1320" w:type="dxa"/>
            <w:vAlign w:val="bottom"/>
          </w:tcPr>
          <w:p>
            <w:pPr>
              <w:jc w:val="right"/>
              <w:ind w:right="177"/>
              <w:spacing w:after="0"/>
              <w:rPr>
                <w:sz w:val="20"/>
                <w:szCs w:val="20"/>
                <w:color w:val="auto"/>
              </w:rPr>
            </w:pPr>
            <w:r>
              <w:rPr>
                <w:rFonts w:ascii="Arial" w:cs="Arial" w:eastAsia="Arial" w:hAnsi="Arial"/>
                <w:sz w:val="17"/>
                <w:szCs w:val="17"/>
                <w:color w:val="auto"/>
              </w:rPr>
              <w:t>64,075</w:t>
            </w:r>
          </w:p>
        </w:tc>
        <w:tc>
          <w:tcPr>
            <w:tcW w:w="1360" w:type="dxa"/>
            <w:vAlign w:val="bottom"/>
          </w:tcPr>
          <w:p>
            <w:pPr>
              <w:jc w:val="right"/>
              <w:ind w:right="177"/>
              <w:spacing w:after="0"/>
              <w:rPr>
                <w:sz w:val="20"/>
                <w:szCs w:val="20"/>
                <w:color w:val="auto"/>
              </w:rPr>
            </w:pPr>
            <w:r>
              <w:rPr>
                <w:rFonts w:ascii="Arial" w:cs="Arial" w:eastAsia="Arial" w:hAnsi="Arial"/>
                <w:sz w:val="17"/>
                <w:szCs w:val="17"/>
                <w:color w:val="auto"/>
              </w:rPr>
              <w:t>87,529</w:t>
            </w:r>
          </w:p>
        </w:tc>
        <w:tc>
          <w:tcPr>
            <w:tcW w:w="1380" w:type="dxa"/>
            <w:vAlign w:val="bottom"/>
          </w:tcPr>
          <w:p>
            <w:pPr>
              <w:jc w:val="right"/>
              <w:ind w:right="177"/>
              <w:spacing w:after="0"/>
              <w:rPr>
                <w:sz w:val="20"/>
                <w:szCs w:val="20"/>
                <w:color w:val="auto"/>
              </w:rPr>
            </w:pPr>
            <w:r>
              <w:rPr>
                <w:rFonts w:ascii="Arial" w:cs="Arial" w:eastAsia="Arial" w:hAnsi="Arial"/>
                <w:sz w:val="17"/>
                <w:szCs w:val="17"/>
                <w:color w:val="auto"/>
              </w:rPr>
              <w:t>228,889</w:t>
            </w:r>
          </w:p>
        </w:tc>
        <w:tc>
          <w:tcPr>
            <w:tcW w:w="1320" w:type="dxa"/>
            <w:vAlign w:val="bottom"/>
          </w:tcPr>
          <w:p>
            <w:pPr>
              <w:jc w:val="right"/>
              <w:ind w:right="117"/>
              <w:spacing w:after="0"/>
              <w:rPr>
                <w:sz w:val="20"/>
                <w:szCs w:val="20"/>
                <w:color w:val="auto"/>
              </w:rPr>
            </w:pPr>
            <w:r>
              <w:rPr>
                <w:rFonts w:ascii="Arial" w:cs="Arial" w:eastAsia="Arial" w:hAnsi="Arial"/>
                <w:sz w:val="17"/>
                <w:szCs w:val="17"/>
                <w:color w:val="auto"/>
              </w:rPr>
              <w:t>86,921</w:t>
            </w:r>
          </w:p>
        </w:tc>
      </w:tr>
      <w:tr>
        <w:trPr>
          <w:trHeight w:val="249"/>
        </w:trPr>
        <w:tc>
          <w:tcPr>
            <w:tcW w:w="3900" w:type="dxa"/>
            <w:vAlign w:val="bottom"/>
            <w:tcBorders>
              <w:bottom w:val="single" w:sz="8" w:color="3E8EDE"/>
            </w:tcBorders>
            <w:shd w:val="clear" w:color="auto" w:fill="E2EEFA"/>
          </w:tcPr>
          <w:p>
            <w:pPr>
              <w:ind w:left="60"/>
              <w:spacing w:after="0"/>
              <w:rPr>
                <w:sz w:val="20"/>
                <w:szCs w:val="20"/>
                <w:color w:val="auto"/>
              </w:rPr>
            </w:pPr>
            <w:r>
              <w:rPr>
                <w:rFonts w:ascii="Arial" w:cs="Arial" w:eastAsia="Arial" w:hAnsi="Arial"/>
                <w:sz w:val="17"/>
                <w:szCs w:val="17"/>
                <w:color w:val="auto"/>
              </w:rPr>
              <w:t>Broker non-votes</w:t>
            </w:r>
          </w:p>
        </w:tc>
        <w:tc>
          <w:tcPr>
            <w:tcW w:w="1280" w:type="dxa"/>
            <w:vAlign w:val="bottom"/>
            <w:tcBorders>
              <w:bottom w:val="single" w:sz="8" w:color="3E8EDE"/>
            </w:tcBorders>
            <w:shd w:val="clear" w:color="auto" w:fill="E2EEFA"/>
          </w:tcPr>
          <w:p>
            <w:pPr>
              <w:jc w:val="right"/>
              <w:ind w:right="117"/>
              <w:spacing w:after="0"/>
              <w:rPr>
                <w:sz w:val="20"/>
                <w:szCs w:val="20"/>
                <w:color w:val="auto"/>
              </w:rPr>
            </w:pPr>
            <w:r>
              <w:rPr>
                <w:rFonts w:ascii="Arial" w:cs="Arial" w:eastAsia="Arial" w:hAnsi="Arial"/>
                <w:sz w:val="17"/>
                <w:szCs w:val="17"/>
                <w:color w:val="auto"/>
              </w:rPr>
              <w:t>3,982,228</w:t>
            </w:r>
          </w:p>
        </w:tc>
        <w:tc>
          <w:tcPr>
            <w:tcW w:w="1320" w:type="dxa"/>
            <w:vAlign w:val="bottom"/>
            <w:tcBorders>
              <w:bottom w:val="single" w:sz="8" w:color="3E8EDE"/>
            </w:tcBorders>
            <w:shd w:val="clear" w:color="auto" w:fill="E2EEFA"/>
          </w:tcPr>
          <w:p>
            <w:pPr>
              <w:jc w:val="right"/>
              <w:ind w:right="177"/>
              <w:spacing w:after="0"/>
              <w:rPr>
                <w:sz w:val="20"/>
                <w:szCs w:val="20"/>
                <w:color w:val="auto"/>
              </w:rPr>
            </w:pPr>
            <w:r>
              <w:rPr>
                <w:rFonts w:ascii="Arial" w:cs="Arial" w:eastAsia="Arial" w:hAnsi="Arial"/>
                <w:sz w:val="17"/>
                <w:szCs w:val="17"/>
                <w:color w:val="auto"/>
              </w:rPr>
              <w:t>3,653,415</w:t>
            </w:r>
          </w:p>
        </w:tc>
        <w:tc>
          <w:tcPr>
            <w:tcW w:w="1360" w:type="dxa"/>
            <w:vAlign w:val="bottom"/>
            <w:tcBorders>
              <w:bottom w:val="single" w:sz="8" w:color="3E8EDE"/>
            </w:tcBorders>
            <w:shd w:val="clear" w:color="auto" w:fill="E2EEFA"/>
          </w:tcPr>
          <w:p>
            <w:pPr>
              <w:jc w:val="right"/>
              <w:ind w:right="177"/>
              <w:spacing w:after="0"/>
              <w:rPr>
                <w:sz w:val="20"/>
                <w:szCs w:val="20"/>
                <w:color w:val="auto"/>
              </w:rPr>
            </w:pPr>
            <w:r>
              <w:rPr>
                <w:rFonts w:ascii="Arial" w:cs="Arial" w:eastAsia="Arial" w:hAnsi="Arial"/>
                <w:sz w:val="17"/>
                <w:szCs w:val="17"/>
                <w:color w:val="auto"/>
              </w:rPr>
              <w:t>3,550,815</w:t>
            </w:r>
          </w:p>
        </w:tc>
        <w:tc>
          <w:tcPr>
            <w:tcW w:w="1380" w:type="dxa"/>
            <w:vAlign w:val="bottom"/>
            <w:tcBorders>
              <w:bottom w:val="single" w:sz="8" w:color="3E8EDE"/>
            </w:tcBorders>
            <w:shd w:val="clear" w:color="auto" w:fill="E2EEFA"/>
          </w:tcPr>
          <w:p>
            <w:pPr>
              <w:jc w:val="right"/>
              <w:ind w:right="177"/>
              <w:spacing w:after="0"/>
              <w:rPr>
                <w:sz w:val="20"/>
                <w:szCs w:val="20"/>
                <w:color w:val="auto"/>
              </w:rPr>
            </w:pPr>
            <w:r>
              <w:rPr>
                <w:rFonts w:ascii="Arial" w:cs="Arial" w:eastAsia="Arial" w:hAnsi="Arial"/>
                <w:sz w:val="17"/>
                <w:szCs w:val="17"/>
                <w:color w:val="auto"/>
              </w:rPr>
              <w:t>3,116,875</w:t>
            </w:r>
          </w:p>
        </w:tc>
        <w:tc>
          <w:tcPr>
            <w:tcW w:w="1320" w:type="dxa"/>
            <w:vAlign w:val="bottom"/>
            <w:tcBorders>
              <w:bottom w:val="single" w:sz="8" w:color="3E8EDE"/>
            </w:tcBorders>
            <w:shd w:val="clear" w:color="auto" w:fill="E2EEFA"/>
          </w:tcPr>
          <w:p>
            <w:pPr>
              <w:jc w:val="right"/>
              <w:ind w:right="117"/>
              <w:spacing w:after="0"/>
              <w:rPr>
                <w:sz w:val="20"/>
                <w:szCs w:val="20"/>
                <w:color w:val="auto"/>
              </w:rPr>
            </w:pPr>
            <w:r>
              <w:rPr>
                <w:rFonts w:ascii="Arial" w:cs="Arial" w:eastAsia="Arial" w:hAnsi="Arial"/>
                <w:sz w:val="17"/>
                <w:szCs w:val="17"/>
                <w:color w:val="auto"/>
              </w:rPr>
              <w:t>2,668,460</w:t>
            </w:r>
          </w:p>
        </w:tc>
      </w:tr>
    </w:tbl>
    <w:p>
      <w:pPr>
        <w:spacing w:after="0" w:line="28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Recent Activity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Some of the recent executive compensation or related matters approved, decided, or supported by the Committee include:</w:t>
      </w:r>
    </w:p>
    <w:p>
      <w:pPr>
        <w:spacing w:after="0" w:line="222" w:lineRule="exact"/>
        <w:rPr>
          <w:sz w:val="20"/>
          <w:szCs w:val="20"/>
          <w:color w:val="auto"/>
        </w:rPr>
      </w:pPr>
    </w:p>
    <w:p>
      <w:pPr>
        <w:ind w:left="540" w:right="200" w:hanging="200"/>
        <w:spacing w:after="0" w:line="244"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Providing continued vesting after “retirement” for equity awards made after May 30, 2023 to employees residing in the U.S. and a limited number of other countries who meet certain eligibility requirements based on age and length of service with the Company;</w:t>
      </w:r>
    </w:p>
    <w:p>
      <w:pPr>
        <w:spacing w:after="0" w:line="188" w:lineRule="exact"/>
        <w:rPr>
          <w:rFonts w:ascii="Arial" w:cs="Arial" w:eastAsia="Arial" w:hAnsi="Arial"/>
          <w:sz w:val="19"/>
          <w:szCs w:val="19"/>
          <w:color w:val="auto"/>
        </w:rPr>
      </w:pPr>
    </w:p>
    <w:p>
      <w:pPr>
        <w:ind w:left="540" w:right="200" w:hanging="200"/>
        <w:spacing w:after="0" w:line="262"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Expanding the “clawback” policies applicable to the Company’s annual incentive compensation plan to reflect SEC/NYSE mandates;</w:t>
      </w:r>
    </w:p>
    <w:p>
      <w:pPr>
        <w:spacing w:after="0" w:line="170" w:lineRule="exact"/>
        <w:rPr>
          <w:rFonts w:ascii="Arial" w:cs="Arial" w:eastAsia="Arial" w:hAnsi="Arial"/>
          <w:sz w:val="19"/>
          <w:szCs w:val="19"/>
          <w:color w:val="auto"/>
        </w:rPr>
      </w:pPr>
    </w:p>
    <w:p>
      <w:pPr>
        <w:ind w:left="540" w:right="120" w:hanging="200"/>
        <w:spacing w:after="0" w:line="262"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Expanding the scope of the Company’s “officer” stock ownership policy to include a number of key employees who are not executive officers; and</w:t>
      </w:r>
    </w:p>
    <w:p>
      <w:pPr>
        <w:spacing w:after="0" w:line="170" w:lineRule="exact"/>
        <w:rPr>
          <w:rFonts w:ascii="Arial" w:cs="Arial" w:eastAsia="Arial" w:hAnsi="Arial"/>
          <w:sz w:val="19"/>
          <w:szCs w:val="19"/>
          <w:color w:val="auto"/>
        </w:rPr>
      </w:pPr>
    </w:p>
    <w:p>
      <w:pPr>
        <w:ind w:left="540" w:hanging="200"/>
        <w:spacing w:after="0"/>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Refining Employee Engagement survey practice and frequency.</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45</w:t>
      </w:r>
    </w:p>
    <w:p>
      <w:pPr>
        <w:sectPr>
          <w:pgSz w:w="11900" w:h="16838" w:orient="portrait"/>
          <w:cols w:equalWidth="0" w:num="1">
            <w:col w:w="10900"/>
          </w:cols>
          <w:pgMar w:left="320" w:top="469" w:right="6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Roles and Responsibilities</w:t>
      </w:r>
    </w:p>
    <w:p>
      <w:pPr>
        <w:spacing w:after="0" w:line="92" w:lineRule="exact"/>
        <w:rPr>
          <w:sz w:val="20"/>
          <w:szCs w:val="20"/>
          <w:color w:val="auto"/>
        </w:rPr>
      </w:pPr>
    </w:p>
    <w:p>
      <w:pPr>
        <w:ind w:left="340" w:right="160"/>
        <w:spacing w:after="0" w:line="244" w:lineRule="auto"/>
        <w:rPr>
          <w:sz w:val="20"/>
          <w:szCs w:val="20"/>
          <w:color w:val="auto"/>
        </w:rPr>
      </w:pPr>
      <w:r>
        <w:rPr>
          <w:rFonts w:ascii="Arial" w:cs="Arial" w:eastAsia="Arial" w:hAnsi="Arial"/>
          <w:sz w:val="19"/>
          <w:szCs w:val="19"/>
          <w:color w:val="auto"/>
        </w:rPr>
        <w:t>The roles and responsibilities of our Compensation Committee, compensation consultant, CEO and other members of management with respect to compensation decisions are discussed throughout this Proxy Statement and in particular within this Compensation Discussion and Analysis. This collaborative process is summarized below.</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65"/>
        </w:trPr>
        <w:tc>
          <w:tcPr>
            <w:tcW w:w="2440" w:type="dxa"/>
            <w:vAlign w:val="bottom"/>
            <w:tcBorders>
              <w:bottom w:val="single" w:sz="8" w:color="3E8EDE"/>
              <w:right w:val="single" w:sz="8" w:color="3E8EDE"/>
            </w:tcBorders>
            <w:shd w:val="clear" w:color="auto" w:fill="3E8EDE"/>
          </w:tcPr>
          <w:p>
            <w:pPr>
              <w:spacing w:after="0"/>
              <w:rPr>
                <w:sz w:val="20"/>
                <w:szCs w:val="20"/>
                <w:color w:val="auto"/>
              </w:rPr>
            </w:pPr>
            <w:r>
              <w:rPr>
                <w:rFonts w:ascii="Arial" w:cs="Arial" w:eastAsia="Arial" w:hAnsi="Arial"/>
                <w:sz w:val="17"/>
                <w:szCs w:val="17"/>
                <w:b w:val="1"/>
                <w:bCs w:val="1"/>
                <w:color w:val="FFFFFF"/>
              </w:rPr>
              <w:t> Responsible Party</w:t>
            </w:r>
          </w:p>
        </w:tc>
        <w:tc>
          <w:tcPr>
            <w:tcW w:w="8120" w:type="dxa"/>
            <w:vAlign w:val="bottom"/>
            <w:tcBorders>
              <w:bottom w:val="single" w:sz="8" w:color="3E8EDE"/>
            </w:tcBorders>
            <w:shd w:val="clear" w:color="auto" w:fill="3E8EDE"/>
          </w:tcPr>
          <w:p>
            <w:pPr>
              <w:ind w:left="100"/>
              <w:spacing w:after="0"/>
              <w:rPr>
                <w:sz w:val="20"/>
                <w:szCs w:val="20"/>
                <w:color w:val="auto"/>
              </w:rPr>
            </w:pPr>
            <w:r>
              <w:rPr>
                <w:rFonts w:ascii="Arial" w:cs="Arial" w:eastAsia="Arial" w:hAnsi="Arial"/>
                <w:sz w:val="17"/>
                <w:szCs w:val="17"/>
                <w:b w:val="1"/>
                <w:bCs w:val="1"/>
                <w:color w:val="FFFFFF"/>
              </w:rPr>
              <w:t>Primary Role and Responsibilities Relating to Compensation Decisions</w:t>
            </w:r>
          </w:p>
        </w:tc>
        <w:tc>
          <w:tcPr>
            <w:tcW w:w="0" w:type="dxa"/>
            <w:vAlign w:val="bottom"/>
          </w:tcPr>
          <w:p>
            <w:pPr>
              <w:spacing w:after="0"/>
              <w:rPr>
                <w:sz w:val="1"/>
                <w:szCs w:val="1"/>
                <w:color w:val="auto"/>
              </w:rPr>
            </w:pPr>
          </w:p>
        </w:tc>
      </w:tr>
      <w:tr>
        <w:trPr>
          <w:trHeight w:val="281"/>
        </w:trPr>
        <w:tc>
          <w:tcPr>
            <w:tcW w:w="2440" w:type="dxa"/>
            <w:vAlign w:val="bottom"/>
            <w:tcBorders>
              <w:right w:val="single" w:sz="8" w:color="B2B2B2"/>
            </w:tcBorders>
            <w:shd w:val="clear" w:color="auto" w:fill="E2EEFA"/>
          </w:tcPr>
          <w:p>
            <w:pPr>
              <w:ind w:left="80"/>
              <w:spacing w:after="0"/>
              <w:rPr>
                <w:sz w:val="20"/>
                <w:szCs w:val="20"/>
                <w:color w:val="auto"/>
              </w:rPr>
            </w:pPr>
            <w:r>
              <w:rPr>
                <w:rFonts w:ascii="Arial" w:cs="Arial" w:eastAsia="Arial" w:hAnsi="Arial"/>
                <w:sz w:val="17"/>
                <w:szCs w:val="17"/>
                <w:color w:val="auto"/>
              </w:rPr>
              <w:t>Compensation Committee</w:t>
            </w:r>
          </w:p>
        </w:tc>
        <w:tc>
          <w:tcPr>
            <w:tcW w:w="8120" w:type="dxa"/>
            <w:vAlign w:val="bottom"/>
            <w:shd w:val="clear" w:color="auto" w:fill="E2EEFA"/>
          </w:tcPr>
          <w:p>
            <w:pPr>
              <w:ind w:left="100"/>
              <w:spacing w:after="0"/>
              <w:rPr>
                <w:sz w:val="20"/>
                <w:szCs w:val="20"/>
                <w:color w:val="auto"/>
              </w:rPr>
            </w:pPr>
            <w:r>
              <w:rPr>
                <w:rFonts w:ascii="Arial" w:cs="Arial" w:eastAsia="Arial" w:hAnsi="Arial"/>
                <w:sz w:val="17"/>
                <w:szCs w:val="17"/>
                <w:color w:val="auto"/>
              </w:rPr>
              <w:t>• Oversees our executive compensation program, policies and practices, taking into account business</w:t>
            </w:r>
          </w:p>
        </w:tc>
        <w:tc>
          <w:tcPr>
            <w:tcW w:w="0" w:type="dxa"/>
            <w:vAlign w:val="bottom"/>
          </w:tcPr>
          <w:p>
            <w:pPr>
              <w:spacing w:after="0"/>
              <w:rPr>
                <w:sz w:val="1"/>
                <w:szCs w:val="1"/>
                <w:color w:val="auto"/>
              </w:rPr>
            </w:pPr>
          </w:p>
        </w:tc>
      </w:tr>
      <w:tr>
        <w:trPr>
          <w:trHeight w:val="194"/>
        </w:trPr>
        <w:tc>
          <w:tcPr>
            <w:tcW w:w="2440" w:type="dxa"/>
            <w:vAlign w:val="bottom"/>
            <w:tcBorders>
              <w:right w:val="single" w:sz="8" w:color="B2B2B2"/>
            </w:tcBorders>
            <w:shd w:val="clear" w:color="auto" w:fill="E2EEFA"/>
          </w:tcPr>
          <w:p>
            <w:pPr>
              <w:ind w:left="80"/>
              <w:spacing w:after="0" w:line="194" w:lineRule="exact"/>
              <w:rPr>
                <w:sz w:val="20"/>
                <w:szCs w:val="20"/>
                <w:color w:val="auto"/>
              </w:rPr>
            </w:pPr>
            <w:r>
              <w:rPr>
                <w:rFonts w:ascii="Arial" w:cs="Arial" w:eastAsia="Arial" w:hAnsi="Arial"/>
                <w:sz w:val="17"/>
                <w:szCs w:val="17"/>
                <w:color w:val="auto"/>
              </w:rPr>
              <w:t>(composed solely of</w:t>
            </w:r>
          </w:p>
        </w:tc>
        <w:tc>
          <w:tcPr>
            <w:tcW w:w="8120" w:type="dxa"/>
            <w:vAlign w:val="bottom"/>
            <w:shd w:val="clear" w:color="auto" w:fill="E2EEFA"/>
          </w:tcPr>
          <w:p>
            <w:pPr>
              <w:ind w:left="280"/>
              <w:spacing w:after="0" w:line="194" w:lineRule="exact"/>
              <w:rPr>
                <w:sz w:val="20"/>
                <w:szCs w:val="20"/>
                <w:color w:val="auto"/>
              </w:rPr>
            </w:pPr>
            <w:r>
              <w:rPr>
                <w:rFonts w:ascii="Arial" w:cs="Arial" w:eastAsia="Arial" w:hAnsi="Arial"/>
                <w:sz w:val="17"/>
                <w:szCs w:val="17"/>
                <w:color w:val="auto"/>
              </w:rPr>
              <w:t>goals and strategies, legal and regulatory developments and evolving best practices;</w:t>
            </w:r>
          </w:p>
        </w:tc>
        <w:tc>
          <w:tcPr>
            <w:tcW w:w="0" w:type="dxa"/>
            <w:vAlign w:val="bottom"/>
          </w:tcPr>
          <w:p>
            <w:pPr>
              <w:spacing w:after="0"/>
              <w:rPr>
                <w:sz w:val="1"/>
                <w:szCs w:val="1"/>
                <w:color w:val="auto"/>
              </w:rPr>
            </w:pPr>
          </w:p>
        </w:tc>
      </w:tr>
      <w:tr>
        <w:trPr>
          <w:trHeight w:val="194"/>
        </w:trPr>
        <w:tc>
          <w:tcPr>
            <w:tcW w:w="2440" w:type="dxa"/>
            <w:vAlign w:val="bottom"/>
            <w:tcBorders>
              <w:right w:val="single" w:sz="8" w:color="B2B2B2"/>
            </w:tcBorders>
            <w:shd w:val="clear" w:color="auto" w:fill="E2EEFA"/>
          </w:tcPr>
          <w:p>
            <w:pPr>
              <w:ind w:left="80"/>
              <w:spacing w:after="0" w:line="194" w:lineRule="exact"/>
              <w:rPr>
                <w:sz w:val="20"/>
                <w:szCs w:val="20"/>
                <w:color w:val="auto"/>
              </w:rPr>
            </w:pPr>
            <w:r>
              <w:rPr>
                <w:rFonts w:ascii="Arial" w:cs="Arial" w:eastAsia="Arial" w:hAnsi="Arial"/>
                <w:sz w:val="17"/>
                <w:szCs w:val="17"/>
                <w:color w:val="auto"/>
              </w:rPr>
              <w:t>independent, non-employee</w:t>
            </w:r>
          </w:p>
        </w:tc>
        <w:tc>
          <w:tcPr>
            <w:tcW w:w="8120" w:type="dxa"/>
            <w:vAlign w:val="bottom"/>
            <w:vMerge w:val="restart"/>
            <w:shd w:val="clear" w:color="auto" w:fill="E2EEFA"/>
          </w:tcPr>
          <w:p>
            <w:pPr>
              <w:ind w:left="100"/>
              <w:spacing w:after="0"/>
              <w:rPr>
                <w:sz w:val="20"/>
                <w:szCs w:val="20"/>
                <w:color w:val="auto"/>
              </w:rPr>
            </w:pPr>
            <w:r>
              <w:rPr>
                <w:rFonts w:ascii="Arial" w:cs="Arial" w:eastAsia="Arial" w:hAnsi="Arial"/>
                <w:sz w:val="17"/>
                <w:szCs w:val="17"/>
                <w:color w:val="auto"/>
              </w:rPr>
              <w:t>• Approves performance goals for purposes of compensation decisions for our named executive officers;</w:t>
            </w:r>
          </w:p>
        </w:tc>
        <w:tc>
          <w:tcPr>
            <w:tcW w:w="0" w:type="dxa"/>
            <w:vAlign w:val="bottom"/>
          </w:tcPr>
          <w:p>
            <w:pPr>
              <w:spacing w:after="0"/>
              <w:rPr>
                <w:sz w:val="1"/>
                <w:szCs w:val="1"/>
                <w:color w:val="auto"/>
              </w:rPr>
            </w:pPr>
          </w:p>
        </w:tc>
      </w:tr>
      <w:tr>
        <w:trPr>
          <w:trHeight w:val="149"/>
        </w:trPr>
        <w:tc>
          <w:tcPr>
            <w:tcW w:w="2440" w:type="dxa"/>
            <w:vAlign w:val="bottom"/>
            <w:tcBorders>
              <w:right w:val="single" w:sz="8" w:color="B2B2B2"/>
            </w:tcBorders>
            <w:vMerge w:val="restart"/>
            <w:shd w:val="clear" w:color="auto" w:fill="E2EEFA"/>
          </w:tcPr>
          <w:p>
            <w:pPr>
              <w:ind w:left="80"/>
              <w:spacing w:after="0" w:line="194" w:lineRule="exact"/>
              <w:rPr>
                <w:sz w:val="20"/>
                <w:szCs w:val="20"/>
                <w:color w:val="auto"/>
              </w:rPr>
            </w:pPr>
            <w:r>
              <w:rPr>
                <w:rFonts w:ascii="Arial" w:cs="Arial" w:eastAsia="Arial" w:hAnsi="Arial"/>
                <w:sz w:val="17"/>
                <w:szCs w:val="17"/>
                <w:color w:val="auto"/>
              </w:rPr>
              <w:t>Directors and reports to the</w:t>
            </w:r>
          </w:p>
        </w:tc>
        <w:tc>
          <w:tcPr>
            <w:tcW w:w="8120" w:type="dxa"/>
            <w:vAlign w:val="bottom"/>
            <w:vMerge w:val="continue"/>
            <w:shd w:val="clear" w:color="auto" w:fill="E2EEFA"/>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440" w:type="dxa"/>
            <w:vAlign w:val="bottom"/>
            <w:tcBorders>
              <w:right w:val="single" w:sz="8" w:color="B2B2B2"/>
            </w:tcBorders>
            <w:vMerge w:val="continue"/>
            <w:shd w:val="clear" w:color="auto" w:fill="E2EEFA"/>
          </w:tcPr>
          <w:p>
            <w:pPr>
              <w:spacing w:after="0"/>
              <w:rPr>
                <w:sz w:val="3"/>
                <w:szCs w:val="3"/>
                <w:color w:val="auto"/>
              </w:rPr>
            </w:pPr>
          </w:p>
        </w:tc>
        <w:tc>
          <w:tcPr>
            <w:tcW w:w="8120" w:type="dxa"/>
            <w:vAlign w:val="bottom"/>
            <w:shd w:val="clear" w:color="auto" w:fill="E2EEFA"/>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440" w:type="dxa"/>
            <w:vAlign w:val="bottom"/>
            <w:tcBorders>
              <w:right w:val="single" w:sz="8" w:color="B2B2B2"/>
            </w:tcBorders>
            <w:shd w:val="clear" w:color="auto" w:fill="E2EEFA"/>
          </w:tcPr>
          <w:p>
            <w:pPr>
              <w:ind w:left="80"/>
              <w:spacing w:after="0"/>
              <w:rPr>
                <w:sz w:val="20"/>
                <w:szCs w:val="20"/>
                <w:color w:val="auto"/>
              </w:rPr>
            </w:pPr>
            <w:r>
              <w:rPr>
                <w:rFonts w:ascii="Arial" w:cs="Arial" w:eastAsia="Arial" w:hAnsi="Arial"/>
                <w:sz w:val="17"/>
                <w:szCs w:val="17"/>
                <w:color w:val="auto"/>
              </w:rPr>
              <w:t>Board)</w:t>
            </w:r>
          </w:p>
        </w:tc>
        <w:tc>
          <w:tcPr>
            <w:tcW w:w="8120" w:type="dxa"/>
            <w:vAlign w:val="bottom"/>
            <w:shd w:val="clear" w:color="auto" w:fill="E2EEFA"/>
          </w:tcPr>
          <w:p>
            <w:pPr>
              <w:ind w:left="100"/>
              <w:spacing w:after="0"/>
              <w:rPr>
                <w:sz w:val="20"/>
                <w:szCs w:val="20"/>
                <w:color w:val="auto"/>
              </w:rPr>
            </w:pPr>
            <w:r>
              <w:rPr>
                <w:rFonts w:ascii="Arial" w:cs="Arial" w:eastAsia="Arial" w:hAnsi="Arial"/>
                <w:sz w:val="17"/>
                <w:szCs w:val="17"/>
                <w:color w:val="auto"/>
              </w:rPr>
              <w:t>• Conducts an annual evaluation of the CEO’s performance in consultation with the full Board and</w:t>
            </w:r>
          </w:p>
        </w:tc>
        <w:tc>
          <w:tcPr>
            <w:tcW w:w="0" w:type="dxa"/>
            <w:vAlign w:val="bottom"/>
          </w:tcPr>
          <w:p>
            <w:pPr>
              <w:spacing w:after="0"/>
              <w:rPr>
                <w:sz w:val="1"/>
                <w:szCs w:val="1"/>
                <w:color w:val="auto"/>
              </w:rPr>
            </w:pPr>
          </w:p>
        </w:tc>
      </w:tr>
      <w:tr>
        <w:trPr>
          <w:trHeight w:val="226"/>
        </w:trPr>
        <w:tc>
          <w:tcPr>
            <w:tcW w:w="2440" w:type="dxa"/>
            <w:vAlign w:val="bottom"/>
            <w:tcBorders>
              <w:right w:val="single" w:sz="8" w:color="B2B2B2"/>
            </w:tcBorders>
            <w:shd w:val="clear" w:color="auto" w:fill="E2EEFA"/>
          </w:tcPr>
          <w:p>
            <w:pPr>
              <w:spacing w:after="0"/>
              <w:rPr>
                <w:sz w:val="19"/>
                <w:szCs w:val="19"/>
                <w:color w:val="auto"/>
              </w:rPr>
            </w:pPr>
          </w:p>
        </w:tc>
        <w:tc>
          <w:tcPr>
            <w:tcW w:w="8120" w:type="dxa"/>
            <w:vAlign w:val="bottom"/>
            <w:shd w:val="clear" w:color="auto" w:fill="E2EEFA"/>
          </w:tcPr>
          <w:p>
            <w:pPr>
              <w:ind w:left="280"/>
              <w:spacing w:after="0"/>
              <w:rPr>
                <w:sz w:val="20"/>
                <w:szCs w:val="20"/>
                <w:color w:val="auto"/>
              </w:rPr>
            </w:pPr>
            <w:r>
              <w:rPr>
                <w:rFonts w:ascii="Arial" w:cs="Arial" w:eastAsia="Arial" w:hAnsi="Arial"/>
                <w:sz w:val="17"/>
                <w:szCs w:val="17"/>
                <w:color w:val="auto"/>
              </w:rPr>
              <w:t>determines his compensation;</w:t>
            </w:r>
          </w:p>
        </w:tc>
        <w:tc>
          <w:tcPr>
            <w:tcW w:w="0" w:type="dxa"/>
            <w:vAlign w:val="bottom"/>
          </w:tcPr>
          <w:p>
            <w:pPr>
              <w:spacing w:after="0"/>
              <w:rPr>
                <w:sz w:val="1"/>
                <w:szCs w:val="1"/>
                <w:color w:val="auto"/>
              </w:rPr>
            </w:pPr>
          </w:p>
        </w:tc>
      </w:tr>
      <w:tr>
        <w:trPr>
          <w:trHeight w:val="279"/>
        </w:trPr>
        <w:tc>
          <w:tcPr>
            <w:tcW w:w="2440" w:type="dxa"/>
            <w:vAlign w:val="bottom"/>
            <w:tcBorders>
              <w:right w:val="single" w:sz="8" w:color="B2B2B2"/>
            </w:tcBorders>
            <w:shd w:val="clear" w:color="auto" w:fill="E2EEFA"/>
          </w:tcPr>
          <w:p>
            <w:pPr>
              <w:spacing w:after="0"/>
              <w:rPr>
                <w:sz w:val="24"/>
                <w:szCs w:val="24"/>
                <w:color w:val="auto"/>
              </w:rPr>
            </w:pPr>
          </w:p>
        </w:tc>
        <w:tc>
          <w:tcPr>
            <w:tcW w:w="8120" w:type="dxa"/>
            <w:vAlign w:val="bottom"/>
            <w:shd w:val="clear" w:color="auto" w:fill="E2EEFA"/>
          </w:tcPr>
          <w:p>
            <w:pPr>
              <w:ind w:left="100"/>
              <w:spacing w:after="0"/>
              <w:rPr>
                <w:sz w:val="20"/>
                <w:szCs w:val="20"/>
                <w:color w:val="auto"/>
              </w:rPr>
            </w:pPr>
            <w:r>
              <w:rPr>
                <w:rFonts w:ascii="Arial" w:cs="Arial" w:eastAsia="Arial" w:hAnsi="Arial"/>
                <w:sz w:val="17"/>
                <w:szCs w:val="17"/>
                <w:color w:val="auto"/>
              </w:rPr>
              <w:t>• Reviews and approves the CEO’s recommendations for compensation for the other named executive</w:t>
            </w:r>
          </w:p>
        </w:tc>
        <w:tc>
          <w:tcPr>
            <w:tcW w:w="0" w:type="dxa"/>
            <w:vAlign w:val="bottom"/>
          </w:tcPr>
          <w:p>
            <w:pPr>
              <w:spacing w:after="0"/>
              <w:rPr>
                <w:sz w:val="1"/>
                <w:szCs w:val="1"/>
                <w:color w:val="auto"/>
              </w:rPr>
            </w:pPr>
          </w:p>
        </w:tc>
      </w:tr>
      <w:tr>
        <w:trPr>
          <w:trHeight w:val="226"/>
        </w:trPr>
        <w:tc>
          <w:tcPr>
            <w:tcW w:w="2440" w:type="dxa"/>
            <w:vAlign w:val="bottom"/>
            <w:tcBorders>
              <w:right w:val="single" w:sz="8" w:color="B2B2B2"/>
            </w:tcBorders>
            <w:shd w:val="clear" w:color="auto" w:fill="E2EEFA"/>
          </w:tcPr>
          <w:p>
            <w:pPr>
              <w:spacing w:after="0"/>
              <w:rPr>
                <w:sz w:val="19"/>
                <w:szCs w:val="19"/>
                <w:color w:val="auto"/>
              </w:rPr>
            </w:pPr>
          </w:p>
        </w:tc>
        <w:tc>
          <w:tcPr>
            <w:tcW w:w="8120" w:type="dxa"/>
            <w:vAlign w:val="bottom"/>
            <w:shd w:val="clear" w:color="auto" w:fill="E2EEFA"/>
          </w:tcPr>
          <w:p>
            <w:pPr>
              <w:ind w:left="280"/>
              <w:spacing w:after="0"/>
              <w:rPr>
                <w:sz w:val="20"/>
                <w:szCs w:val="20"/>
                <w:color w:val="auto"/>
              </w:rPr>
            </w:pPr>
            <w:r>
              <w:rPr>
                <w:rFonts w:ascii="Arial" w:cs="Arial" w:eastAsia="Arial" w:hAnsi="Arial"/>
                <w:sz w:val="17"/>
                <w:szCs w:val="17"/>
                <w:color w:val="auto"/>
              </w:rPr>
              <w:t>officers and senior executives, making changes when deemed appropriate; and</w:t>
            </w:r>
          </w:p>
        </w:tc>
        <w:tc>
          <w:tcPr>
            <w:tcW w:w="0" w:type="dxa"/>
            <w:vAlign w:val="bottom"/>
          </w:tcPr>
          <w:p>
            <w:pPr>
              <w:spacing w:after="0"/>
              <w:rPr>
                <w:sz w:val="1"/>
                <w:szCs w:val="1"/>
                <w:color w:val="auto"/>
              </w:rPr>
            </w:pPr>
          </w:p>
        </w:tc>
      </w:tr>
      <w:tr>
        <w:trPr>
          <w:trHeight w:val="279"/>
        </w:trPr>
        <w:tc>
          <w:tcPr>
            <w:tcW w:w="2440" w:type="dxa"/>
            <w:vAlign w:val="bottom"/>
            <w:tcBorders>
              <w:right w:val="single" w:sz="8" w:color="B2B2B2"/>
            </w:tcBorders>
            <w:shd w:val="clear" w:color="auto" w:fill="E2EEFA"/>
          </w:tcPr>
          <w:p>
            <w:pPr>
              <w:spacing w:after="0"/>
              <w:rPr>
                <w:sz w:val="24"/>
                <w:szCs w:val="24"/>
                <w:color w:val="auto"/>
              </w:rPr>
            </w:pPr>
          </w:p>
        </w:tc>
        <w:tc>
          <w:tcPr>
            <w:tcW w:w="8120" w:type="dxa"/>
            <w:vAlign w:val="bottom"/>
            <w:shd w:val="clear" w:color="auto" w:fill="E2EEFA"/>
          </w:tcPr>
          <w:p>
            <w:pPr>
              <w:ind w:left="100"/>
              <w:spacing w:after="0"/>
              <w:rPr>
                <w:sz w:val="20"/>
                <w:szCs w:val="20"/>
                <w:color w:val="auto"/>
              </w:rPr>
            </w:pPr>
            <w:r>
              <w:rPr>
                <w:rFonts w:ascii="Arial" w:cs="Arial" w:eastAsia="Arial" w:hAnsi="Arial"/>
                <w:sz w:val="17"/>
                <w:szCs w:val="17"/>
                <w:color w:val="auto"/>
              </w:rPr>
              <w:t>• Approves all changes to the composition of the peer group used for compensation comparison</w:t>
            </w:r>
          </w:p>
        </w:tc>
        <w:tc>
          <w:tcPr>
            <w:tcW w:w="0" w:type="dxa"/>
            <w:vAlign w:val="bottom"/>
          </w:tcPr>
          <w:p>
            <w:pPr>
              <w:spacing w:after="0"/>
              <w:rPr>
                <w:sz w:val="1"/>
                <w:szCs w:val="1"/>
                <w:color w:val="auto"/>
              </w:rPr>
            </w:pPr>
          </w:p>
        </w:tc>
      </w:tr>
      <w:tr>
        <w:trPr>
          <w:trHeight w:val="226"/>
        </w:trPr>
        <w:tc>
          <w:tcPr>
            <w:tcW w:w="2440" w:type="dxa"/>
            <w:vAlign w:val="bottom"/>
            <w:tcBorders>
              <w:right w:val="single" w:sz="8" w:color="B2B2B2"/>
            </w:tcBorders>
            <w:shd w:val="clear" w:color="auto" w:fill="E2EEFA"/>
          </w:tcPr>
          <w:p>
            <w:pPr>
              <w:spacing w:after="0"/>
              <w:rPr>
                <w:sz w:val="19"/>
                <w:szCs w:val="19"/>
                <w:color w:val="auto"/>
              </w:rPr>
            </w:pPr>
          </w:p>
        </w:tc>
        <w:tc>
          <w:tcPr>
            <w:tcW w:w="8120" w:type="dxa"/>
            <w:vAlign w:val="bottom"/>
            <w:shd w:val="clear" w:color="auto" w:fill="E2EEFA"/>
          </w:tcPr>
          <w:p>
            <w:pPr>
              <w:ind w:left="280"/>
              <w:spacing w:after="0"/>
              <w:rPr>
                <w:sz w:val="20"/>
                <w:szCs w:val="20"/>
                <w:color w:val="auto"/>
              </w:rPr>
            </w:pPr>
            <w:r>
              <w:rPr>
                <w:rFonts w:ascii="Arial" w:cs="Arial" w:eastAsia="Arial" w:hAnsi="Arial"/>
                <w:sz w:val="17"/>
                <w:szCs w:val="17"/>
                <w:color w:val="auto"/>
              </w:rPr>
              <w:t>purposes.</w:t>
            </w:r>
          </w:p>
        </w:tc>
        <w:tc>
          <w:tcPr>
            <w:tcW w:w="0" w:type="dxa"/>
            <w:vAlign w:val="bottom"/>
          </w:tcPr>
          <w:p>
            <w:pPr>
              <w:spacing w:after="0"/>
              <w:rPr>
                <w:sz w:val="1"/>
                <w:szCs w:val="1"/>
                <w:color w:val="auto"/>
              </w:rPr>
            </w:pPr>
          </w:p>
        </w:tc>
      </w:tr>
      <w:tr>
        <w:trPr>
          <w:trHeight w:val="114"/>
        </w:trPr>
        <w:tc>
          <w:tcPr>
            <w:tcW w:w="2440" w:type="dxa"/>
            <w:vAlign w:val="bottom"/>
            <w:tcBorders>
              <w:bottom w:val="single" w:sz="8" w:color="B2B2B2"/>
              <w:right w:val="single" w:sz="8" w:color="B2B2B2"/>
            </w:tcBorders>
            <w:shd w:val="clear" w:color="auto" w:fill="E2EEFA"/>
          </w:tcPr>
          <w:p>
            <w:pPr>
              <w:spacing w:after="0"/>
              <w:rPr>
                <w:sz w:val="9"/>
                <w:szCs w:val="9"/>
                <w:color w:val="auto"/>
              </w:rPr>
            </w:pPr>
          </w:p>
        </w:tc>
        <w:tc>
          <w:tcPr>
            <w:tcW w:w="8120" w:type="dxa"/>
            <w:vAlign w:val="bottom"/>
            <w:tcBorders>
              <w:bottom w:val="single" w:sz="8" w:color="B2B2B2"/>
            </w:tcBorders>
            <w:shd w:val="clear" w:color="auto" w:fill="E2EEFA"/>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2440" w:type="dxa"/>
            <w:vAlign w:val="bottom"/>
            <w:tcBorders>
              <w:right w:val="single" w:sz="8" w:color="B2B2B2"/>
            </w:tcBorders>
          </w:tcPr>
          <w:p>
            <w:pPr>
              <w:ind w:left="80"/>
              <w:spacing w:after="0"/>
              <w:rPr>
                <w:sz w:val="20"/>
                <w:szCs w:val="20"/>
                <w:color w:val="auto"/>
              </w:rPr>
            </w:pPr>
            <w:r>
              <w:rPr>
                <w:rFonts w:ascii="Arial" w:cs="Arial" w:eastAsia="Arial" w:hAnsi="Arial"/>
                <w:sz w:val="17"/>
                <w:szCs w:val="17"/>
                <w:color w:val="auto"/>
              </w:rPr>
              <w:t>Independent Consultant</w:t>
            </w:r>
          </w:p>
        </w:tc>
        <w:tc>
          <w:tcPr>
            <w:tcW w:w="8120" w:type="dxa"/>
            <w:vAlign w:val="bottom"/>
          </w:tcPr>
          <w:p>
            <w:pPr>
              <w:ind w:left="100"/>
              <w:spacing w:after="0"/>
              <w:rPr>
                <w:sz w:val="20"/>
                <w:szCs w:val="20"/>
                <w:color w:val="auto"/>
              </w:rPr>
            </w:pPr>
            <w:r>
              <w:rPr>
                <w:rFonts w:ascii="Arial" w:cs="Arial" w:eastAsia="Arial" w:hAnsi="Arial"/>
                <w:sz w:val="17"/>
                <w:szCs w:val="17"/>
                <w:color w:val="auto"/>
              </w:rPr>
              <w:t>• Provides the Compensation Committee with analysis and advice pertaining to CEO and other</w:t>
            </w:r>
          </w:p>
        </w:tc>
        <w:tc>
          <w:tcPr>
            <w:tcW w:w="0" w:type="dxa"/>
            <w:vAlign w:val="bottom"/>
          </w:tcPr>
          <w:p>
            <w:pPr>
              <w:spacing w:after="0"/>
              <w:rPr>
                <w:sz w:val="1"/>
                <w:szCs w:val="1"/>
                <w:color w:val="auto"/>
              </w:rPr>
            </w:pPr>
          </w:p>
        </w:tc>
      </w:tr>
      <w:tr>
        <w:trPr>
          <w:trHeight w:val="194"/>
        </w:trPr>
        <w:tc>
          <w:tcPr>
            <w:tcW w:w="2440" w:type="dxa"/>
            <w:vAlign w:val="bottom"/>
            <w:tcBorders>
              <w:right w:val="single" w:sz="8" w:color="B2B2B2"/>
            </w:tcBorders>
          </w:tcPr>
          <w:p>
            <w:pPr>
              <w:ind w:left="80"/>
              <w:spacing w:after="0" w:line="194" w:lineRule="exact"/>
              <w:rPr>
                <w:sz w:val="20"/>
                <w:szCs w:val="20"/>
                <w:color w:val="auto"/>
              </w:rPr>
            </w:pPr>
            <w:r>
              <w:rPr>
                <w:rFonts w:ascii="Arial" w:cs="Arial" w:eastAsia="Arial" w:hAnsi="Arial"/>
                <w:sz w:val="17"/>
                <w:szCs w:val="17"/>
                <w:color w:val="auto"/>
              </w:rPr>
              <w:t>to the Compensation</w:t>
            </w:r>
          </w:p>
        </w:tc>
        <w:tc>
          <w:tcPr>
            <w:tcW w:w="8120" w:type="dxa"/>
            <w:vAlign w:val="bottom"/>
          </w:tcPr>
          <w:p>
            <w:pPr>
              <w:ind w:left="280"/>
              <w:spacing w:after="0" w:line="194" w:lineRule="exact"/>
              <w:rPr>
                <w:sz w:val="20"/>
                <w:szCs w:val="20"/>
                <w:color w:val="auto"/>
              </w:rPr>
            </w:pPr>
            <w:r>
              <w:rPr>
                <w:rFonts w:ascii="Arial" w:cs="Arial" w:eastAsia="Arial" w:hAnsi="Arial"/>
                <w:sz w:val="17"/>
                <w:szCs w:val="17"/>
                <w:color w:val="auto"/>
              </w:rPr>
              <w:t>executive compensation program design, including industry survey analysis, explanation of current and</w:t>
            </w:r>
          </w:p>
        </w:tc>
        <w:tc>
          <w:tcPr>
            <w:tcW w:w="0" w:type="dxa"/>
            <w:vAlign w:val="bottom"/>
          </w:tcPr>
          <w:p>
            <w:pPr>
              <w:spacing w:after="0"/>
              <w:rPr>
                <w:sz w:val="1"/>
                <w:szCs w:val="1"/>
                <w:color w:val="auto"/>
              </w:rPr>
            </w:pPr>
          </w:p>
        </w:tc>
      </w:tr>
      <w:tr>
        <w:trPr>
          <w:trHeight w:val="194"/>
        </w:trPr>
        <w:tc>
          <w:tcPr>
            <w:tcW w:w="2440" w:type="dxa"/>
            <w:vAlign w:val="bottom"/>
            <w:tcBorders>
              <w:right w:val="single" w:sz="8" w:color="B2B2B2"/>
            </w:tcBorders>
          </w:tcPr>
          <w:p>
            <w:pPr>
              <w:ind w:left="80"/>
              <w:spacing w:after="0" w:line="194" w:lineRule="exact"/>
              <w:rPr>
                <w:sz w:val="20"/>
                <w:szCs w:val="20"/>
                <w:color w:val="auto"/>
              </w:rPr>
            </w:pPr>
            <w:r>
              <w:rPr>
                <w:rFonts w:ascii="Arial" w:cs="Arial" w:eastAsia="Arial" w:hAnsi="Arial"/>
                <w:sz w:val="17"/>
                <w:szCs w:val="17"/>
                <w:color w:val="auto"/>
              </w:rPr>
              <w:t>Committee</w:t>
            </w:r>
          </w:p>
        </w:tc>
        <w:tc>
          <w:tcPr>
            <w:tcW w:w="8120" w:type="dxa"/>
            <w:vAlign w:val="bottom"/>
          </w:tcPr>
          <w:p>
            <w:pPr>
              <w:ind w:left="280"/>
              <w:spacing w:after="0" w:line="194" w:lineRule="exact"/>
              <w:rPr>
                <w:sz w:val="20"/>
                <w:szCs w:val="20"/>
                <w:color w:val="auto"/>
              </w:rPr>
            </w:pPr>
            <w:r>
              <w:rPr>
                <w:rFonts w:ascii="Arial" w:cs="Arial" w:eastAsia="Arial" w:hAnsi="Arial"/>
                <w:sz w:val="17"/>
                <w:szCs w:val="17"/>
                <w:color w:val="auto"/>
              </w:rPr>
              <w:t>developing best practices and regulatory changes;</w:t>
            </w:r>
          </w:p>
        </w:tc>
        <w:tc>
          <w:tcPr>
            <w:tcW w:w="0" w:type="dxa"/>
            <w:vAlign w:val="bottom"/>
          </w:tcPr>
          <w:p>
            <w:pPr>
              <w:spacing w:after="0"/>
              <w:rPr>
                <w:sz w:val="1"/>
                <w:szCs w:val="1"/>
                <w:color w:val="auto"/>
              </w:rPr>
            </w:pPr>
          </w:p>
        </w:tc>
      </w:tr>
      <w:tr>
        <w:trPr>
          <w:trHeight w:val="226"/>
        </w:trPr>
        <w:tc>
          <w:tcPr>
            <w:tcW w:w="2440" w:type="dxa"/>
            <w:vAlign w:val="bottom"/>
            <w:tcBorders>
              <w:right w:val="single" w:sz="8" w:color="B2B2B2"/>
            </w:tcBorders>
          </w:tcPr>
          <w:p>
            <w:pPr>
              <w:ind w:left="80"/>
              <w:spacing w:after="0"/>
              <w:rPr>
                <w:sz w:val="20"/>
                <w:szCs w:val="20"/>
                <w:color w:val="auto"/>
              </w:rPr>
            </w:pPr>
            <w:r>
              <w:rPr>
                <w:rFonts w:ascii="Arial" w:cs="Arial" w:eastAsia="Arial" w:hAnsi="Arial"/>
                <w:sz w:val="17"/>
                <w:szCs w:val="17"/>
                <w:color w:val="auto"/>
              </w:rPr>
              <w:t>(FW Cook)</w:t>
            </w:r>
          </w:p>
        </w:tc>
        <w:tc>
          <w:tcPr>
            <w:tcW w:w="8120" w:type="dxa"/>
            <w:vAlign w:val="bottom"/>
            <w:vMerge w:val="restart"/>
          </w:tcPr>
          <w:p>
            <w:pPr>
              <w:ind w:left="100"/>
              <w:spacing w:after="0"/>
              <w:rPr>
                <w:sz w:val="20"/>
                <w:szCs w:val="20"/>
                <w:color w:val="auto"/>
              </w:rPr>
            </w:pPr>
            <w:r>
              <w:rPr>
                <w:rFonts w:ascii="Arial" w:cs="Arial" w:eastAsia="Arial" w:hAnsi="Arial"/>
                <w:sz w:val="17"/>
                <w:szCs w:val="17"/>
                <w:color w:val="auto"/>
              </w:rPr>
              <w:t>• Recommends a relevant group of peer companies against which the competitiveness and</w:t>
            </w:r>
          </w:p>
        </w:tc>
        <w:tc>
          <w:tcPr>
            <w:tcW w:w="0" w:type="dxa"/>
            <w:vAlign w:val="bottom"/>
          </w:tcPr>
          <w:p>
            <w:pPr>
              <w:spacing w:after="0"/>
              <w:rPr>
                <w:sz w:val="1"/>
                <w:szCs w:val="1"/>
                <w:color w:val="auto"/>
              </w:rPr>
            </w:pPr>
          </w:p>
        </w:tc>
      </w:tr>
      <w:tr>
        <w:trPr>
          <w:trHeight w:val="85"/>
        </w:trPr>
        <w:tc>
          <w:tcPr>
            <w:tcW w:w="2440" w:type="dxa"/>
            <w:vAlign w:val="bottom"/>
            <w:tcBorders>
              <w:right w:val="single" w:sz="8" w:color="B2B2B2"/>
            </w:tcBorders>
          </w:tcPr>
          <w:p>
            <w:pPr>
              <w:spacing w:after="0"/>
              <w:rPr>
                <w:sz w:val="7"/>
                <w:szCs w:val="7"/>
                <w:color w:val="auto"/>
              </w:rPr>
            </w:pPr>
          </w:p>
        </w:tc>
        <w:tc>
          <w:tcPr>
            <w:tcW w:w="8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440" w:type="dxa"/>
            <w:vAlign w:val="bottom"/>
            <w:tcBorders>
              <w:right w:val="single" w:sz="8" w:color="B2B2B2"/>
            </w:tcBorders>
          </w:tcPr>
          <w:p>
            <w:pPr>
              <w:spacing w:after="0"/>
              <w:rPr>
                <w:sz w:val="19"/>
                <w:szCs w:val="19"/>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rPr>
              <w:t>appropriateness of our CEO, executive and Director compensation is compared;</w:t>
            </w:r>
          </w:p>
        </w:tc>
        <w:tc>
          <w:tcPr>
            <w:tcW w:w="0" w:type="dxa"/>
            <w:vAlign w:val="bottom"/>
          </w:tcPr>
          <w:p>
            <w:pPr>
              <w:spacing w:after="0"/>
              <w:rPr>
                <w:sz w:val="1"/>
                <w:szCs w:val="1"/>
                <w:color w:val="auto"/>
              </w:rPr>
            </w:pPr>
          </w:p>
        </w:tc>
      </w:tr>
      <w:tr>
        <w:trPr>
          <w:trHeight w:val="279"/>
        </w:trPr>
        <w:tc>
          <w:tcPr>
            <w:tcW w:w="2440" w:type="dxa"/>
            <w:vAlign w:val="bottom"/>
            <w:tcBorders>
              <w:right w:val="single" w:sz="8" w:color="B2B2B2"/>
            </w:tcBorders>
          </w:tcPr>
          <w:p>
            <w:pPr>
              <w:spacing w:after="0"/>
              <w:rPr>
                <w:sz w:val="24"/>
                <w:szCs w:val="24"/>
                <w:color w:val="auto"/>
              </w:rPr>
            </w:pPr>
          </w:p>
        </w:tc>
        <w:tc>
          <w:tcPr>
            <w:tcW w:w="8120" w:type="dxa"/>
            <w:vAlign w:val="bottom"/>
          </w:tcPr>
          <w:p>
            <w:pPr>
              <w:ind w:left="100"/>
              <w:spacing w:after="0"/>
              <w:rPr>
                <w:sz w:val="20"/>
                <w:szCs w:val="20"/>
                <w:color w:val="auto"/>
              </w:rPr>
            </w:pPr>
            <w:r>
              <w:rPr>
                <w:rFonts w:ascii="Arial" w:cs="Arial" w:eastAsia="Arial" w:hAnsi="Arial"/>
                <w:sz w:val="17"/>
                <w:szCs w:val="17"/>
                <w:color w:val="auto"/>
              </w:rPr>
              <w:t>• Analyzes peer companies’ annual CEO and other executive compensation to assist the Compensation</w:t>
            </w:r>
          </w:p>
        </w:tc>
        <w:tc>
          <w:tcPr>
            <w:tcW w:w="0" w:type="dxa"/>
            <w:vAlign w:val="bottom"/>
          </w:tcPr>
          <w:p>
            <w:pPr>
              <w:spacing w:after="0"/>
              <w:rPr>
                <w:sz w:val="1"/>
                <w:szCs w:val="1"/>
                <w:color w:val="auto"/>
              </w:rPr>
            </w:pPr>
          </w:p>
        </w:tc>
      </w:tr>
      <w:tr>
        <w:trPr>
          <w:trHeight w:val="194"/>
        </w:trPr>
        <w:tc>
          <w:tcPr>
            <w:tcW w:w="2440" w:type="dxa"/>
            <w:vAlign w:val="bottom"/>
            <w:tcBorders>
              <w:right w:val="single" w:sz="8" w:color="B2B2B2"/>
            </w:tcBorders>
          </w:tcPr>
          <w:p>
            <w:pPr>
              <w:spacing w:after="0"/>
              <w:rPr>
                <w:sz w:val="16"/>
                <w:szCs w:val="16"/>
                <w:color w:val="auto"/>
              </w:rPr>
            </w:pPr>
          </w:p>
        </w:tc>
        <w:tc>
          <w:tcPr>
            <w:tcW w:w="8120" w:type="dxa"/>
            <w:vAlign w:val="bottom"/>
          </w:tcPr>
          <w:p>
            <w:pPr>
              <w:ind w:left="280"/>
              <w:spacing w:after="0" w:line="194" w:lineRule="exact"/>
              <w:rPr>
                <w:sz w:val="20"/>
                <w:szCs w:val="20"/>
                <w:color w:val="auto"/>
              </w:rPr>
            </w:pPr>
            <w:r>
              <w:rPr>
                <w:rFonts w:ascii="Arial" w:cs="Arial" w:eastAsia="Arial" w:hAnsi="Arial"/>
                <w:sz w:val="17"/>
                <w:szCs w:val="17"/>
                <w:color w:val="auto"/>
              </w:rPr>
              <w:t>Committee in determining the appropriateness and competitiveness of our CEO and other executive</w:t>
            </w:r>
          </w:p>
        </w:tc>
        <w:tc>
          <w:tcPr>
            <w:tcW w:w="0" w:type="dxa"/>
            <w:vAlign w:val="bottom"/>
          </w:tcPr>
          <w:p>
            <w:pPr>
              <w:spacing w:after="0"/>
              <w:rPr>
                <w:sz w:val="1"/>
                <w:szCs w:val="1"/>
                <w:color w:val="auto"/>
              </w:rPr>
            </w:pPr>
          </w:p>
        </w:tc>
      </w:tr>
      <w:tr>
        <w:trPr>
          <w:trHeight w:val="226"/>
        </w:trPr>
        <w:tc>
          <w:tcPr>
            <w:tcW w:w="2440" w:type="dxa"/>
            <w:vAlign w:val="bottom"/>
            <w:tcBorders>
              <w:right w:val="single" w:sz="8" w:color="B2B2B2"/>
            </w:tcBorders>
          </w:tcPr>
          <w:p>
            <w:pPr>
              <w:spacing w:after="0"/>
              <w:rPr>
                <w:sz w:val="19"/>
                <w:szCs w:val="19"/>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rPr>
              <w:t>compensation;</w:t>
            </w:r>
          </w:p>
        </w:tc>
        <w:tc>
          <w:tcPr>
            <w:tcW w:w="0" w:type="dxa"/>
            <w:vAlign w:val="bottom"/>
          </w:tcPr>
          <w:p>
            <w:pPr>
              <w:spacing w:after="0"/>
              <w:rPr>
                <w:sz w:val="1"/>
                <w:szCs w:val="1"/>
                <w:color w:val="auto"/>
              </w:rPr>
            </w:pPr>
          </w:p>
        </w:tc>
      </w:tr>
      <w:tr>
        <w:trPr>
          <w:trHeight w:val="311"/>
        </w:trPr>
        <w:tc>
          <w:tcPr>
            <w:tcW w:w="2440" w:type="dxa"/>
            <w:vAlign w:val="bottom"/>
            <w:tcBorders>
              <w:right w:val="single" w:sz="8" w:color="B2B2B2"/>
            </w:tcBorders>
          </w:tcPr>
          <w:p>
            <w:pPr>
              <w:spacing w:after="0"/>
              <w:rPr>
                <w:sz w:val="24"/>
                <w:szCs w:val="24"/>
                <w:color w:val="auto"/>
              </w:rPr>
            </w:pPr>
          </w:p>
        </w:tc>
        <w:tc>
          <w:tcPr>
            <w:tcW w:w="8120" w:type="dxa"/>
            <w:vAlign w:val="bottom"/>
          </w:tcPr>
          <w:p>
            <w:pPr>
              <w:ind w:left="100"/>
              <w:spacing w:after="0"/>
              <w:rPr>
                <w:sz w:val="20"/>
                <w:szCs w:val="20"/>
                <w:color w:val="auto"/>
              </w:rPr>
            </w:pPr>
            <w:r>
              <w:rPr>
                <w:rFonts w:ascii="Arial" w:cs="Arial" w:eastAsia="Arial" w:hAnsi="Arial"/>
                <w:sz w:val="17"/>
                <w:szCs w:val="17"/>
                <w:color w:val="auto"/>
              </w:rPr>
              <w:t>• Reviews compensation disclosure materials;</w:t>
            </w:r>
          </w:p>
        </w:tc>
        <w:tc>
          <w:tcPr>
            <w:tcW w:w="0" w:type="dxa"/>
            <w:vAlign w:val="bottom"/>
          </w:tcPr>
          <w:p>
            <w:pPr>
              <w:spacing w:after="0"/>
              <w:rPr>
                <w:sz w:val="1"/>
                <w:szCs w:val="1"/>
                <w:color w:val="auto"/>
              </w:rPr>
            </w:pPr>
          </w:p>
        </w:tc>
      </w:tr>
      <w:tr>
        <w:trPr>
          <w:trHeight w:val="279"/>
        </w:trPr>
        <w:tc>
          <w:tcPr>
            <w:tcW w:w="2440" w:type="dxa"/>
            <w:vAlign w:val="bottom"/>
            <w:tcBorders>
              <w:right w:val="single" w:sz="8" w:color="B2B2B2"/>
            </w:tcBorders>
          </w:tcPr>
          <w:p>
            <w:pPr>
              <w:spacing w:after="0"/>
              <w:rPr>
                <w:sz w:val="24"/>
                <w:szCs w:val="24"/>
                <w:color w:val="auto"/>
              </w:rPr>
            </w:pPr>
          </w:p>
        </w:tc>
        <w:tc>
          <w:tcPr>
            <w:tcW w:w="8120" w:type="dxa"/>
            <w:vAlign w:val="bottom"/>
          </w:tcPr>
          <w:p>
            <w:pPr>
              <w:ind w:left="100"/>
              <w:spacing w:after="0"/>
              <w:rPr>
                <w:sz w:val="20"/>
                <w:szCs w:val="20"/>
                <w:color w:val="auto"/>
              </w:rPr>
            </w:pPr>
            <w:r>
              <w:rPr>
                <w:rFonts w:ascii="Arial" w:cs="Arial" w:eastAsia="Arial" w:hAnsi="Arial"/>
                <w:sz w:val="17"/>
                <w:szCs w:val="17"/>
                <w:color w:val="auto"/>
              </w:rPr>
              <w:t>• Analyzes our compensation practices to assist the Compensation Committee in determining whether</w:t>
            </w:r>
          </w:p>
        </w:tc>
        <w:tc>
          <w:tcPr>
            <w:tcW w:w="0" w:type="dxa"/>
            <w:vAlign w:val="bottom"/>
          </w:tcPr>
          <w:p>
            <w:pPr>
              <w:spacing w:after="0"/>
              <w:rPr>
                <w:sz w:val="1"/>
                <w:szCs w:val="1"/>
                <w:color w:val="auto"/>
              </w:rPr>
            </w:pPr>
          </w:p>
        </w:tc>
      </w:tr>
      <w:tr>
        <w:trPr>
          <w:trHeight w:val="194"/>
        </w:trPr>
        <w:tc>
          <w:tcPr>
            <w:tcW w:w="2440" w:type="dxa"/>
            <w:vAlign w:val="bottom"/>
            <w:tcBorders>
              <w:right w:val="single" w:sz="8" w:color="B2B2B2"/>
            </w:tcBorders>
          </w:tcPr>
          <w:p>
            <w:pPr>
              <w:spacing w:after="0"/>
              <w:rPr>
                <w:sz w:val="16"/>
                <w:szCs w:val="16"/>
                <w:color w:val="auto"/>
              </w:rPr>
            </w:pPr>
          </w:p>
        </w:tc>
        <w:tc>
          <w:tcPr>
            <w:tcW w:w="8120" w:type="dxa"/>
            <w:vAlign w:val="bottom"/>
          </w:tcPr>
          <w:p>
            <w:pPr>
              <w:ind w:left="280"/>
              <w:spacing w:after="0" w:line="194" w:lineRule="exact"/>
              <w:rPr>
                <w:sz w:val="20"/>
                <w:szCs w:val="20"/>
                <w:color w:val="auto"/>
              </w:rPr>
            </w:pPr>
            <w:r>
              <w:rPr>
                <w:rFonts w:ascii="Arial" w:cs="Arial" w:eastAsia="Arial" w:hAnsi="Arial"/>
                <w:sz w:val="17"/>
                <w:szCs w:val="17"/>
                <w:color w:val="auto"/>
              </w:rPr>
              <w:t>risks arising from such practices are reasonably likely to have a material adverse effect on the</w:t>
            </w:r>
          </w:p>
        </w:tc>
        <w:tc>
          <w:tcPr>
            <w:tcW w:w="0" w:type="dxa"/>
            <w:vAlign w:val="bottom"/>
          </w:tcPr>
          <w:p>
            <w:pPr>
              <w:spacing w:after="0"/>
              <w:rPr>
                <w:sz w:val="1"/>
                <w:szCs w:val="1"/>
                <w:color w:val="auto"/>
              </w:rPr>
            </w:pPr>
          </w:p>
        </w:tc>
      </w:tr>
      <w:tr>
        <w:trPr>
          <w:trHeight w:val="226"/>
        </w:trPr>
        <w:tc>
          <w:tcPr>
            <w:tcW w:w="2440" w:type="dxa"/>
            <w:vAlign w:val="bottom"/>
            <w:tcBorders>
              <w:right w:val="single" w:sz="8" w:color="B2B2B2"/>
            </w:tcBorders>
          </w:tcPr>
          <w:p>
            <w:pPr>
              <w:spacing w:after="0"/>
              <w:rPr>
                <w:sz w:val="19"/>
                <w:szCs w:val="19"/>
                <w:color w:val="auto"/>
              </w:rPr>
            </w:pPr>
          </w:p>
        </w:tc>
        <w:tc>
          <w:tcPr>
            <w:tcW w:w="8120" w:type="dxa"/>
            <w:vAlign w:val="bottom"/>
          </w:tcPr>
          <w:p>
            <w:pPr>
              <w:ind w:left="280"/>
              <w:spacing w:after="0"/>
              <w:rPr>
                <w:sz w:val="20"/>
                <w:szCs w:val="20"/>
                <w:color w:val="auto"/>
              </w:rPr>
            </w:pPr>
            <w:r>
              <w:rPr>
                <w:rFonts w:ascii="Arial" w:cs="Arial" w:eastAsia="Arial" w:hAnsi="Arial"/>
                <w:sz w:val="17"/>
                <w:szCs w:val="17"/>
                <w:color w:val="auto"/>
              </w:rPr>
              <w:t>Company; and</w:t>
            </w:r>
          </w:p>
        </w:tc>
        <w:tc>
          <w:tcPr>
            <w:tcW w:w="0" w:type="dxa"/>
            <w:vAlign w:val="bottom"/>
          </w:tcPr>
          <w:p>
            <w:pPr>
              <w:spacing w:after="0"/>
              <w:rPr>
                <w:sz w:val="1"/>
                <w:szCs w:val="1"/>
                <w:color w:val="auto"/>
              </w:rPr>
            </w:pPr>
          </w:p>
        </w:tc>
      </w:tr>
      <w:tr>
        <w:trPr>
          <w:trHeight w:val="296"/>
        </w:trPr>
        <w:tc>
          <w:tcPr>
            <w:tcW w:w="2440" w:type="dxa"/>
            <w:vAlign w:val="bottom"/>
            <w:tcBorders>
              <w:bottom w:val="single" w:sz="8" w:color="B2B2B2"/>
              <w:right w:val="single" w:sz="8" w:color="B2B2B2"/>
            </w:tcBorders>
          </w:tcPr>
          <w:p>
            <w:pPr>
              <w:spacing w:after="0"/>
              <w:rPr>
                <w:sz w:val="24"/>
                <w:szCs w:val="24"/>
                <w:color w:val="auto"/>
              </w:rPr>
            </w:pPr>
          </w:p>
        </w:tc>
        <w:tc>
          <w:tcPr>
            <w:tcW w:w="8120" w:type="dxa"/>
            <w:vAlign w:val="bottom"/>
            <w:tcBorders>
              <w:bottom w:val="single" w:sz="8" w:color="B2B2B2"/>
            </w:tcBorders>
          </w:tcPr>
          <w:p>
            <w:pPr>
              <w:ind w:left="100"/>
              <w:spacing w:after="0"/>
              <w:rPr>
                <w:sz w:val="20"/>
                <w:szCs w:val="20"/>
                <w:color w:val="auto"/>
              </w:rPr>
            </w:pPr>
            <w:r>
              <w:rPr>
                <w:rFonts w:ascii="Arial" w:cs="Arial" w:eastAsia="Arial" w:hAnsi="Arial"/>
                <w:sz w:val="17"/>
                <w:szCs w:val="17"/>
                <w:color w:val="auto"/>
              </w:rPr>
              <w:t>• Provides specific analysis and advice periodically as requested by the Compensation Committee.</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r>
              <w:rPr>
                <w:rFonts w:ascii="Arial" w:cs="Arial" w:eastAsia="Arial" w:hAnsi="Arial"/>
                <w:sz w:val="17"/>
                <w:szCs w:val="17"/>
                <w:b w:val="1"/>
                <w:bCs w:val="1"/>
                <w:color w:val="auto"/>
              </w:rPr>
              <w:t> </w:t>
            </w:r>
          </w:p>
        </w:tc>
        <w:tc>
          <w:tcPr>
            <w:tcW w:w="8120" w:type="dxa"/>
            <w:vAlign w:val="bottom"/>
          </w:tcPr>
          <w:p>
            <w:pPr>
              <w:ind w:left="3240"/>
              <w:spacing w:after="0"/>
              <w:rPr>
                <w:sz w:val="20"/>
                <w:szCs w:val="20"/>
                <w:color w:val="auto"/>
              </w:rPr>
            </w:pPr>
            <w:r>
              <w:rPr>
                <w:rFonts w:ascii="Arial" w:cs="Arial" w:eastAsia="Arial" w:hAnsi="Arial"/>
                <w:sz w:val="16"/>
                <w:szCs w:val="16"/>
                <w:b w:val="1"/>
                <w:bCs w:val="1"/>
                <w:color w:val="3E8EDE"/>
                <w:w w:val="96"/>
              </w:rPr>
              <w:t xml:space="preserve">Executive Compensation: </w:t>
            </w:r>
            <w:r>
              <w:rPr>
                <w:rFonts w:ascii="Arial" w:cs="Arial" w:eastAsia="Arial" w:hAnsi="Arial"/>
                <w:sz w:val="16"/>
                <w:szCs w:val="16"/>
                <w:b w:val="1"/>
                <w:bCs w:val="1"/>
                <w:color w:val="000000"/>
                <w:w w:val="96"/>
              </w:rPr>
              <w:t>Compensation Discussion and Analysis</w:t>
            </w:r>
          </w:p>
        </w:tc>
      </w:tr>
      <w:tr>
        <w:trPr>
          <w:trHeight w:val="27"/>
        </w:trPr>
        <w:tc>
          <w:tcPr>
            <w:tcW w:w="2440" w:type="dxa"/>
            <w:vAlign w:val="bottom"/>
            <w:tcBorders>
              <w:bottom w:val="single" w:sz="8" w:color="3E8EDE"/>
            </w:tcBorders>
          </w:tcPr>
          <w:p>
            <w:pPr>
              <w:spacing w:after="0"/>
              <w:rPr>
                <w:sz w:val="2"/>
                <w:szCs w:val="2"/>
                <w:color w:val="auto"/>
              </w:rPr>
            </w:pPr>
          </w:p>
        </w:tc>
        <w:tc>
          <w:tcPr>
            <w:tcW w:w="8120" w:type="dxa"/>
            <w:vAlign w:val="bottom"/>
            <w:tcBorders>
              <w:bottom w:val="single" w:sz="8" w:color="3E8EDE"/>
            </w:tcBorders>
          </w:tcPr>
          <w:p>
            <w:pPr>
              <w:spacing w:after="0"/>
              <w:rPr>
                <w:sz w:val="2"/>
                <w:szCs w:val="2"/>
                <w:color w:val="auto"/>
              </w:rPr>
            </w:pPr>
          </w:p>
        </w:tc>
      </w:tr>
      <w:tr>
        <w:trPr>
          <w:trHeight w:val="174"/>
        </w:trPr>
        <w:tc>
          <w:tcPr>
            <w:tcW w:w="2440" w:type="dxa"/>
            <w:vAlign w:val="bottom"/>
          </w:tcPr>
          <w:p>
            <w:pPr>
              <w:spacing w:after="0"/>
              <w:rPr>
                <w:sz w:val="15"/>
                <w:szCs w:val="15"/>
                <w:color w:val="auto"/>
              </w:rPr>
            </w:pPr>
          </w:p>
        </w:tc>
        <w:tc>
          <w:tcPr>
            <w:tcW w:w="8120" w:type="dxa"/>
            <w:vAlign w:val="bottom"/>
          </w:tcPr>
          <w:p>
            <w:pPr>
              <w:spacing w:after="0"/>
              <w:rPr>
                <w:sz w:val="15"/>
                <w:szCs w:val="15"/>
                <w:color w:val="auto"/>
              </w:rPr>
            </w:pPr>
          </w:p>
        </w:tc>
      </w:tr>
      <w:tr>
        <w:trPr>
          <w:trHeight w:val="281"/>
        </w:trPr>
        <w:tc>
          <w:tcPr>
            <w:tcW w:w="2440" w:type="dxa"/>
            <w:vAlign w:val="bottom"/>
            <w:tcBorders>
              <w:right w:val="single" w:sz="8" w:color="B2B2B2"/>
            </w:tcBorders>
            <w:shd w:val="clear" w:color="auto" w:fill="E2EEFA"/>
          </w:tcPr>
          <w:p>
            <w:pPr>
              <w:ind w:left="80"/>
              <w:spacing w:after="0"/>
              <w:rPr>
                <w:sz w:val="20"/>
                <w:szCs w:val="20"/>
                <w:color w:val="auto"/>
              </w:rPr>
            </w:pPr>
            <w:r>
              <w:rPr>
                <w:rFonts w:ascii="Arial" w:cs="Arial" w:eastAsia="Arial" w:hAnsi="Arial"/>
                <w:sz w:val="17"/>
                <w:szCs w:val="17"/>
                <w:color w:val="auto"/>
              </w:rPr>
              <w:t>Senior Management</w:t>
            </w:r>
          </w:p>
        </w:tc>
        <w:tc>
          <w:tcPr>
            <w:tcW w:w="8120" w:type="dxa"/>
            <w:vAlign w:val="bottom"/>
            <w:shd w:val="clear" w:color="auto" w:fill="E2EEFA"/>
          </w:tcPr>
          <w:p>
            <w:pPr>
              <w:ind w:left="100"/>
              <w:spacing w:after="0"/>
              <w:rPr>
                <w:sz w:val="20"/>
                <w:szCs w:val="20"/>
                <w:color w:val="auto"/>
              </w:rPr>
            </w:pPr>
            <w:r>
              <w:rPr>
                <w:rFonts w:ascii="Arial" w:cs="Arial" w:eastAsia="Arial" w:hAnsi="Arial"/>
                <w:sz w:val="17"/>
                <w:szCs w:val="17"/>
                <w:color w:val="auto"/>
              </w:rPr>
              <w:t>• The CEO recommends to the Compensation Committee annual compensation for the other named</w:t>
            </w:r>
          </w:p>
        </w:tc>
      </w:tr>
      <w:tr>
        <w:trPr>
          <w:trHeight w:val="194"/>
        </w:trPr>
        <w:tc>
          <w:tcPr>
            <w:tcW w:w="2440" w:type="dxa"/>
            <w:vAlign w:val="bottom"/>
            <w:tcBorders>
              <w:right w:val="single" w:sz="8" w:color="B2B2B2"/>
            </w:tcBorders>
            <w:shd w:val="clear" w:color="auto" w:fill="E2EEFA"/>
          </w:tcPr>
          <w:p>
            <w:pPr>
              <w:spacing w:after="0"/>
              <w:rPr>
                <w:sz w:val="16"/>
                <w:szCs w:val="16"/>
                <w:color w:val="auto"/>
              </w:rPr>
            </w:pPr>
          </w:p>
        </w:tc>
        <w:tc>
          <w:tcPr>
            <w:tcW w:w="8120" w:type="dxa"/>
            <w:vAlign w:val="bottom"/>
            <w:shd w:val="clear" w:color="auto" w:fill="E2EEFA"/>
          </w:tcPr>
          <w:p>
            <w:pPr>
              <w:ind w:left="280"/>
              <w:spacing w:after="0" w:line="194" w:lineRule="exact"/>
              <w:rPr>
                <w:sz w:val="20"/>
                <w:szCs w:val="20"/>
                <w:color w:val="auto"/>
              </w:rPr>
            </w:pPr>
            <w:r>
              <w:rPr>
                <w:rFonts w:ascii="Arial" w:cs="Arial" w:eastAsia="Arial" w:hAnsi="Arial"/>
                <w:sz w:val="17"/>
                <w:szCs w:val="17"/>
                <w:color w:val="auto"/>
              </w:rPr>
              <w:t>executive officers and senior executives based on his assessment of their performance and the Senior</w:t>
            </w:r>
          </w:p>
        </w:tc>
      </w:tr>
      <w:tr>
        <w:trPr>
          <w:trHeight w:val="226"/>
        </w:trPr>
        <w:tc>
          <w:tcPr>
            <w:tcW w:w="2440" w:type="dxa"/>
            <w:vAlign w:val="bottom"/>
            <w:tcBorders>
              <w:right w:val="single" w:sz="8" w:color="B2B2B2"/>
            </w:tcBorders>
            <w:shd w:val="clear" w:color="auto" w:fill="E2EEFA"/>
          </w:tcPr>
          <w:p>
            <w:pPr>
              <w:spacing w:after="0"/>
              <w:rPr>
                <w:sz w:val="19"/>
                <w:szCs w:val="19"/>
                <w:color w:val="auto"/>
              </w:rPr>
            </w:pPr>
          </w:p>
        </w:tc>
        <w:tc>
          <w:tcPr>
            <w:tcW w:w="8120" w:type="dxa"/>
            <w:vAlign w:val="bottom"/>
            <w:shd w:val="clear" w:color="auto" w:fill="E2EEFA"/>
          </w:tcPr>
          <w:p>
            <w:pPr>
              <w:ind w:left="280"/>
              <w:spacing w:after="0"/>
              <w:rPr>
                <w:sz w:val="20"/>
                <w:szCs w:val="20"/>
                <w:color w:val="auto"/>
              </w:rPr>
            </w:pPr>
            <w:r>
              <w:rPr>
                <w:rFonts w:ascii="Arial" w:cs="Arial" w:eastAsia="Arial" w:hAnsi="Arial"/>
                <w:sz w:val="17"/>
                <w:szCs w:val="17"/>
                <w:color w:val="auto"/>
              </w:rPr>
              <w:t>Vice President and CFO’s assessment of the performance of certain such persons;</w:t>
            </w:r>
          </w:p>
        </w:tc>
      </w:tr>
      <w:tr>
        <w:trPr>
          <w:trHeight w:val="279"/>
        </w:trPr>
        <w:tc>
          <w:tcPr>
            <w:tcW w:w="2440" w:type="dxa"/>
            <w:vAlign w:val="bottom"/>
            <w:tcBorders>
              <w:right w:val="single" w:sz="8" w:color="B2B2B2"/>
            </w:tcBorders>
            <w:shd w:val="clear" w:color="auto" w:fill="E2EEFA"/>
          </w:tcPr>
          <w:p>
            <w:pPr>
              <w:spacing w:after="0"/>
              <w:rPr>
                <w:sz w:val="24"/>
                <w:szCs w:val="24"/>
                <w:color w:val="auto"/>
              </w:rPr>
            </w:pPr>
          </w:p>
        </w:tc>
        <w:tc>
          <w:tcPr>
            <w:tcW w:w="8120" w:type="dxa"/>
            <w:vAlign w:val="bottom"/>
            <w:shd w:val="clear" w:color="auto" w:fill="E2EEFA"/>
          </w:tcPr>
          <w:p>
            <w:pPr>
              <w:ind w:left="100"/>
              <w:spacing w:after="0"/>
              <w:rPr>
                <w:sz w:val="20"/>
                <w:szCs w:val="20"/>
                <w:color w:val="auto"/>
              </w:rPr>
            </w:pPr>
            <w:r>
              <w:rPr>
                <w:rFonts w:ascii="Arial" w:cs="Arial" w:eastAsia="Arial" w:hAnsi="Arial"/>
                <w:sz w:val="17"/>
                <w:szCs w:val="17"/>
                <w:color w:val="auto"/>
              </w:rPr>
              <w:t>• Our CEO, Senior Vice President, General Counsel and Company Secretary and Senior Vice President</w:t>
            </w:r>
          </w:p>
        </w:tc>
      </w:tr>
      <w:tr>
        <w:trPr>
          <w:trHeight w:val="194"/>
        </w:trPr>
        <w:tc>
          <w:tcPr>
            <w:tcW w:w="2440" w:type="dxa"/>
            <w:vAlign w:val="bottom"/>
            <w:tcBorders>
              <w:right w:val="single" w:sz="8" w:color="B2B2B2"/>
            </w:tcBorders>
            <w:shd w:val="clear" w:color="auto" w:fill="E2EEFA"/>
          </w:tcPr>
          <w:p>
            <w:pPr>
              <w:spacing w:after="0"/>
              <w:rPr>
                <w:sz w:val="16"/>
                <w:szCs w:val="16"/>
                <w:color w:val="auto"/>
              </w:rPr>
            </w:pPr>
          </w:p>
        </w:tc>
        <w:tc>
          <w:tcPr>
            <w:tcW w:w="8120" w:type="dxa"/>
            <w:vAlign w:val="bottom"/>
            <w:shd w:val="clear" w:color="auto" w:fill="E2EEFA"/>
          </w:tcPr>
          <w:p>
            <w:pPr>
              <w:ind w:left="280"/>
              <w:spacing w:after="0" w:line="194" w:lineRule="exact"/>
              <w:rPr>
                <w:sz w:val="20"/>
                <w:szCs w:val="20"/>
                <w:color w:val="auto"/>
              </w:rPr>
            </w:pPr>
            <w:r>
              <w:rPr>
                <w:rFonts w:ascii="Arial" w:cs="Arial" w:eastAsia="Arial" w:hAnsi="Arial"/>
                <w:sz w:val="17"/>
                <w:szCs w:val="17"/>
                <w:color w:val="auto"/>
              </w:rPr>
              <w:t>and Chief Human Resources Officer, and other human resources and legal personnel, work with the</w:t>
            </w:r>
          </w:p>
        </w:tc>
      </w:tr>
      <w:tr>
        <w:trPr>
          <w:trHeight w:val="194"/>
        </w:trPr>
        <w:tc>
          <w:tcPr>
            <w:tcW w:w="2440" w:type="dxa"/>
            <w:vAlign w:val="bottom"/>
            <w:tcBorders>
              <w:right w:val="single" w:sz="8" w:color="B2B2B2"/>
            </w:tcBorders>
            <w:shd w:val="clear" w:color="auto" w:fill="E2EEFA"/>
          </w:tcPr>
          <w:p>
            <w:pPr>
              <w:spacing w:after="0"/>
              <w:rPr>
                <w:sz w:val="16"/>
                <w:szCs w:val="16"/>
                <w:color w:val="auto"/>
              </w:rPr>
            </w:pPr>
          </w:p>
        </w:tc>
        <w:tc>
          <w:tcPr>
            <w:tcW w:w="8120" w:type="dxa"/>
            <w:vAlign w:val="bottom"/>
            <w:shd w:val="clear" w:color="auto" w:fill="E2EEFA"/>
          </w:tcPr>
          <w:p>
            <w:pPr>
              <w:ind w:left="280"/>
              <w:spacing w:after="0" w:line="194" w:lineRule="exact"/>
              <w:rPr>
                <w:sz w:val="20"/>
                <w:szCs w:val="20"/>
                <w:color w:val="auto"/>
              </w:rPr>
            </w:pPr>
            <w:r>
              <w:rPr>
                <w:rFonts w:ascii="Arial" w:cs="Arial" w:eastAsia="Arial" w:hAnsi="Arial"/>
                <w:sz w:val="17"/>
                <w:szCs w:val="17"/>
                <w:color w:val="auto"/>
              </w:rPr>
              <w:t>Compensation Committee Chair to set agendas, prepare materials for Compensation Committee</w:t>
            </w:r>
          </w:p>
        </w:tc>
      </w:tr>
      <w:tr>
        <w:trPr>
          <w:trHeight w:val="226"/>
        </w:trPr>
        <w:tc>
          <w:tcPr>
            <w:tcW w:w="2440" w:type="dxa"/>
            <w:vAlign w:val="bottom"/>
            <w:tcBorders>
              <w:right w:val="single" w:sz="8" w:color="B2B2B2"/>
            </w:tcBorders>
            <w:shd w:val="clear" w:color="auto" w:fill="E2EEFA"/>
          </w:tcPr>
          <w:p>
            <w:pPr>
              <w:spacing w:after="0"/>
              <w:rPr>
                <w:sz w:val="19"/>
                <w:szCs w:val="19"/>
                <w:color w:val="auto"/>
              </w:rPr>
            </w:pPr>
          </w:p>
        </w:tc>
        <w:tc>
          <w:tcPr>
            <w:tcW w:w="8120" w:type="dxa"/>
            <w:vAlign w:val="bottom"/>
            <w:shd w:val="clear" w:color="auto" w:fill="E2EEFA"/>
          </w:tcPr>
          <w:p>
            <w:pPr>
              <w:ind w:left="280"/>
              <w:spacing w:after="0"/>
              <w:rPr>
                <w:sz w:val="20"/>
                <w:szCs w:val="20"/>
                <w:color w:val="auto"/>
              </w:rPr>
            </w:pPr>
            <w:r>
              <w:rPr>
                <w:rFonts w:ascii="Arial" w:cs="Arial" w:eastAsia="Arial" w:hAnsi="Arial"/>
                <w:sz w:val="17"/>
                <w:szCs w:val="17"/>
                <w:color w:val="auto"/>
              </w:rPr>
              <w:t>meetings, and generally attend meetings, as appropriate, and prepare meeting minutes; and</w:t>
            </w:r>
          </w:p>
        </w:tc>
      </w:tr>
      <w:tr>
        <w:trPr>
          <w:trHeight w:val="279"/>
        </w:trPr>
        <w:tc>
          <w:tcPr>
            <w:tcW w:w="2440" w:type="dxa"/>
            <w:vAlign w:val="bottom"/>
            <w:tcBorders>
              <w:right w:val="single" w:sz="8" w:color="B2B2B2"/>
            </w:tcBorders>
            <w:shd w:val="clear" w:color="auto" w:fill="E2EEFA"/>
          </w:tcPr>
          <w:p>
            <w:pPr>
              <w:spacing w:after="0"/>
              <w:rPr>
                <w:sz w:val="24"/>
                <w:szCs w:val="24"/>
                <w:color w:val="auto"/>
              </w:rPr>
            </w:pPr>
          </w:p>
        </w:tc>
        <w:tc>
          <w:tcPr>
            <w:tcW w:w="8120" w:type="dxa"/>
            <w:vAlign w:val="bottom"/>
            <w:shd w:val="clear" w:color="auto" w:fill="E2EEFA"/>
          </w:tcPr>
          <w:p>
            <w:pPr>
              <w:ind w:left="100"/>
              <w:spacing w:after="0"/>
              <w:rPr>
                <w:sz w:val="20"/>
                <w:szCs w:val="20"/>
                <w:color w:val="auto"/>
              </w:rPr>
            </w:pPr>
            <w:r>
              <w:rPr>
                <w:rFonts w:ascii="Arial" w:cs="Arial" w:eastAsia="Arial" w:hAnsi="Arial"/>
                <w:sz w:val="17"/>
                <w:szCs w:val="17"/>
                <w:color w:val="auto"/>
              </w:rPr>
              <w:t>• Our Senior Vice President and Chief Financial Officer also works with human resources personnel to</w:t>
            </w:r>
          </w:p>
        </w:tc>
      </w:tr>
      <w:tr>
        <w:trPr>
          <w:trHeight w:val="226"/>
        </w:trPr>
        <w:tc>
          <w:tcPr>
            <w:tcW w:w="2440" w:type="dxa"/>
            <w:vAlign w:val="bottom"/>
            <w:tcBorders>
              <w:right w:val="single" w:sz="8" w:color="B2B2B2"/>
            </w:tcBorders>
            <w:shd w:val="clear" w:color="auto" w:fill="E2EEFA"/>
          </w:tcPr>
          <w:p>
            <w:pPr>
              <w:spacing w:after="0"/>
              <w:rPr>
                <w:sz w:val="19"/>
                <w:szCs w:val="19"/>
                <w:color w:val="auto"/>
              </w:rPr>
            </w:pPr>
          </w:p>
        </w:tc>
        <w:tc>
          <w:tcPr>
            <w:tcW w:w="8120" w:type="dxa"/>
            <w:vAlign w:val="bottom"/>
            <w:shd w:val="clear" w:color="auto" w:fill="E2EEFA"/>
          </w:tcPr>
          <w:p>
            <w:pPr>
              <w:ind w:left="280"/>
              <w:spacing w:after="0"/>
              <w:rPr>
                <w:sz w:val="20"/>
                <w:szCs w:val="20"/>
                <w:color w:val="auto"/>
              </w:rPr>
            </w:pPr>
            <w:r>
              <w:rPr>
                <w:rFonts w:ascii="Arial" w:cs="Arial" w:eastAsia="Arial" w:hAnsi="Arial"/>
                <w:sz w:val="17"/>
                <w:szCs w:val="17"/>
                <w:color w:val="auto"/>
              </w:rPr>
              <w:t>prepare some of the materials for Compensation Committee meetings.</w:t>
            </w:r>
          </w:p>
        </w:tc>
      </w:tr>
      <w:tr>
        <w:trPr>
          <w:trHeight w:val="114"/>
        </w:trPr>
        <w:tc>
          <w:tcPr>
            <w:tcW w:w="2440" w:type="dxa"/>
            <w:vAlign w:val="bottom"/>
            <w:tcBorders>
              <w:bottom w:val="single" w:sz="8" w:color="B2B2B2"/>
              <w:right w:val="single" w:sz="8" w:color="B2B2B2"/>
            </w:tcBorders>
            <w:shd w:val="clear" w:color="auto" w:fill="E2EEFA"/>
          </w:tcPr>
          <w:p>
            <w:pPr>
              <w:spacing w:after="0"/>
              <w:rPr>
                <w:sz w:val="9"/>
                <w:szCs w:val="9"/>
                <w:color w:val="auto"/>
              </w:rPr>
            </w:pPr>
          </w:p>
        </w:tc>
        <w:tc>
          <w:tcPr>
            <w:tcW w:w="8120" w:type="dxa"/>
            <w:vAlign w:val="bottom"/>
            <w:tcBorders>
              <w:bottom w:val="single" w:sz="8" w:color="B2B2B2"/>
            </w:tcBorders>
            <w:shd w:val="clear" w:color="auto" w:fill="E2EEFA"/>
          </w:tcPr>
          <w:p>
            <w:pPr>
              <w:spacing w:after="0"/>
              <w:rPr>
                <w:sz w:val="9"/>
                <w:szCs w:val="9"/>
                <w:color w:val="auto"/>
              </w:rPr>
            </w:pPr>
          </w:p>
        </w:tc>
      </w:tr>
    </w:tbl>
    <w:p>
      <w:pPr>
        <w:spacing w:after="0" w:line="28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Compensation Consultant</w:t>
      </w:r>
    </w:p>
    <w:p>
      <w:pPr>
        <w:spacing w:after="0" w:line="92" w:lineRule="exact"/>
        <w:rPr>
          <w:sz w:val="20"/>
          <w:szCs w:val="20"/>
          <w:color w:val="auto"/>
        </w:rPr>
      </w:pPr>
    </w:p>
    <w:p>
      <w:pPr>
        <w:ind w:left="340" w:right="20"/>
        <w:spacing w:after="0" w:line="239" w:lineRule="auto"/>
        <w:rPr>
          <w:sz w:val="20"/>
          <w:szCs w:val="20"/>
          <w:color w:val="auto"/>
        </w:rPr>
      </w:pPr>
      <w:r>
        <w:rPr>
          <w:rFonts w:ascii="Arial" w:cs="Arial" w:eastAsia="Arial" w:hAnsi="Arial"/>
          <w:sz w:val="19"/>
          <w:szCs w:val="19"/>
          <w:color w:val="auto"/>
        </w:rPr>
        <w:t>Frederic W. Cook &amp; Co., Inc. (“FW Cook”) serves as the Compensation Committee’s compensation consultant. For fiscal year 2026, as required by the NYSE listing standards, the Compensation Committee considered various independence factors and potential conflicts of interest with respect to the compensation consultant and found the compensation consultant to be independent and that no conflicts of interest existed.</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47</w:t>
      </w:r>
    </w:p>
    <w:p>
      <w:pPr>
        <w:sectPr>
          <w:pgSz w:w="11900" w:h="16838" w:orient="portrait"/>
          <w:cols w:equalWidth="0" w:num="1">
            <w:col w:w="10900"/>
          </w:cols>
          <w:pgMar w:left="320" w:top="469" w:right="6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Principal Components of Compensation for Named Executive Officers</w:t>
      </w:r>
    </w:p>
    <w:p>
      <w:pPr>
        <w:spacing w:after="0" w:line="92" w:lineRule="exact"/>
        <w:rPr>
          <w:sz w:val="20"/>
          <w:szCs w:val="20"/>
          <w:color w:val="auto"/>
        </w:rPr>
      </w:pPr>
    </w:p>
    <w:p>
      <w:pPr>
        <w:ind w:left="340" w:right="40"/>
        <w:spacing w:after="0" w:line="235" w:lineRule="auto"/>
        <w:rPr>
          <w:sz w:val="20"/>
          <w:szCs w:val="20"/>
          <w:color w:val="auto"/>
        </w:rPr>
      </w:pPr>
      <w:r>
        <w:rPr>
          <w:rFonts w:ascii="Arial" w:cs="Arial" w:eastAsia="Arial" w:hAnsi="Arial"/>
          <w:sz w:val="19"/>
          <w:szCs w:val="19"/>
          <w:color w:val="auto"/>
        </w:rPr>
        <w:t>For the named executive officers, our compensation program is designed to help recruit and retain management and align compensation with individual and Company performance on both an annual and longer-term basis. In addition, compensation for our named executive officers is generally structured to provide a significant portion of the compensation opportunity on the basis of the long-term performance of STERIS stock, as well as business performance and other factors that influence shareholder value. Based on this general compensation philosophy, the Committee has established compensation for our named executive officers consisting of the following principal components: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2240" w:type="dxa"/>
            <w:vAlign w:val="bottom"/>
            <w:tcBorders>
              <w:right w:val="single" w:sz="8" w:color="3E8EDE"/>
            </w:tcBorders>
            <w:shd w:val="clear" w:color="auto" w:fill="3E8EDE"/>
          </w:tcPr>
          <w:p>
            <w:pPr>
              <w:ind w:left="520"/>
              <w:spacing w:after="0"/>
              <w:rPr>
                <w:sz w:val="20"/>
                <w:szCs w:val="20"/>
                <w:color w:val="auto"/>
              </w:rPr>
            </w:pPr>
            <w:r>
              <w:rPr>
                <w:rFonts w:ascii="Arial" w:cs="Arial" w:eastAsia="Arial" w:hAnsi="Arial"/>
                <w:sz w:val="17"/>
                <w:szCs w:val="17"/>
                <w:b w:val="1"/>
                <w:bCs w:val="1"/>
                <w:color w:val="FFFFFF"/>
              </w:rPr>
              <w:t>Compensation</w:t>
            </w:r>
          </w:p>
        </w:tc>
        <w:tc>
          <w:tcPr>
            <w:tcW w:w="4380" w:type="dxa"/>
            <w:vAlign w:val="bottom"/>
            <w:tcBorders>
              <w:right w:val="single" w:sz="8" w:color="3E8EDE"/>
            </w:tcBorders>
            <w:vMerge w:val="restart"/>
            <w:shd w:val="clear" w:color="auto" w:fill="3E8EDE"/>
          </w:tcPr>
          <w:p>
            <w:pPr>
              <w:ind w:left="1800"/>
              <w:spacing w:after="0"/>
              <w:rPr>
                <w:sz w:val="20"/>
                <w:szCs w:val="20"/>
                <w:color w:val="auto"/>
              </w:rPr>
            </w:pPr>
            <w:r>
              <w:rPr>
                <w:rFonts w:ascii="Arial" w:cs="Arial" w:eastAsia="Arial" w:hAnsi="Arial"/>
                <w:sz w:val="17"/>
                <w:szCs w:val="17"/>
                <w:b w:val="1"/>
                <w:bCs w:val="1"/>
                <w:color w:val="FFFFFF"/>
              </w:rPr>
              <w:t>Description</w:t>
            </w:r>
          </w:p>
        </w:tc>
        <w:tc>
          <w:tcPr>
            <w:tcW w:w="3940" w:type="dxa"/>
            <w:vAlign w:val="bottom"/>
            <w:vMerge w:val="restart"/>
            <w:shd w:val="clear" w:color="auto" w:fill="3E8EDE"/>
          </w:tcPr>
          <w:p>
            <w:pPr>
              <w:ind w:left="1580"/>
              <w:spacing w:after="0"/>
              <w:rPr>
                <w:sz w:val="20"/>
                <w:szCs w:val="20"/>
                <w:color w:val="auto"/>
              </w:rPr>
            </w:pPr>
            <w:r>
              <w:rPr>
                <w:rFonts w:ascii="Arial" w:cs="Arial" w:eastAsia="Arial" w:hAnsi="Arial"/>
                <w:sz w:val="17"/>
                <w:szCs w:val="17"/>
                <w:b w:val="1"/>
                <w:bCs w:val="1"/>
                <w:color w:val="FFFFFF"/>
              </w:rPr>
              <w:t>Objectives</w:t>
            </w:r>
          </w:p>
        </w:tc>
        <w:tc>
          <w:tcPr>
            <w:tcW w:w="0" w:type="dxa"/>
            <w:vAlign w:val="bottom"/>
          </w:tcPr>
          <w:p>
            <w:pPr>
              <w:spacing w:after="0"/>
              <w:rPr>
                <w:sz w:val="1"/>
                <w:szCs w:val="1"/>
                <w:color w:val="auto"/>
              </w:rPr>
            </w:pPr>
          </w:p>
        </w:tc>
      </w:tr>
      <w:tr>
        <w:trPr>
          <w:trHeight w:val="161"/>
        </w:trPr>
        <w:tc>
          <w:tcPr>
            <w:tcW w:w="2240" w:type="dxa"/>
            <w:vAlign w:val="bottom"/>
            <w:tcBorders>
              <w:right w:val="single" w:sz="8" w:color="3E8EDE"/>
            </w:tcBorders>
            <w:vMerge w:val="restart"/>
            <w:shd w:val="clear" w:color="auto" w:fill="3E8EDE"/>
          </w:tcPr>
          <w:p>
            <w:pPr>
              <w:ind w:left="640"/>
              <w:spacing w:after="0"/>
              <w:rPr>
                <w:sz w:val="20"/>
                <w:szCs w:val="20"/>
                <w:color w:val="auto"/>
              </w:rPr>
            </w:pPr>
            <w:r>
              <w:rPr>
                <w:rFonts w:ascii="Arial" w:cs="Arial" w:eastAsia="Arial" w:hAnsi="Arial"/>
                <w:sz w:val="17"/>
                <w:szCs w:val="17"/>
                <w:b w:val="1"/>
                <w:bCs w:val="1"/>
                <w:color w:val="FFFFFF"/>
              </w:rPr>
              <w:t>Component</w:t>
            </w:r>
          </w:p>
        </w:tc>
        <w:tc>
          <w:tcPr>
            <w:tcW w:w="4380" w:type="dxa"/>
            <w:vAlign w:val="bottom"/>
            <w:tcBorders>
              <w:right w:val="single" w:sz="8" w:color="3E8EDE"/>
            </w:tcBorders>
            <w:vMerge w:val="continue"/>
            <w:shd w:val="clear" w:color="auto" w:fill="3E8EDE"/>
          </w:tcPr>
          <w:p>
            <w:pPr>
              <w:spacing w:after="0"/>
              <w:rPr>
                <w:sz w:val="13"/>
                <w:szCs w:val="13"/>
                <w:color w:val="auto"/>
              </w:rPr>
            </w:pPr>
          </w:p>
        </w:tc>
        <w:tc>
          <w:tcPr>
            <w:tcW w:w="3940" w:type="dxa"/>
            <w:vAlign w:val="bottom"/>
            <w:vMerge w:val="continue"/>
            <w:shd w:val="clear" w:color="auto" w:fill="3E8ED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240" w:type="dxa"/>
            <w:vAlign w:val="bottom"/>
            <w:tcBorders>
              <w:bottom w:val="single" w:sz="8" w:color="3E8EDE"/>
              <w:right w:val="single" w:sz="8" w:color="3E8EDE"/>
            </w:tcBorders>
            <w:vMerge w:val="continue"/>
            <w:shd w:val="clear" w:color="auto" w:fill="3E8EDE"/>
          </w:tcPr>
          <w:p>
            <w:pPr>
              <w:spacing w:after="0"/>
              <w:rPr>
                <w:sz w:val="7"/>
                <w:szCs w:val="7"/>
                <w:color w:val="auto"/>
              </w:rPr>
            </w:pPr>
          </w:p>
        </w:tc>
        <w:tc>
          <w:tcPr>
            <w:tcW w:w="4380" w:type="dxa"/>
            <w:vAlign w:val="bottom"/>
            <w:tcBorders>
              <w:bottom w:val="single" w:sz="8" w:color="3E8EDE"/>
              <w:right w:val="single" w:sz="8" w:color="3E8EDE"/>
            </w:tcBorders>
            <w:shd w:val="clear" w:color="auto" w:fill="3E8EDE"/>
          </w:tcPr>
          <w:p>
            <w:pPr>
              <w:spacing w:after="0"/>
              <w:rPr>
                <w:sz w:val="7"/>
                <w:szCs w:val="7"/>
                <w:color w:val="auto"/>
              </w:rPr>
            </w:pPr>
          </w:p>
        </w:tc>
        <w:tc>
          <w:tcPr>
            <w:tcW w:w="3940" w:type="dxa"/>
            <w:vAlign w:val="bottom"/>
            <w:tcBorders>
              <w:bottom w:val="single" w:sz="8" w:color="3E8EDE"/>
            </w:tcBorders>
            <w:shd w:val="clear" w:color="auto" w:fill="3E8EDE"/>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240" w:type="dxa"/>
            <w:vAlign w:val="bottom"/>
            <w:tcBorders>
              <w:right w:val="single" w:sz="8" w:color="B2B2B2"/>
            </w:tcBorders>
          </w:tcPr>
          <w:p>
            <w:pPr>
              <w:ind w:left="80"/>
              <w:spacing w:after="0"/>
              <w:rPr>
                <w:sz w:val="20"/>
                <w:szCs w:val="20"/>
                <w:color w:val="auto"/>
              </w:rPr>
            </w:pPr>
            <w:r>
              <w:rPr>
                <w:rFonts w:ascii="Arial" w:cs="Arial" w:eastAsia="Arial" w:hAnsi="Arial"/>
                <w:sz w:val="17"/>
                <w:szCs w:val="17"/>
                <w:b w:val="1"/>
                <w:bCs w:val="1"/>
                <w:color w:val="auto"/>
              </w:rPr>
              <w:t>Base Salary</w:t>
            </w:r>
          </w:p>
        </w:tc>
        <w:tc>
          <w:tcPr>
            <w:tcW w:w="4380" w:type="dxa"/>
            <w:vAlign w:val="bottom"/>
            <w:tcBorders>
              <w:right w:val="single" w:sz="8" w:color="B2B2B2"/>
            </w:tcBorders>
          </w:tcPr>
          <w:p>
            <w:pPr>
              <w:ind w:left="200"/>
              <w:spacing w:after="0"/>
              <w:rPr>
                <w:sz w:val="20"/>
                <w:szCs w:val="20"/>
                <w:color w:val="auto"/>
              </w:rPr>
            </w:pPr>
            <w:r>
              <w:rPr>
                <w:rFonts w:ascii="Arial" w:cs="Arial" w:eastAsia="Arial" w:hAnsi="Arial"/>
                <w:sz w:val="17"/>
                <w:szCs w:val="17"/>
                <w:color w:val="auto"/>
              </w:rPr>
              <w:t>• Fixed compensation that is reviewed annually and is</w:t>
            </w:r>
          </w:p>
        </w:tc>
        <w:tc>
          <w:tcPr>
            <w:tcW w:w="3940" w:type="dxa"/>
            <w:vAlign w:val="bottom"/>
          </w:tcPr>
          <w:p>
            <w:pPr>
              <w:ind w:left="100"/>
              <w:spacing w:after="0"/>
              <w:rPr>
                <w:sz w:val="20"/>
                <w:szCs w:val="20"/>
                <w:color w:val="auto"/>
              </w:rPr>
            </w:pPr>
            <w:r>
              <w:rPr>
                <w:rFonts w:ascii="Arial" w:cs="Arial" w:eastAsia="Arial" w:hAnsi="Arial"/>
                <w:sz w:val="17"/>
                <w:szCs w:val="17"/>
                <w:color w:val="auto"/>
              </w:rPr>
              <w:t>• Provide a base level of compensation that</w:t>
            </w:r>
          </w:p>
        </w:tc>
        <w:tc>
          <w:tcPr>
            <w:tcW w:w="0" w:type="dxa"/>
            <w:vAlign w:val="bottom"/>
          </w:tcPr>
          <w:p>
            <w:pPr>
              <w:spacing w:after="0"/>
              <w:rPr>
                <w:sz w:val="1"/>
                <w:szCs w:val="1"/>
                <w:color w:val="auto"/>
              </w:rPr>
            </w:pPr>
          </w:p>
        </w:tc>
      </w:tr>
      <w:tr>
        <w:trPr>
          <w:trHeight w:val="194"/>
        </w:trPr>
        <w:tc>
          <w:tcPr>
            <w:tcW w:w="2240" w:type="dxa"/>
            <w:vAlign w:val="bottom"/>
            <w:tcBorders>
              <w:right w:val="single" w:sz="8" w:color="B2B2B2"/>
            </w:tcBorders>
          </w:tcPr>
          <w:p>
            <w:pPr>
              <w:spacing w:after="0"/>
              <w:rPr>
                <w:sz w:val="16"/>
                <w:szCs w:val="16"/>
                <w:color w:val="auto"/>
              </w:rPr>
            </w:pPr>
          </w:p>
        </w:tc>
        <w:tc>
          <w:tcPr>
            <w:tcW w:w="4380" w:type="dxa"/>
            <w:vAlign w:val="bottom"/>
            <w:tcBorders>
              <w:right w:val="single" w:sz="8" w:color="B2B2B2"/>
            </w:tcBorders>
          </w:tcPr>
          <w:p>
            <w:pPr>
              <w:ind w:left="380"/>
              <w:spacing w:after="0" w:line="194" w:lineRule="exact"/>
              <w:rPr>
                <w:sz w:val="20"/>
                <w:szCs w:val="20"/>
                <w:color w:val="auto"/>
              </w:rPr>
            </w:pPr>
            <w:r>
              <w:rPr>
                <w:rFonts w:ascii="Arial" w:cs="Arial" w:eastAsia="Arial" w:hAnsi="Arial"/>
                <w:sz w:val="17"/>
                <w:szCs w:val="17"/>
                <w:color w:val="auto"/>
              </w:rPr>
              <w:t>based on performance, experience, responsibilities,</w:t>
            </w:r>
          </w:p>
        </w:tc>
        <w:tc>
          <w:tcPr>
            <w:tcW w:w="3940" w:type="dxa"/>
            <w:vAlign w:val="bottom"/>
          </w:tcPr>
          <w:p>
            <w:pPr>
              <w:ind w:left="280"/>
              <w:spacing w:after="0" w:line="194" w:lineRule="exact"/>
              <w:rPr>
                <w:sz w:val="20"/>
                <w:szCs w:val="20"/>
                <w:color w:val="auto"/>
              </w:rPr>
            </w:pPr>
            <w:r>
              <w:rPr>
                <w:rFonts w:ascii="Arial" w:cs="Arial" w:eastAsia="Arial" w:hAnsi="Arial"/>
                <w:sz w:val="17"/>
                <w:szCs w:val="17"/>
                <w:color w:val="auto"/>
              </w:rPr>
              <w:t>corresponds to the job function performed.</w:t>
            </w:r>
          </w:p>
        </w:tc>
        <w:tc>
          <w:tcPr>
            <w:tcW w:w="0" w:type="dxa"/>
            <w:vAlign w:val="bottom"/>
          </w:tcPr>
          <w:p>
            <w:pPr>
              <w:spacing w:after="0"/>
              <w:rPr>
                <w:sz w:val="1"/>
                <w:szCs w:val="1"/>
                <w:color w:val="auto"/>
              </w:rPr>
            </w:pPr>
          </w:p>
        </w:tc>
      </w:tr>
      <w:tr>
        <w:trPr>
          <w:trHeight w:val="226"/>
        </w:trPr>
        <w:tc>
          <w:tcPr>
            <w:tcW w:w="2240" w:type="dxa"/>
            <w:vAlign w:val="bottom"/>
            <w:tcBorders>
              <w:right w:val="single" w:sz="8" w:color="B2B2B2"/>
            </w:tcBorders>
          </w:tcPr>
          <w:p>
            <w:pPr>
              <w:spacing w:after="0"/>
              <w:rPr>
                <w:sz w:val="19"/>
                <w:szCs w:val="19"/>
                <w:color w:val="auto"/>
              </w:rPr>
            </w:pPr>
          </w:p>
        </w:tc>
        <w:tc>
          <w:tcPr>
            <w:tcW w:w="4380" w:type="dxa"/>
            <w:vAlign w:val="bottom"/>
            <w:tcBorders>
              <w:right w:val="single" w:sz="8" w:color="B2B2B2"/>
            </w:tcBorders>
          </w:tcPr>
          <w:p>
            <w:pPr>
              <w:ind w:left="380"/>
              <w:spacing w:after="0"/>
              <w:rPr>
                <w:sz w:val="20"/>
                <w:szCs w:val="20"/>
                <w:color w:val="auto"/>
              </w:rPr>
            </w:pPr>
            <w:r>
              <w:rPr>
                <w:rFonts w:ascii="Arial" w:cs="Arial" w:eastAsia="Arial" w:hAnsi="Arial"/>
                <w:sz w:val="17"/>
                <w:szCs w:val="17"/>
                <w:color w:val="auto"/>
              </w:rPr>
              <w:t>skill set and market value.</w:t>
            </w: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240" w:type="dxa"/>
            <w:vAlign w:val="bottom"/>
            <w:tcBorders>
              <w:bottom w:val="single" w:sz="8" w:color="B2B2B2"/>
              <w:right w:val="single" w:sz="8" w:color="B2B2B2"/>
            </w:tcBorders>
          </w:tcPr>
          <w:p>
            <w:pPr>
              <w:spacing w:after="0"/>
              <w:rPr>
                <w:sz w:val="13"/>
                <w:szCs w:val="13"/>
                <w:color w:val="auto"/>
              </w:rPr>
            </w:pPr>
          </w:p>
        </w:tc>
        <w:tc>
          <w:tcPr>
            <w:tcW w:w="4380" w:type="dxa"/>
            <w:vAlign w:val="bottom"/>
            <w:tcBorders>
              <w:bottom w:val="single" w:sz="8" w:color="B2B2B2"/>
              <w:right w:val="single" w:sz="8" w:color="B2B2B2"/>
            </w:tcBorders>
          </w:tcPr>
          <w:p>
            <w:pPr>
              <w:spacing w:after="0"/>
              <w:rPr>
                <w:sz w:val="13"/>
                <w:szCs w:val="13"/>
                <w:color w:val="auto"/>
              </w:rPr>
            </w:pPr>
          </w:p>
        </w:tc>
        <w:tc>
          <w:tcPr>
            <w:tcW w:w="394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240" w:type="dxa"/>
            <w:vAlign w:val="bottom"/>
            <w:tcBorders>
              <w:right w:val="single" w:sz="8" w:color="B2B2B2"/>
            </w:tcBorders>
            <w:shd w:val="clear" w:color="auto" w:fill="E2EEFA"/>
          </w:tcPr>
          <w:p>
            <w:pPr>
              <w:ind w:left="80"/>
              <w:spacing w:after="0" w:line="168" w:lineRule="exact"/>
              <w:rPr>
                <w:sz w:val="20"/>
                <w:szCs w:val="20"/>
                <w:color w:val="auto"/>
              </w:rPr>
            </w:pPr>
            <w:r>
              <w:rPr>
                <w:rFonts w:ascii="Arial" w:cs="Arial" w:eastAsia="Arial" w:hAnsi="Arial"/>
                <w:sz w:val="17"/>
                <w:szCs w:val="17"/>
                <w:b w:val="1"/>
                <w:bCs w:val="1"/>
                <w:color w:val="auto"/>
              </w:rPr>
              <w:t>Annual Cash Incentive</w:t>
            </w:r>
          </w:p>
        </w:tc>
        <w:tc>
          <w:tcPr>
            <w:tcW w:w="4380" w:type="dxa"/>
            <w:vAlign w:val="bottom"/>
            <w:tcBorders>
              <w:right w:val="single" w:sz="8" w:color="B2B2B2"/>
            </w:tcBorders>
            <w:vMerge w:val="restart"/>
            <w:shd w:val="clear" w:color="auto" w:fill="E2EEFA"/>
          </w:tcPr>
          <w:p>
            <w:pPr>
              <w:ind w:left="200"/>
              <w:spacing w:after="0"/>
              <w:rPr>
                <w:sz w:val="20"/>
                <w:szCs w:val="20"/>
                <w:color w:val="auto"/>
              </w:rPr>
            </w:pPr>
            <w:r>
              <w:rPr>
                <w:rFonts w:ascii="Arial" w:cs="Arial" w:eastAsia="Arial" w:hAnsi="Arial"/>
                <w:sz w:val="17"/>
                <w:szCs w:val="17"/>
                <w:color w:val="auto"/>
              </w:rPr>
              <w:t>• “At-risk” compensation earned based on</w:t>
            </w:r>
          </w:p>
        </w:tc>
        <w:tc>
          <w:tcPr>
            <w:tcW w:w="3940" w:type="dxa"/>
            <w:vAlign w:val="bottom"/>
            <w:vMerge w:val="restart"/>
            <w:shd w:val="clear" w:color="auto" w:fill="E2EEFA"/>
          </w:tcPr>
          <w:p>
            <w:pPr>
              <w:ind w:left="100"/>
              <w:spacing w:after="0"/>
              <w:rPr>
                <w:sz w:val="20"/>
                <w:szCs w:val="20"/>
                <w:color w:val="auto"/>
              </w:rPr>
            </w:pPr>
            <w:r>
              <w:rPr>
                <w:rFonts w:ascii="Arial" w:cs="Arial" w:eastAsia="Arial" w:hAnsi="Arial"/>
                <w:sz w:val="17"/>
                <w:szCs w:val="17"/>
                <w:color w:val="auto"/>
              </w:rPr>
              <w:t>• Incentivize executives to achieve annual goals</w:t>
            </w:r>
          </w:p>
        </w:tc>
        <w:tc>
          <w:tcPr>
            <w:tcW w:w="0" w:type="dxa"/>
            <w:vAlign w:val="bottom"/>
          </w:tcPr>
          <w:p>
            <w:pPr>
              <w:spacing w:after="0"/>
              <w:rPr>
                <w:sz w:val="1"/>
                <w:szCs w:val="1"/>
                <w:color w:val="auto"/>
              </w:rPr>
            </w:pPr>
          </w:p>
        </w:tc>
      </w:tr>
      <w:tr>
        <w:trPr>
          <w:trHeight w:val="119"/>
        </w:trPr>
        <w:tc>
          <w:tcPr>
            <w:tcW w:w="2240" w:type="dxa"/>
            <w:vAlign w:val="bottom"/>
            <w:tcBorders>
              <w:right w:val="single" w:sz="8" w:color="B2B2B2"/>
            </w:tcBorders>
            <w:vMerge w:val="restart"/>
            <w:shd w:val="clear" w:color="auto" w:fill="E2EEFA"/>
          </w:tcPr>
          <w:p>
            <w:pPr>
              <w:ind w:left="80"/>
              <w:spacing w:after="0"/>
              <w:rPr>
                <w:sz w:val="20"/>
                <w:szCs w:val="20"/>
                <w:color w:val="auto"/>
              </w:rPr>
            </w:pPr>
            <w:r>
              <w:rPr>
                <w:rFonts w:ascii="Arial" w:cs="Arial" w:eastAsia="Arial" w:hAnsi="Arial"/>
                <w:sz w:val="17"/>
                <w:szCs w:val="17"/>
                <w:b w:val="1"/>
                <w:bCs w:val="1"/>
                <w:color w:val="auto"/>
              </w:rPr>
              <w:t>Compensation</w:t>
            </w:r>
          </w:p>
        </w:tc>
        <w:tc>
          <w:tcPr>
            <w:tcW w:w="4380" w:type="dxa"/>
            <w:vAlign w:val="bottom"/>
            <w:tcBorders>
              <w:right w:val="single" w:sz="8" w:color="B2B2B2"/>
            </w:tcBorders>
            <w:vMerge w:val="continue"/>
            <w:shd w:val="clear" w:color="auto" w:fill="E2EEFA"/>
          </w:tcPr>
          <w:p>
            <w:pPr>
              <w:spacing w:after="0"/>
              <w:rPr>
                <w:sz w:val="10"/>
                <w:szCs w:val="10"/>
                <w:color w:val="auto"/>
              </w:rPr>
            </w:pPr>
          </w:p>
        </w:tc>
        <w:tc>
          <w:tcPr>
            <w:tcW w:w="3940" w:type="dxa"/>
            <w:vAlign w:val="bottom"/>
            <w:vMerge w:val="continue"/>
            <w:shd w:val="clear" w:color="auto" w:fill="E2EEFA"/>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Borders>
              <w:right w:val="single" w:sz="8" w:color="B2B2B2"/>
            </w:tcBorders>
            <w:vMerge w:val="continue"/>
            <w:shd w:val="clear" w:color="auto" w:fill="E2EEFA"/>
          </w:tcPr>
          <w:p>
            <w:pPr>
              <w:spacing w:after="0"/>
              <w:rPr>
                <w:sz w:val="10"/>
                <w:szCs w:val="10"/>
                <w:color w:val="auto"/>
              </w:rPr>
            </w:pPr>
          </w:p>
        </w:tc>
        <w:tc>
          <w:tcPr>
            <w:tcW w:w="4380" w:type="dxa"/>
            <w:vAlign w:val="bottom"/>
            <w:tcBorders>
              <w:right w:val="single" w:sz="8" w:color="B2B2B2"/>
            </w:tcBorders>
            <w:vMerge w:val="restart"/>
            <w:shd w:val="clear" w:color="auto" w:fill="E2EEFA"/>
          </w:tcPr>
          <w:p>
            <w:pPr>
              <w:ind w:left="380"/>
              <w:spacing w:after="0" w:line="194" w:lineRule="exact"/>
              <w:rPr>
                <w:sz w:val="20"/>
                <w:szCs w:val="20"/>
                <w:color w:val="auto"/>
              </w:rPr>
            </w:pPr>
            <w:r>
              <w:rPr>
                <w:rFonts w:ascii="Arial" w:cs="Arial" w:eastAsia="Arial" w:hAnsi="Arial"/>
                <w:sz w:val="17"/>
                <w:szCs w:val="17"/>
                <w:color w:val="auto"/>
              </w:rPr>
              <w:t>performance measured against pre-established</w:t>
            </w:r>
          </w:p>
        </w:tc>
        <w:tc>
          <w:tcPr>
            <w:tcW w:w="3940" w:type="dxa"/>
            <w:vAlign w:val="bottom"/>
            <w:vMerge w:val="restart"/>
            <w:shd w:val="clear" w:color="auto" w:fill="E2EEFA"/>
          </w:tcPr>
          <w:p>
            <w:pPr>
              <w:ind w:left="280"/>
              <w:spacing w:after="0" w:line="194" w:lineRule="exact"/>
              <w:rPr>
                <w:sz w:val="20"/>
                <w:szCs w:val="20"/>
                <w:color w:val="auto"/>
              </w:rPr>
            </w:pPr>
            <w:r>
              <w:rPr>
                <w:rFonts w:ascii="Arial" w:cs="Arial" w:eastAsia="Arial" w:hAnsi="Arial"/>
                <w:sz w:val="17"/>
                <w:szCs w:val="17"/>
                <w:color w:val="auto"/>
              </w:rPr>
              <w:t>that ultimately contribute to long-term Company</w:t>
            </w:r>
          </w:p>
        </w:tc>
        <w:tc>
          <w:tcPr>
            <w:tcW w:w="0" w:type="dxa"/>
            <w:vAlign w:val="bottom"/>
          </w:tcPr>
          <w:p>
            <w:pPr>
              <w:spacing w:after="0"/>
              <w:rPr>
                <w:sz w:val="1"/>
                <w:szCs w:val="1"/>
                <w:color w:val="auto"/>
              </w:rPr>
            </w:pPr>
          </w:p>
        </w:tc>
      </w:tr>
      <w:tr>
        <w:trPr>
          <w:trHeight w:val="75"/>
        </w:trPr>
        <w:tc>
          <w:tcPr>
            <w:tcW w:w="2240" w:type="dxa"/>
            <w:vAlign w:val="bottom"/>
            <w:tcBorders>
              <w:right w:val="single" w:sz="8" w:color="B2B2B2"/>
            </w:tcBorders>
            <w:shd w:val="clear" w:color="auto" w:fill="E2EEFA"/>
          </w:tcPr>
          <w:p>
            <w:pPr>
              <w:spacing w:after="0"/>
              <w:rPr>
                <w:sz w:val="6"/>
                <w:szCs w:val="6"/>
                <w:color w:val="auto"/>
              </w:rPr>
            </w:pPr>
          </w:p>
        </w:tc>
        <w:tc>
          <w:tcPr>
            <w:tcW w:w="4380" w:type="dxa"/>
            <w:vAlign w:val="bottom"/>
            <w:tcBorders>
              <w:right w:val="single" w:sz="8" w:color="B2B2B2"/>
            </w:tcBorders>
            <w:vMerge w:val="continue"/>
            <w:shd w:val="clear" w:color="auto" w:fill="E2EEFA"/>
          </w:tcPr>
          <w:p>
            <w:pPr>
              <w:spacing w:after="0"/>
              <w:rPr>
                <w:sz w:val="6"/>
                <w:szCs w:val="6"/>
                <w:color w:val="auto"/>
              </w:rPr>
            </w:pPr>
          </w:p>
        </w:tc>
        <w:tc>
          <w:tcPr>
            <w:tcW w:w="3940" w:type="dxa"/>
            <w:vAlign w:val="bottom"/>
            <w:vMerge w:val="continue"/>
            <w:shd w:val="clear" w:color="auto" w:fill="E2EEFA"/>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240" w:type="dxa"/>
            <w:vAlign w:val="bottom"/>
            <w:tcBorders>
              <w:right w:val="single" w:sz="8" w:color="B2B2B2"/>
            </w:tcBorders>
            <w:shd w:val="clear" w:color="auto" w:fill="E2EEFA"/>
          </w:tcPr>
          <w:p>
            <w:pPr>
              <w:spacing w:after="0"/>
              <w:rPr>
                <w:sz w:val="19"/>
                <w:szCs w:val="19"/>
                <w:color w:val="auto"/>
              </w:rPr>
            </w:pPr>
          </w:p>
        </w:tc>
        <w:tc>
          <w:tcPr>
            <w:tcW w:w="4380" w:type="dxa"/>
            <w:vAlign w:val="bottom"/>
            <w:tcBorders>
              <w:right w:val="single" w:sz="8" w:color="B2B2B2"/>
            </w:tcBorders>
            <w:shd w:val="clear" w:color="auto" w:fill="E2EEFA"/>
          </w:tcPr>
          <w:p>
            <w:pPr>
              <w:ind w:left="380"/>
              <w:spacing w:after="0"/>
              <w:rPr>
                <w:sz w:val="20"/>
                <w:szCs w:val="20"/>
                <w:color w:val="auto"/>
              </w:rPr>
            </w:pPr>
            <w:r>
              <w:rPr>
                <w:rFonts w:ascii="Arial" w:cs="Arial" w:eastAsia="Arial" w:hAnsi="Arial"/>
                <w:sz w:val="17"/>
                <w:szCs w:val="17"/>
                <w:color w:val="auto"/>
              </w:rPr>
              <w:t>annual goals.</w:t>
            </w:r>
          </w:p>
        </w:tc>
        <w:tc>
          <w:tcPr>
            <w:tcW w:w="3940" w:type="dxa"/>
            <w:vAlign w:val="bottom"/>
            <w:shd w:val="clear" w:color="auto" w:fill="E2EEFA"/>
          </w:tcPr>
          <w:p>
            <w:pPr>
              <w:ind w:left="280"/>
              <w:spacing w:after="0"/>
              <w:rPr>
                <w:sz w:val="20"/>
                <w:szCs w:val="20"/>
                <w:color w:val="auto"/>
              </w:rPr>
            </w:pPr>
            <w:r>
              <w:rPr>
                <w:rFonts w:ascii="Arial" w:cs="Arial" w:eastAsia="Arial" w:hAnsi="Arial"/>
                <w:sz w:val="17"/>
                <w:szCs w:val="17"/>
                <w:color w:val="auto"/>
              </w:rPr>
              <w:t>growth and shareholder return.</w:t>
            </w:r>
          </w:p>
        </w:tc>
        <w:tc>
          <w:tcPr>
            <w:tcW w:w="0" w:type="dxa"/>
            <w:vAlign w:val="bottom"/>
          </w:tcPr>
          <w:p>
            <w:pPr>
              <w:spacing w:after="0"/>
              <w:rPr>
                <w:sz w:val="1"/>
                <w:szCs w:val="1"/>
                <w:color w:val="auto"/>
              </w:rPr>
            </w:pPr>
          </w:p>
        </w:tc>
      </w:tr>
      <w:tr>
        <w:trPr>
          <w:trHeight w:val="279"/>
        </w:trPr>
        <w:tc>
          <w:tcPr>
            <w:tcW w:w="2240" w:type="dxa"/>
            <w:vAlign w:val="bottom"/>
            <w:tcBorders>
              <w:right w:val="single" w:sz="8" w:color="B2B2B2"/>
            </w:tcBorders>
            <w:shd w:val="clear" w:color="auto" w:fill="E2EEFA"/>
          </w:tcPr>
          <w:p>
            <w:pPr>
              <w:spacing w:after="0"/>
              <w:rPr>
                <w:sz w:val="24"/>
                <w:szCs w:val="24"/>
                <w:color w:val="auto"/>
              </w:rPr>
            </w:pPr>
          </w:p>
        </w:tc>
        <w:tc>
          <w:tcPr>
            <w:tcW w:w="4380" w:type="dxa"/>
            <w:vAlign w:val="bottom"/>
            <w:tcBorders>
              <w:right w:val="single" w:sz="8" w:color="B2B2B2"/>
            </w:tcBorders>
            <w:shd w:val="clear" w:color="auto" w:fill="E2EEFA"/>
          </w:tcPr>
          <w:p>
            <w:pPr>
              <w:ind w:left="200"/>
              <w:spacing w:after="0"/>
              <w:rPr>
                <w:sz w:val="20"/>
                <w:szCs w:val="20"/>
                <w:color w:val="auto"/>
              </w:rPr>
            </w:pPr>
            <w:r>
              <w:rPr>
                <w:rFonts w:ascii="Arial" w:cs="Arial" w:eastAsia="Arial" w:hAnsi="Arial"/>
                <w:sz w:val="17"/>
                <w:szCs w:val="17"/>
                <w:color w:val="auto"/>
              </w:rPr>
              <w:t>• Goals are based upon Company-wide financial</w:t>
            </w:r>
          </w:p>
        </w:tc>
        <w:tc>
          <w:tcPr>
            <w:tcW w:w="3940" w:type="dxa"/>
            <w:vAlign w:val="bottom"/>
            <w:shd w:val="clear" w:color="auto" w:fill="E2EEFA"/>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40" w:type="dxa"/>
            <w:vAlign w:val="bottom"/>
            <w:tcBorders>
              <w:right w:val="single" w:sz="8" w:color="B2B2B2"/>
            </w:tcBorders>
            <w:shd w:val="clear" w:color="auto" w:fill="E2EEFA"/>
          </w:tcPr>
          <w:p>
            <w:pPr>
              <w:spacing w:after="0"/>
              <w:rPr>
                <w:sz w:val="16"/>
                <w:szCs w:val="16"/>
                <w:color w:val="auto"/>
              </w:rPr>
            </w:pPr>
          </w:p>
        </w:tc>
        <w:tc>
          <w:tcPr>
            <w:tcW w:w="4380" w:type="dxa"/>
            <w:vAlign w:val="bottom"/>
            <w:tcBorders>
              <w:right w:val="single" w:sz="8" w:color="B2B2B2"/>
            </w:tcBorders>
            <w:shd w:val="clear" w:color="auto" w:fill="E2EEFA"/>
          </w:tcPr>
          <w:p>
            <w:pPr>
              <w:ind w:left="380"/>
              <w:spacing w:after="0" w:line="194" w:lineRule="exact"/>
              <w:rPr>
                <w:sz w:val="20"/>
                <w:szCs w:val="20"/>
                <w:color w:val="auto"/>
              </w:rPr>
            </w:pPr>
            <w:r>
              <w:rPr>
                <w:rFonts w:ascii="Arial" w:cs="Arial" w:eastAsia="Arial" w:hAnsi="Arial"/>
                <w:sz w:val="17"/>
                <w:szCs w:val="17"/>
                <w:color w:val="auto"/>
              </w:rPr>
              <w:t>results and final payout approved by Compensation</w:t>
            </w:r>
          </w:p>
        </w:tc>
        <w:tc>
          <w:tcPr>
            <w:tcW w:w="3940" w:type="dxa"/>
            <w:vAlign w:val="bottom"/>
            <w:shd w:val="clear" w:color="auto" w:fill="E2EEFA"/>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40" w:type="dxa"/>
            <w:vAlign w:val="bottom"/>
            <w:tcBorders>
              <w:right w:val="single" w:sz="8" w:color="B2B2B2"/>
            </w:tcBorders>
            <w:shd w:val="clear" w:color="auto" w:fill="E2EEFA"/>
          </w:tcPr>
          <w:p>
            <w:pPr>
              <w:spacing w:after="0"/>
              <w:rPr>
                <w:sz w:val="16"/>
                <w:szCs w:val="16"/>
                <w:color w:val="auto"/>
              </w:rPr>
            </w:pPr>
          </w:p>
        </w:tc>
        <w:tc>
          <w:tcPr>
            <w:tcW w:w="4380" w:type="dxa"/>
            <w:vAlign w:val="bottom"/>
            <w:tcBorders>
              <w:right w:val="single" w:sz="8" w:color="B2B2B2"/>
            </w:tcBorders>
            <w:shd w:val="clear" w:color="auto" w:fill="E2EEFA"/>
          </w:tcPr>
          <w:p>
            <w:pPr>
              <w:ind w:left="380"/>
              <w:spacing w:after="0" w:line="194" w:lineRule="exact"/>
              <w:rPr>
                <w:sz w:val="20"/>
                <w:szCs w:val="20"/>
                <w:color w:val="auto"/>
              </w:rPr>
            </w:pPr>
            <w:r>
              <w:rPr>
                <w:rFonts w:ascii="Arial" w:cs="Arial" w:eastAsia="Arial" w:hAnsi="Arial"/>
                <w:sz w:val="17"/>
                <w:szCs w:val="17"/>
                <w:color w:val="auto"/>
              </w:rPr>
              <w:t>Committee takes into account individual executive</w:t>
            </w:r>
          </w:p>
        </w:tc>
        <w:tc>
          <w:tcPr>
            <w:tcW w:w="3940" w:type="dxa"/>
            <w:vAlign w:val="bottom"/>
            <w:shd w:val="clear" w:color="auto" w:fill="E2EEFA"/>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240" w:type="dxa"/>
            <w:vAlign w:val="bottom"/>
            <w:tcBorders>
              <w:right w:val="single" w:sz="8" w:color="B2B2B2"/>
            </w:tcBorders>
            <w:shd w:val="clear" w:color="auto" w:fill="E2EEFA"/>
          </w:tcPr>
          <w:p>
            <w:pPr>
              <w:spacing w:after="0"/>
              <w:rPr>
                <w:sz w:val="19"/>
                <w:szCs w:val="19"/>
                <w:color w:val="auto"/>
              </w:rPr>
            </w:pPr>
          </w:p>
        </w:tc>
        <w:tc>
          <w:tcPr>
            <w:tcW w:w="4380" w:type="dxa"/>
            <w:vAlign w:val="bottom"/>
            <w:tcBorders>
              <w:right w:val="single" w:sz="8" w:color="B2B2B2"/>
            </w:tcBorders>
            <w:shd w:val="clear" w:color="auto" w:fill="E2EEFA"/>
          </w:tcPr>
          <w:p>
            <w:pPr>
              <w:ind w:left="380"/>
              <w:spacing w:after="0"/>
              <w:rPr>
                <w:sz w:val="20"/>
                <w:szCs w:val="20"/>
                <w:color w:val="auto"/>
              </w:rPr>
            </w:pPr>
            <w:r>
              <w:rPr>
                <w:rFonts w:ascii="Arial" w:cs="Arial" w:eastAsia="Arial" w:hAnsi="Arial"/>
                <w:sz w:val="17"/>
                <w:szCs w:val="17"/>
                <w:color w:val="auto"/>
              </w:rPr>
              <w:t>performance.</w:t>
            </w:r>
          </w:p>
        </w:tc>
        <w:tc>
          <w:tcPr>
            <w:tcW w:w="3940" w:type="dxa"/>
            <w:vAlign w:val="bottom"/>
            <w:shd w:val="clear" w:color="auto" w:fill="E2EEFA"/>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240" w:type="dxa"/>
            <w:vAlign w:val="bottom"/>
            <w:tcBorders>
              <w:bottom w:val="single" w:sz="8" w:color="B2B2B2"/>
              <w:right w:val="single" w:sz="8" w:color="B2B2B2"/>
            </w:tcBorders>
            <w:shd w:val="clear" w:color="auto" w:fill="E2EEFA"/>
          </w:tcPr>
          <w:p>
            <w:pPr>
              <w:spacing w:after="0"/>
              <w:rPr>
                <w:sz w:val="13"/>
                <w:szCs w:val="13"/>
                <w:color w:val="auto"/>
              </w:rPr>
            </w:pPr>
          </w:p>
        </w:tc>
        <w:tc>
          <w:tcPr>
            <w:tcW w:w="4380" w:type="dxa"/>
            <w:vAlign w:val="bottom"/>
            <w:tcBorders>
              <w:bottom w:val="single" w:sz="8" w:color="B2B2B2"/>
              <w:right w:val="single" w:sz="8" w:color="B2B2B2"/>
            </w:tcBorders>
            <w:shd w:val="clear" w:color="auto" w:fill="E2EEFA"/>
          </w:tcPr>
          <w:p>
            <w:pPr>
              <w:spacing w:after="0"/>
              <w:rPr>
                <w:sz w:val="13"/>
                <w:szCs w:val="13"/>
                <w:color w:val="auto"/>
              </w:rPr>
            </w:pPr>
          </w:p>
        </w:tc>
        <w:tc>
          <w:tcPr>
            <w:tcW w:w="3940" w:type="dxa"/>
            <w:vAlign w:val="bottom"/>
            <w:tcBorders>
              <w:bottom w:val="single" w:sz="8" w:color="B2B2B2"/>
            </w:tcBorders>
            <w:shd w:val="clear" w:color="auto" w:fill="E2EEFA"/>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240" w:type="dxa"/>
            <w:vAlign w:val="bottom"/>
            <w:tcBorders>
              <w:right w:val="single" w:sz="8" w:color="B2B2B2"/>
            </w:tcBorders>
          </w:tcPr>
          <w:p>
            <w:pPr>
              <w:ind w:left="80"/>
              <w:spacing w:after="0" w:line="168" w:lineRule="exact"/>
              <w:rPr>
                <w:sz w:val="20"/>
                <w:szCs w:val="20"/>
                <w:color w:val="auto"/>
              </w:rPr>
            </w:pPr>
            <w:r>
              <w:rPr>
                <w:rFonts w:ascii="Arial" w:cs="Arial" w:eastAsia="Arial" w:hAnsi="Arial"/>
                <w:sz w:val="17"/>
                <w:szCs w:val="17"/>
                <w:b w:val="1"/>
                <w:bCs w:val="1"/>
                <w:color w:val="auto"/>
              </w:rPr>
              <w:t>Equity</w:t>
            </w:r>
          </w:p>
        </w:tc>
        <w:tc>
          <w:tcPr>
            <w:tcW w:w="4380" w:type="dxa"/>
            <w:vAlign w:val="bottom"/>
            <w:tcBorders>
              <w:right w:val="single" w:sz="8" w:color="B2B2B2"/>
            </w:tcBorders>
            <w:vMerge w:val="restart"/>
          </w:tcPr>
          <w:p>
            <w:pPr>
              <w:ind w:left="200"/>
              <w:spacing w:after="0"/>
              <w:rPr>
                <w:sz w:val="20"/>
                <w:szCs w:val="20"/>
                <w:color w:val="auto"/>
              </w:rPr>
            </w:pPr>
            <w:r>
              <w:rPr>
                <w:rFonts w:ascii="Arial" w:cs="Arial" w:eastAsia="Arial" w:hAnsi="Arial"/>
                <w:sz w:val="17"/>
                <w:szCs w:val="17"/>
                <w:color w:val="auto"/>
              </w:rPr>
              <w:t>• “At-risk” compensation in the form of restricted stock</w:t>
            </w:r>
          </w:p>
        </w:tc>
        <w:tc>
          <w:tcPr>
            <w:tcW w:w="3940" w:type="dxa"/>
            <w:vAlign w:val="bottom"/>
            <w:vMerge w:val="restart"/>
          </w:tcPr>
          <w:p>
            <w:pPr>
              <w:ind w:left="100"/>
              <w:spacing w:after="0"/>
              <w:rPr>
                <w:sz w:val="20"/>
                <w:szCs w:val="20"/>
                <w:color w:val="auto"/>
              </w:rPr>
            </w:pPr>
            <w:r>
              <w:rPr>
                <w:rFonts w:ascii="Arial" w:cs="Arial" w:eastAsia="Arial" w:hAnsi="Arial"/>
                <w:sz w:val="17"/>
                <w:szCs w:val="17"/>
                <w:color w:val="auto"/>
              </w:rPr>
              <w:t>• Align executive interests with those of</w:t>
            </w:r>
          </w:p>
        </w:tc>
        <w:tc>
          <w:tcPr>
            <w:tcW w:w="0" w:type="dxa"/>
            <w:vAlign w:val="bottom"/>
          </w:tcPr>
          <w:p>
            <w:pPr>
              <w:spacing w:after="0"/>
              <w:rPr>
                <w:sz w:val="1"/>
                <w:szCs w:val="1"/>
                <w:color w:val="auto"/>
              </w:rPr>
            </w:pPr>
          </w:p>
        </w:tc>
      </w:tr>
      <w:tr>
        <w:trPr>
          <w:trHeight w:val="119"/>
        </w:trPr>
        <w:tc>
          <w:tcPr>
            <w:tcW w:w="2240" w:type="dxa"/>
            <w:vAlign w:val="bottom"/>
            <w:tcBorders>
              <w:right w:val="single" w:sz="8" w:color="B2B2B2"/>
            </w:tcBorders>
            <w:vMerge w:val="restart"/>
          </w:tcPr>
          <w:p>
            <w:pPr>
              <w:ind w:left="80"/>
              <w:spacing w:after="0"/>
              <w:rPr>
                <w:sz w:val="20"/>
                <w:szCs w:val="20"/>
                <w:color w:val="auto"/>
              </w:rPr>
            </w:pPr>
            <w:r>
              <w:rPr>
                <w:rFonts w:ascii="Arial" w:cs="Arial" w:eastAsia="Arial" w:hAnsi="Arial"/>
                <w:sz w:val="17"/>
                <w:szCs w:val="17"/>
                <w:b w:val="1"/>
                <w:bCs w:val="1"/>
                <w:color w:val="auto"/>
              </w:rPr>
              <w:t>Compensation</w:t>
            </w:r>
          </w:p>
        </w:tc>
        <w:tc>
          <w:tcPr>
            <w:tcW w:w="4380" w:type="dxa"/>
            <w:vAlign w:val="bottom"/>
            <w:tcBorders>
              <w:right w:val="single" w:sz="8" w:color="B2B2B2"/>
            </w:tcBorders>
            <w:vMerge w:val="continue"/>
          </w:tcPr>
          <w:p>
            <w:pPr>
              <w:spacing w:after="0"/>
              <w:rPr>
                <w:sz w:val="10"/>
                <w:szCs w:val="10"/>
                <w:color w:val="auto"/>
              </w:rPr>
            </w:pPr>
          </w:p>
        </w:tc>
        <w:tc>
          <w:tcPr>
            <w:tcW w:w="3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Borders>
              <w:right w:val="single" w:sz="8" w:color="B2B2B2"/>
            </w:tcBorders>
            <w:vMerge w:val="continue"/>
          </w:tcPr>
          <w:p>
            <w:pPr>
              <w:spacing w:after="0"/>
              <w:rPr>
                <w:sz w:val="10"/>
                <w:szCs w:val="10"/>
                <w:color w:val="auto"/>
              </w:rPr>
            </w:pPr>
          </w:p>
        </w:tc>
        <w:tc>
          <w:tcPr>
            <w:tcW w:w="4380" w:type="dxa"/>
            <w:vAlign w:val="bottom"/>
            <w:tcBorders>
              <w:right w:val="single" w:sz="8" w:color="B2B2B2"/>
            </w:tcBorders>
            <w:vMerge w:val="restart"/>
          </w:tcPr>
          <w:p>
            <w:pPr>
              <w:ind w:left="380"/>
              <w:spacing w:after="0" w:line="194" w:lineRule="exact"/>
              <w:rPr>
                <w:sz w:val="20"/>
                <w:szCs w:val="20"/>
                <w:color w:val="auto"/>
              </w:rPr>
            </w:pPr>
            <w:r>
              <w:rPr>
                <w:rFonts w:ascii="Arial" w:cs="Arial" w:eastAsia="Arial" w:hAnsi="Arial"/>
                <w:sz w:val="17"/>
                <w:szCs w:val="17"/>
                <w:color w:val="auto"/>
              </w:rPr>
              <w:t>awards whose value fluctuates according to</w:t>
            </w:r>
          </w:p>
        </w:tc>
        <w:tc>
          <w:tcPr>
            <w:tcW w:w="3940" w:type="dxa"/>
            <w:vAlign w:val="bottom"/>
            <w:vMerge w:val="restart"/>
          </w:tcPr>
          <w:p>
            <w:pPr>
              <w:ind w:left="280"/>
              <w:spacing w:after="0" w:line="194" w:lineRule="exact"/>
              <w:rPr>
                <w:sz w:val="20"/>
                <w:szCs w:val="20"/>
                <w:color w:val="auto"/>
              </w:rPr>
            </w:pPr>
            <w:r>
              <w:rPr>
                <w:rFonts w:ascii="Arial" w:cs="Arial" w:eastAsia="Arial" w:hAnsi="Arial"/>
                <w:sz w:val="17"/>
                <w:szCs w:val="17"/>
                <w:color w:val="auto"/>
              </w:rPr>
              <w:t>shareholders.</w:t>
            </w:r>
          </w:p>
        </w:tc>
        <w:tc>
          <w:tcPr>
            <w:tcW w:w="0" w:type="dxa"/>
            <w:vAlign w:val="bottom"/>
          </w:tcPr>
          <w:p>
            <w:pPr>
              <w:spacing w:after="0"/>
              <w:rPr>
                <w:sz w:val="1"/>
                <w:szCs w:val="1"/>
                <w:color w:val="auto"/>
              </w:rPr>
            </w:pPr>
          </w:p>
        </w:tc>
      </w:tr>
      <w:tr>
        <w:trPr>
          <w:trHeight w:val="75"/>
        </w:trPr>
        <w:tc>
          <w:tcPr>
            <w:tcW w:w="2240" w:type="dxa"/>
            <w:vAlign w:val="bottom"/>
            <w:tcBorders>
              <w:right w:val="single" w:sz="8" w:color="B2B2B2"/>
            </w:tcBorders>
          </w:tcPr>
          <w:p>
            <w:pPr>
              <w:spacing w:after="0"/>
              <w:rPr>
                <w:sz w:val="6"/>
                <w:szCs w:val="6"/>
                <w:color w:val="auto"/>
              </w:rPr>
            </w:pPr>
          </w:p>
        </w:tc>
        <w:tc>
          <w:tcPr>
            <w:tcW w:w="4380" w:type="dxa"/>
            <w:vAlign w:val="bottom"/>
            <w:tcBorders>
              <w:right w:val="single" w:sz="8" w:color="B2B2B2"/>
            </w:tcBorders>
            <w:vMerge w:val="continue"/>
          </w:tcPr>
          <w:p>
            <w:pPr>
              <w:spacing w:after="0"/>
              <w:rPr>
                <w:sz w:val="6"/>
                <w:szCs w:val="6"/>
                <w:color w:val="auto"/>
              </w:rPr>
            </w:pPr>
          </w:p>
        </w:tc>
        <w:tc>
          <w:tcPr>
            <w:tcW w:w="3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240" w:type="dxa"/>
            <w:vAlign w:val="bottom"/>
            <w:tcBorders>
              <w:right w:val="single" w:sz="8" w:color="B2B2B2"/>
            </w:tcBorders>
          </w:tcPr>
          <w:p>
            <w:pPr>
              <w:spacing w:after="0"/>
              <w:rPr>
                <w:sz w:val="16"/>
                <w:szCs w:val="16"/>
                <w:color w:val="auto"/>
              </w:rPr>
            </w:pPr>
          </w:p>
        </w:tc>
        <w:tc>
          <w:tcPr>
            <w:tcW w:w="4380" w:type="dxa"/>
            <w:vAlign w:val="bottom"/>
            <w:tcBorders>
              <w:right w:val="single" w:sz="8" w:color="B2B2B2"/>
            </w:tcBorders>
          </w:tcPr>
          <w:p>
            <w:pPr>
              <w:ind w:left="380"/>
              <w:spacing w:after="0" w:line="194" w:lineRule="exact"/>
              <w:rPr>
                <w:sz w:val="20"/>
                <w:szCs w:val="20"/>
                <w:color w:val="auto"/>
              </w:rPr>
            </w:pPr>
            <w:r>
              <w:rPr>
                <w:rFonts w:ascii="Arial" w:cs="Arial" w:eastAsia="Arial" w:hAnsi="Arial"/>
                <w:sz w:val="17"/>
                <w:szCs w:val="17"/>
                <w:color w:val="auto"/>
              </w:rPr>
              <w:t>shareholder value and stock options with premium</w:t>
            </w:r>
          </w:p>
        </w:tc>
        <w:tc>
          <w:tcPr>
            <w:tcW w:w="3940" w:type="dxa"/>
            <w:vAlign w:val="bottom"/>
            <w:vMerge w:val="restart"/>
          </w:tcPr>
          <w:p>
            <w:pPr>
              <w:ind w:left="100"/>
              <w:spacing w:after="0"/>
              <w:rPr>
                <w:sz w:val="20"/>
                <w:szCs w:val="20"/>
                <w:color w:val="auto"/>
              </w:rPr>
            </w:pPr>
            <w:r>
              <w:rPr>
                <w:rFonts w:ascii="Arial" w:cs="Arial" w:eastAsia="Arial" w:hAnsi="Arial"/>
                <w:sz w:val="17"/>
                <w:szCs w:val="17"/>
                <w:color w:val="auto"/>
              </w:rPr>
              <w:t>• Reward continuous service with the Company.</w:t>
            </w:r>
          </w:p>
        </w:tc>
        <w:tc>
          <w:tcPr>
            <w:tcW w:w="0" w:type="dxa"/>
            <w:vAlign w:val="bottom"/>
          </w:tcPr>
          <w:p>
            <w:pPr>
              <w:spacing w:after="0"/>
              <w:rPr>
                <w:sz w:val="1"/>
                <w:szCs w:val="1"/>
                <w:color w:val="auto"/>
              </w:rPr>
            </w:pPr>
          </w:p>
        </w:tc>
      </w:tr>
      <w:tr>
        <w:trPr>
          <w:trHeight w:val="149"/>
        </w:trPr>
        <w:tc>
          <w:tcPr>
            <w:tcW w:w="2240" w:type="dxa"/>
            <w:vAlign w:val="bottom"/>
            <w:tcBorders>
              <w:right w:val="single" w:sz="8" w:color="B2B2B2"/>
            </w:tcBorders>
          </w:tcPr>
          <w:p>
            <w:pPr>
              <w:spacing w:after="0"/>
              <w:rPr>
                <w:sz w:val="12"/>
                <w:szCs w:val="12"/>
                <w:color w:val="auto"/>
              </w:rPr>
            </w:pPr>
          </w:p>
        </w:tc>
        <w:tc>
          <w:tcPr>
            <w:tcW w:w="4380" w:type="dxa"/>
            <w:vAlign w:val="bottom"/>
            <w:tcBorders>
              <w:right w:val="single" w:sz="8" w:color="B2B2B2"/>
            </w:tcBorders>
            <w:vMerge w:val="restart"/>
          </w:tcPr>
          <w:p>
            <w:pPr>
              <w:ind w:left="380"/>
              <w:spacing w:after="0" w:line="194" w:lineRule="exact"/>
              <w:rPr>
                <w:sz w:val="20"/>
                <w:szCs w:val="20"/>
                <w:color w:val="auto"/>
              </w:rPr>
            </w:pPr>
            <w:r>
              <w:rPr>
                <w:rFonts w:ascii="Arial" w:cs="Arial" w:eastAsia="Arial" w:hAnsi="Arial"/>
                <w:sz w:val="17"/>
                <w:szCs w:val="17"/>
                <w:color w:val="auto"/>
              </w:rPr>
              <w:t>exercise prices whose value is solely dependent</w:t>
            </w:r>
          </w:p>
        </w:tc>
        <w:tc>
          <w:tcPr>
            <w:tcW w:w="3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240" w:type="dxa"/>
            <w:vAlign w:val="bottom"/>
            <w:tcBorders>
              <w:right w:val="single" w:sz="8" w:color="B2B2B2"/>
            </w:tcBorders>
          </w:tcPr>
          <w:p>
            <w:pPr>
              <w:spacing w:after="0"/>
              <w:rPr>
                <w:sz w:val="3"/>
                <w:szCs w:val="3"/>
                <w:color w:val="auto"/>
              </w:rPr>
            </w:pPr>
          </w:p>
        </w:tc>
        <w:tc>
          <w:tcPr>
            <w:tcW w:w="4380" w:type="dxa"/>
            <w:vAlign w:val="bottom"/>
            <w:tcBorders>
              <w:right w:val="single" w:sz="8" w:color="B2B2B2"/>
            </w:tcBorders>
            <w:vMerge w:val="continue"/>
          </w:tcPr>
          <w:p>
            <w:pPr>
              <w:spacing w:after="0"/>
              <w:rPr>
                <w:sz w:val="3"/>
                <w:szCs w:val="3"/>
                <w:color w:val="auto"/>
              </w:rPr>
            </w:pPr>
          </w:p>
        </w:tc>
        <w:tc>
          <w:tcPr>
            <w:tcW w:w="3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240" w:type="dxa"/>
            <w:vAlign w:val="bottom"/>
            <w:tcBorders>
              <w:right w:val="single" w:sz="8" w:color="B2B2B2"/>
            </w:tcBorders>
          </w:tcPr>
          <w:p>
            <w:pPr>
              <w:spacing w:after="0"/>
              <w:rPr>
                <w:sz w:val="20"/>
                <w:szCs w:val="20"/>
                <w:color w:val="auto"/>
              </w:rPr>
            </w:pPr>
          </w:p>
        </w:tc>
        <w:tc>
          <w:tcPr>
            <w:tcW w:w="4380" w:type="dxa"/>
            <w:vAlign w:val="bottom"/>
            <w:tcBorders>
              <w:right w:val="single" w:sz="8" w:color="B2B2B2"/>
            </w:tcBorders>
          </w:tcPr>
          <w:p>
            <w:pPr>
              <w:ind w:left="380"/>
              <w:spacing w:after="0"/>
              <w:rPr>
                <w:sz w:val="20"/>
                <w:szCs w:val="20"/>
                <w:color w:val="auto"/>
              </w:rPr>
            </w:pPr>
            <w:r>
              <w:rPr>
                <w:rFonts w:ascii="Arial" w:cs="Arial" w:eastAsia="Arial" w:hAnsi="Arial"/>
                <w:sz w:val="17"/>
                <w:szCs w:val="17"/>
                <w:color w:val="auto"/>
              </w:rPr>
              <w:t>upon increases in share price.</w:t>
            </w:r>
          </w:p>
        </w:tc>
        <w:tc>
          <w:tcPr>
            <w:tcW w:w="3940" w:type="dxa"/>
            <w:vAlign w:val="bottom"/>
          </w:tcPr>
          <w:p>
            <w:pPr>
              <w:ind w:left="100"/>
              <w:spacing w:after="0"/>
              <w:rPr>
                <w:sz w:val="20"/>
                <w:szCs w:val="20"/>
                <w:color w:val="auto"/>
              </w:rPr>
            </w:pPr>
            <w:r>
              <w:rPr>
                <w:rFonts w:ascii="Arial" w:cs="Arial" w:eastAsia="Arial" w:hAnsi="Arial"/>
                <w:sz w:val="17"/>
                <w:szCs w:val="17"/>
                <w:color w:val="auto"/>
              </w:rPr>
              <w:t>• Incentivize executives to achieve goals that</w:t>
            </w:r>
          </w:p>
        </w:tc>
        <w:tc>
          <w:tcPr>
            <w:tcW w:w="0" w:type="dxa"/>
            <w:vAlign w:val="bottom"/>
          </w:tcPr>
          <w:p>
            <w:pPr>
              <w:spacing w:after="0"/>
              <w:rPr>
                <w:sz w:val="1"/>
                <w:szCs w:val="1"/>
                <w:color w:val="auto"/>
              </w:rPr>
            </w:pPr>
          </w:p>
        </w:tc>
      </w:tr>
      <w:tr>
        <w:trPr>
          <w:trHeight w:val="194"/>
        </w:trPr>
        <w:tc>
          <w:tcPr>
            <w:tcW w:w="2240" w:type="dxa"/>
            <w:vAlign w:val="bottom"/>
            <w:tcBorders>
              <w:right w:val="single" w:sz="8" w:color="B2B2B2"/>
            </w:tcBorders>
          </w:tcPr>
          <w:p>
            <w:pPr>
              <w:spacing w:after="0"/>
              <w:rPr>
                <w:sz w:val="16"/>
                <w:szCs w:val="16"/>
                <w:color w:val="auto"/>
              </w:rPr>
            </w:pPr>
          </w:p>
        </w:tc>
        <w:tc>
          <w:tcPr>
            <w:tcW w:w="4380" w:type="dxa"/>
            <w:vAlign w:val="bottom"/>
            <w:tcBorders>
              <w:right w:val="single" w:sz="8" w:color="B2B2B2"/>
            </w:tcBorders>
            <w:vMerge w:val="restart"/>
          </w:tcPr>
          <w:p>
            <w:pPr>
              <w:ind w:left="200"/>
              <w:spacing w:after="0"/>
              <w:rPr>
                <w:sz w:val="20"/>
                <w:szCs w:val="20"/>
                <w:color w:val="auto"/>
              </w:rPr>
            </w:pPr>
            <w:r>
              <w:rPr>
                <w:rFonts w:ascii="Arial" w:cs="Arial" w:eastAsia="Arial" w:hAnsi="Arial"/>
                <w:sz w:val="17"/>
                <w:szCs w:val="17"/>
                <w:color w:val="auto"/>
              </w:rPr>
              <w:t>• Award vesting based primarily on continued service</w:t>
            </w:r>
          </w:p>
        </w:tc>
        <w:tc>
          <w:tcPr>
            <w:tcW w:w="3940" w:type="dxa"/>
            <w:vAlign w:val="bottom"/>
          </w:tcPr>
          <w:p>
            <w:pPr>
              <w:ind w:left="280"/>
              <w:spacing w:after="0" w:line="194" w:lineRule="exact"/>
              <w:rPr>
                <w:sz w:val="20"/>
                <w:szCs w:val="20"/>
                <w:color w:val="auto"/>
              </w:rPr>
            </w:pPr>
            <w:r>
              <w:rPr>
                <w:rFonts w:ascii="Arial" w:cs="Arial" w:eastAsia="Arial" w:hAnsi="Arial"/>
                <w:sz w:val="17"/>
                <w:szCs w:val="17"/>
                <w:color w:val="auto"/>
              </w:rPr>
              <w:t>drive Company performance over the long-</w:t>
            </w:r>
          </w:p>
        </w:tc>
        <w:tc>
          <w:tcPr>
            <w:tcW w:w="0" w:type="dxa"/>
            <w:vAlign w:val="bottom"/>
          </w:tcPr>
          <w:p>
            <w:pPr>
              <w:spacing w:after="0"/>
              <w:rPr>
                <w:sz w:val="1"/>
                <w:szCs w:val="1"/>
                <w:color w:val="auto"/>
              </w:rPr>
            </w:pPr>
          </w:p>
        </w:tc>
      </w:tr>
      <w:tr>
        <w:trPr>
          <w:trHeight w:val="78"/>
        </w:trPr>
        <w:tc>
          <w:tcPr>
            <w:tcW w:w="2240" w:type="dxa"/>
            <w:vAlign w:val="bottom"/>
            <w:tcBorders>
              <w:right w:val="single" w:sz="8" w:color="B2B2B2"/>
            </w:tcBorders>
          </w:tcPr>
          <w:p>
            <w:pPr>
              <w:spacing w:after="0"/>
              <w:rPr>
                <w:sz w:val="6"/>
                <w:szCs w:val="6"/>
                <w:color w:val="auto"/>
              </w:rPr>
            </w:pPr>
          </w:p>
        </w:tc>
        <w:tc>
          <w:tcPr>
            <w:tcW w:w="4380" w:type="dxa"/>
            <w:vAlign w:val="bottom"/>
            <w:tcBorders>
              <w:right w:val="single" w:sz="8" w:color="B2B2B2"/>
            </w:tcBorders>
            <w:vMerge w:val="continue"/>
          </w:tcPr>
          <w:p>
            <w:pPr>
              <w:spacing w:after="0"/>
              <w:rPr>
                <w:sz w:val="6"/>
                <w:szCs w:val="6"/>
                <w:color w:val="auto"/>
              </w:rPr>
            </w:pPr>
          </w:p>
        </w:tc>
        <w:tc>
          <w:tcPr>
            <w:tcW w:w="3940" w:type="dxa"/>
            <w:vAlign w:val="bottom"/>
            <w:vMerge w:val="restart"/>
          </w:tcPr>
          <w:p>
            <w:pPr>
              <w:ind w:left="280"/>
              <w:spacing w:after="0"/>
              <w:rPr>
                <w:sz w:val="20"/>
                <w:szCs w:val="20"/>
                <w:color w:val="auto"/>
              </w:rPr>
            </w:pPr>
            <w:r>
              <w:rPr>
                <w:rFonts w:ascii="Arial" w:cs="Arial" w:eastAsia="Arial" w:hAnsi="Arial"/>
                <w:sz w:val="17"/>
                <w:szCs w:val="17"/>
                <w:color w:val="auto"/>
              </w:rPr>
              <w:t>term.</w:t>
            </w:r>
          </w:p>
        </w:tc>
        <w:tc>
          <w:tcPr>
            <w:tcW w:w="0" w:type="dxa"/>
            <w:vAlign w:val="bottom"/>
          </w:tcPr>
          <w:p>
            <w:pPr>
              <w:spacing w:after="0"/>
              <w:rPr>
                <w:sz w:val="1"/>
                <w:szCs w:val="1"/>
                <w:color w:val="auto"/>
              </w:rPr>
            </w:pPr>
          </w:p>
        </w:tc>
      </w:tr>
      <w:tr>
        <w:trPr>
          <w:trHeight w:val="149"/>
        </w:trPr>
        <w:tc>
          <w:tcPr>
            <w:tcW w:w="2240" w:type="dxa"/>
            <w:vAlign w:val="bottom"/>
            <w:tcBorders>
              <w:right w:val="single" w:sz="8" w:color="B2B2B2"/>
            </w:tcBorders>
          </w:tcPr>
          <w:p>
            <w:pPr>
              <w:spacing w:after="0"/>
              <w:rPr>
                <w:sz w:val="12"/>
                <w:szCs w:val="12"/>
                <w:color w:val="auto"/>
              </w:rPr>
            </w:pPr>
          </w:p>
        </w:tc>
        <w:tc>
          <w:tcPr>
            <w:tcW w:w="4380" w:type="dxa"/>
            <w:vAlign w:val="bottom"/>
            <w:tcBorders>
              <w:right w:val="single" w:sz="8" w:color="B2B2B2"/>
            </w:tcBorders>
            <w:vMerge w:val="restart"/>
          </w:tcPr>
          <w:p>
            <w:pPr>
              <w:ind w:left="380"/>
              <w:spacing w:after="0"/>
              <w:rPr>
                <w:sz w:val="20"/>
                <w:szCs w:val="20"/>
                <w:color w:val="auto"/>
              </w:rPr>
            </w:pPr>
            <w:r>
              <w:rPr>
                <w:rFonts w:ascii="Arial" w:cs="Arial" w:eastAsia="Arial" w:hAnsi="Arial"/>
                <w:sz w:val="17"/>
                <w:szCs w:val="17"/>
                <w:color w:val="auto"/>
              </w:rPr>
              <w:t>and/or, in some cases, age.</w:t>
            </w:r>
          </w:p>
        </w:tc>
        <w:tc>
          <w:tcPr>
            <w:tcW w:w="3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240" w:type="dxa"/>
            <w:vAlign w:val="bottom"/>
            <w:tcBorders>
              <w:right w:val="single" w:sz="8" w:color="B2B2B2"/>
            </w:tcBorders>
          </w:tcPr>
          <w:p>
            <w:pPr>
              <w:spacing w:after="0"/>
              <w:rPr>
                <w:sz w:val="6"/>
                <w:szCs w:val="6"/>
                <w:color w:val="auto"/>
              </w:rPr>
            </w:pPr>
          </w:p>
        </w:tc>
        <w:tc>
          <w:tcPr>
            <w:tcW w:w="4380" w:type="dxa"/>
            <w:vAlign w:val="bottom"/>
            <w:tcBorders>
              <w:right w:val="single" w:sz="8" w:color="B2B2B2"/>
            </w:tcBorders>
            <w:vMerge w:val="continue"/>
          </w:tcPr>
          <w:p>
            <w:pPr>
              <w:spacing w:after="0"/>
              <w:rPr>
                <w:sz w:val="6"/>
                <w:szCs w:val="6"/>
                <w:color w:val="auto"/>
              </w:rPr>
            </w:pPr>
          </w:p>
        </w:tc>
        <w:tc>
          <w:tcPr>
            <w:tcW w:w="3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2240" w:type="dxa"/>
            <w:vAlign w:val="bottom"/>
            <w:tcBorders>
              <w:right w:val="single" w:sz="8" w:color="B2B2B2"/>
            </w:tcBorders>
          </w:tcPr>
          <w:p>
            <w:pPr>
              <w:spacing w:after="0"/>
              <w:rPr>
                <w:sz w:val="24"/>
                <w:szCs w:val="24"/>
                <w:color w:val="auto"/>
              </w:rPr>
            </w:pPr>
          </w:p>
        </w:tc>
        <w:tc>
          <w:tcPr>
            <w:tcW w:w="4380" w:type="dxa"/>
            <w:vAlign w:val="bottom"/>
            <w:tcBorders>
              <w:right w:val="single" w:sz="8" w:color="B2B2B2"/>
            </w:tcBorders>
          </w:tcPr>
          <w:p>
            <w:pPr>
              <w:ind w:left="200"/>
              <w:spacing w:after="0"/>
              <w:rPr>
                <w:sz w:val="20"/>
                <w:szCs w:val="20"/>
                <w:color w:val="auto"/>
              </w:rPr>
            </w:pPr>
            <w:r>
              <w:rPr>
                <w:rFonts w:ascii="Arial" w:cs="Arial" w:eastAsia="Arial" w:hAnsi="Arial"/>
                <w:sz w:val="17"/>
                <w:szCs w:val="17"/>
                <w:color w:val="auto"/>
              </w:rPr>
              <w:t>• Service requirements generally equal or exceed</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240" w:type="dxa"/>
            <w:vAlign w:val="bottom"/>
            <w:tcBorders>
              <w:right w:val="single" w:sz="8" w:color="B2B2B2"/>
            </w:tcBorders>
          </w:tcPr>
          <w:p>
            <w:pPr>
              <w:spacing w:after="0"/>
              <w:rPr>
                <w:sz w:val="19"/>
                <w:szCs w:val="19"/>
                <w:color w:val="auto"/>
              </w:rPr>
            </w:pPr>
          </w:p>
        </w:tc>
        <w:tc>
          <w:tcPr>
            <w:tcW w:w="4380" w:type="dxa"/>
            <w:vAlign w:val="bottom"/>
            <w:tcBorders>
              <w:right w:val="single" w:sz="8" w:color="B2B2B2"/>
            </w:tcBorders>
          </w:tcPr>
          <w:p>
            <w:pPr>
              <w:ind w:left="380"/>
              <w:spacing w:after="0"/>
              <w:rPr>
                <w:sz w:val="20"/>
                <w:szCs w:val="20"/>
                <w:color w:val="auto"/>
              </w:rPr>
            </w:pPr>
            <w:r>
              <w:rPr>
                <w:rFonts w:ascii="Arial" w:cs="Arial" w:eastAsia="Arial" w:hAnsi="Arial"/>
                <w:sz w:val="17"/>
                <w:szCs w:val="17"/>
                <w:color w:val="auto"/>
              </w:rPr>
              <w:t>peers and market.</w:t>
            </w: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240" w:type="dxa"/>
            <w:vAlign w:val="bottom"/>
            <w:tcBorders>
              <w:bottom w:val="single" w:sz="8" w:color="B2B2B2"/>
              <w:right w:val="single" w:sz="8" w:color="B2B2B2"/>
            </w:tcBorders>
          </w:tcPr>
          <w:p>
            <w:pPr>
              <w:spacing w:after="0"/>
              <w:rPr>
                <w:sz w:val="13"/>
                <w:szCs w:val="13"/>
                <w:color w:val="auto"/>
              </w:rPr>
            </w:pPr>
          </w:p>
        </w:tc>
        <w:tc>
          <w:tcPr>
            <w:tcW w:w="4380" w:type="dxa"/>
            <w:vAlign w:val="bottom"/>
            <w:tcBorders>
              <w:bottom w:val="single" w:sz="8" w:color="B2B2B2"/>
              <w:right w:val="single" w:sz="8" w:color="B2B2B2"/>
            </w:tcBorders>
          </w:tcPr>
          <w:p>
            <w:pPr>
              <w:spacing w:after="0"/>
              <w:rPr>
                <w:sz w:val="13"/>
                <w:szCs w:val="13"/>
                <w:color w:val="auto"/>
              </w:rPr>
            </w:pPr>
          </w:p>
        </w:tc>
        <w:tc>
          <w:tcPr>
            <w:tcW w:w="394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240" w:type="dxa"/>
            <w:vAlign w:val="bottom"/>
            <w:tcBorders>
              <w:right w:val="single" w:sz="8" w:color="B2B2B2"/>
            </w:tcBorders>
            <w:shd w:val="clear" w:color="auto" w:fill="E2EEFA"/>
          </w:tcPr>
          <w:p>
            <w:pPr>
              <w:ind w:left="80"/>
              <w:spacing w:after="0" w:line="168" w:lineRule="exact"/>
              <w:rPr>
                <w:sz w:val="20"/>
                <w:szCs w:val="20"/>
                <w:color w:val="auto"/>
              </w:rPr>
            </w:pPr>
            <w:r>
              <w:rPr>
                <w:rFonts w:ascii="Arial" w:cs="Arial" w:eastAsia="Arial" w:hAnsi="Arial"/>
                <w:sz w:val="17"/>
                <w:szCs w:val="17"/>
                <w:b w:val="1"/>
                <w:bCs w:val="1"/>
                <w:color w:val="auto"/>
              </w:rPr>
              <w:t>Other Benefits and</w:t>
            </w:r>
          </w:p>
        </w:tc>
        <w:tc>
          <w:tcPr>
            <w:tcW w:w="4380" w:type="dxa"/>
            <w:vAlign w:val="bottom"/>
            <w:tcBorders>
              <w:right w:val="single" w:sz="8" w:color="B2B2B2"/>
            </w:tcBorders>
            <w:vMerge w:val="restart"/>
            <w:shd w:val="clear" w:color="auto" w:fill="E2EEFA"/>
          </w:tcPr>
          <w:p>
            <w:pPr>
              <w:ind w:left="200"/>
              <w:spacing w:after="0"/>
              <w:rPr>
                <w:sz w:val="20"/>
                <w:szCs w:val="20"/>
                <w:color w:val="auto"/>
              </w:rPr>
            </w:pPr>
            <w:r>
              <w:rPr>
                <w:rFonts w:ascii="Arial" w:cs="Arial" w:eastAsia="Arial" w:hAnsi="Arial"/>
                <w:sz w:val="17"/>
                <w:szCs w:val="17"/>
                <w:color w:val="auto"/>
              </w:rPr>
              <w:t>• Broad-based benefits provided to Company</w:t>
            </w:r>
          </w:p>
        </w:tc>
        <w:tc>
          <w:tcPr>
            <w:tcW w:w="3940" w:type="dxa"/>
            <w:vAlign w:val="bottom"/>
            <w:vMerge w:val="restart"/>
            <w:shd w:val="clear" w:color="auto" w:fill="E2EEFA"/>
          </w:tcPr>
          <w:p>
            <w:pPr>
              <w:ind w:left="100"/>
              <w:spacing w:after="0"/>
              <w:rPr>
                <w:sz w:val="20"/>
                <w:szCs w:val="20"/>
                <w:color w:val="auto"/>
              </w:rPr>
            </w:pPr>
            <w:r>
              <w:rPr>
                <w:rFonts w:ascii="Arial" w:cs="Arial" w:eastAsia="Arial" w:hAnsi="Arial"/>
                <w:sz w:val="17"/>
                <w:szCs w:val="17"/>
                <w:color w:val="auto"/>
              </w:rPr>
              <w:t>• Provide a total compensation package that is</w:t>
            </w:r>
          </w:p>
        </w:tc>
        <w:tc>
          <w:tcPr>
            <w:tcW w:w="0" w:type="dxa"/>
            <w:vAlign w:val="bottom"/>
          </w:tcPr>
          <w:p>
            <w:pPr>
              <w:spacing w:after="0"/>
              <w:rPr>
                <w:sz w:val="1"/>
                <w:szCs w:val="1"/>
                <w:color w:val="auto"/>
              </w:rPr>
            </w:pPr>
          </w:p>
        </w:tc>
      </w:tr>
      <w:tr>
        <w:trPr>
          <w:trHeight w:val="119"/>
        </w:trPr>
        <w:tc>
          <w:tcPr>
            <w:tcW w:w="2240" w:type="dxa"/>
            <w:vAlign w:val="bottom"/>
            <w:tcBorders>
              <w:right w:val="single" w:sz="8" w:color="B2B2B2"/>
            </w:tcBorders>
            <w:vMerge w:val="restart"/>
            <w:shd w:val="clear" w:color="auto" w:fill="E2EEFA"/>
          </w:tcPr>
          <w:p>
            <w:pPr>
              <w:ind w:left="80"/>
              <w:spacing w:after="0"/>
              <w:rPr>
                <w:sz w:val="20"/>
                <w:szCs w:val="20"/>
                <w:color w:val="auto"/>
              </w:rPr>
            </w:pPr>
            <w:r>
              <w:rPr>
                <w:rFonts w:ascii="Arial" w:cs="Arial" w:eastAsia="Arial" w:hAnsi="Arial"/>
                <w:sz w:val="17"/>
                <w:szCs w:val="17"/>
                <w:b w:val="1"/>
                <w:bCs w:val="1"/>
                <w:color w:val="auto"/>
              </w:rPr>
              <w:t>Perquisites</w:t>
            </w:r>
          </w:p>
        </w:tc>
        <w:tc>
          <w:tcPr>
            <w:tcW w:w="4380" w:type="dxa"/>
            <w:vAlign w:val="bottom"/>
            <w:tcBorders>
              <w:right w:val="single" w:sz="8" w:color="B2B2B2"/>
            </w:tcBorders>
            <w:vMerge w:val="continue"/>
            <w:shd w:val="clear" w:color="auto" w:fill="E2EEFA"/>
          </w:tcPr>
          <w:p>
            <w:pPr>
              <w:spacing w:after="0"/>
              <w:rPr>
                <w:sz w:val="10"/>
                <w:szCs w:val="10"/>
                <w:color w:val="auto"/>
              </w:rPr>
            </w:pPr>
          </w:p>
        </w:tc>
        <w:tc>
          <w:tcPr>
            <w:tcW w:w="3940" w:type="dxa"/>
            <w:vAlign w:val="bottom"/>
            <w:vMerge w:val="continue"/>
            <w:shd w:val="clear" w:color="auto" w:fill="E2EEFA"/>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40" w:type="dxa"/>
            <w:vAlign w:val="bottom"/>
            <w:tcBorders>
              <w:right w:val="single" w:sz="8" w:color="B2B2B2"/>
            </w:tcBorders>
            <w:vMerge w:val="continue"/>
            <w:shd w:val="clear" w:color="auto" w:fill="E2EEFA"/>
          </w:tcPr>
          <w:p>
            <w:pPr>
              <w:spacing w:after="0"/>
              <w:rPr>
                <w:sz w:val="10"/>
                <w:szCs w:val="10"/>
                <w:color w:val="auto"/>
              </w:rPr>
            </w:pPr>
          </w:p>
        </w:tc>
        <w:tc>
          <w:tcPr>
            <w:tcW w:w="4380" w:type="dxa"/>
            <w:vAlign w:val="bottom"/>
            <w:tcBorders>
              <w:right w:val="single" w:sz="8" w:color="B2B2B2"/>
            </w:tcBorders>
            <w:vMerge w:val="restart"/>
            <w:shd w:val="clear" w:color="auto" w:fill="E2EEFA"/>
          </w:tcPr>
          <w:p>
            <w:pPr>
              <w:ind w:left="380"/>
              <w:spacing w:after="0" w:line="194" w:lineRule="exact"/>
              <w:rPr>
                <w:sz w:val="20"/>
                <w:szCs w:val="20"/>
                <w:color w:val="auto"/>
              </w:rPr>
            </w:pPr>
            <w:r>
              <w:rPr>
                <w:rFonts w:ascii="Arial" w:cs="Arial" w:eastAsia="Arial" w:hAnsi="Arial"/>
                <w:sz w:val="17"/>
                <w:szCs w:val="17"/>
                <w:color w:val="auto"/>
              </w:rPr>
              <w:t>employees (e.g., health and group insurance), a</w:t>
            </w:r>
          </w:p>
        </w:tc>
        <w:tc>
          <w:tcPr>
            <w:tcW w:w="3940" w:type="dxa"/>
            <w:vAlign w:val="bottom"/>
            <w:vMerge w:val="restart"/>
            <w:shd w:val="clear" w:color="auto" w:fill="E2EEFA"/>
          </w:tcPr>
          <w:p>
            <w:pPr>
              <w:ind w:left="280"/>
              <w:spacing w:after="0" w:line="194" w:lineRule="exact"/>
              <w:rPr>
                <w:sz w:val="20"/>
                <w:szCs w:val="20"/>
                <w:color w:val="auto"/>
              </w:rPr>
            </w:pPr>
            <w:r>
              <w:rPr>
                <w:rFonts w:ascii="Arial" w:cs="Arial" w:eastAsia="Arial" w:hAnsi="Arial"/>
                <w:sz w:val="17"/>
                <w:szCs w:val="17"/>
                <w:color w:val="auto"/>
              </w:rPr>
              <w:t>competitive with the marketplace and</w:t>
            </w:r>
          </w:p>
        </w:tc>
        <w:tc>
          <w:tcPr>
            <w:tcW w:w="0" w:type="dxa"/>
            <w:vAlign w:val="bottom"/>
          </w:tcPr>
          <w:p>
            <w:pPr>
              <w:spacing w:after="0"/>
              <w:rPr>
                <w:sz w:val="1"/>
                <w:szCs w:val="1"/>
                <w:color w:val="auto"/>
              </w:rPr>
            </w:pPr>
          </w:p>
        </w:tc>
      </w:tr>
      <w:tr>
        <w:trPr>
          <w:trHeight w:val="75"/>
        </w:trPr>
        <w:tc>
          <w:tcPr>
            <w:tcW w:w="2240" w:type="dxa"/>
            <w:vAlign w:val="bottom"/>
            <w:tcBorders>
              <w:right w:val="single" w:sz="8" w:color="B2B2B2"/>
            </w:tcBorders>
            <w:shd w:val="clear" w:color="auto" w:fill="E2EEFA"/>
          </w:tcPr>
          <w:p>
            <w:pPr>
              <w:spacing w:after="0"/>
              <w:rPr>
                <w:sz w:val="6"/>
                <w:szCs w:val="6"/>
                <w:color w:val="auto"/>
              </w:rPr>
            </w:pPr>
          </w:p>
        </w:tc>
        <w:tc>
          <w:tcPr>
            <w:tcW w:w="4380" w:type="dxa"/>
            <w:vAlign w:val="bottom"/>
            <w:tcBorders>
              <w:right w:val="single" w:sz="8" w:color="B2B2B2"/>
            </w:tcBorders>
            <w:vMerge w:val="continue"/>
            <w:shd w:val="clear" w:color="auto" w:fill="E2EEFA"/>
          </w:tcPr>
          <w:p>
            <w:pPr>
              <w:spacing w:after="0"/>
              <w:rPr>
                <w:sz w:val="6"/>
                <w:szCs w:val="6"/>
                <w:color w:val="auto"/>
              </w:rPr>
            </w:pPr>
          </w:p>
        </w:tc>
        <w:tc>
          <w:tcPr>
            <w:tcW w:w="3940" w:type="dxa"/>
            <w:vAlign w:val="bottom"/>
            <w:vMerge w:val="continue"/>
            <w:shd w:val="clear" w:color="auto" w:fill="E2EEFA"/>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240" w:type="dxa"/>
            <w:vAlign w:val="bottom"/>
            <w:tcBorders>
              <w:right w:val="single" w:sz="8" w:color="B2B2B2"/>
            </w:tcBorders>
            <w:shd w:val="clear" w:color="auto" w:fill="E2EEFA"/>
          </w:tcPr>
          <w:p>
            <w:pPr>
              <w:spacing w:after="0"/>
              <w:rPr>
                <w:sz w:val="16"/>
                <w:szCs w:val="16"/>
                <w:color w:val="auto"/>
              </w:rPr>
            </w:pPr>
          </w:p>
        </w:tc>
        <w:tc>
          <w:tcPr>
            <w:tcW w:w="4380" w:type="dxa"/>
            <w:vAlign w:val="bottom"/>
            <w:tcBorders>
              <w:right w:val="single" w:sz="8" w:color="B2B2B2"/>
            </w:tcBorders>
            <w:shd w:val="clear" w:color="auto" w:fill="E2EEFA"/>
          </w:tcPr>
          <w:p>
            <w:pPr>
              <w:ind w:left="380"/>
              <w:spacing w:after="0" w:line="194" w:lineRule="exact"/>
              <w:rPr>
                <w:sz w:val="20"/>
                <w:szCs w:val="20"/>
                <w:color w:val="auto"/>
              </w:rPr>
            </w:pPr>
            <w:r>
              <w:rPr>
                <w:rFonts w:ascii="Arial" w:cs="Arial" w:eastAsia="Arial" w:hAnsi="Arial"/>
                <w:sz w:val="17"/>
                <w:szCs w:val="17"/>
                <w:color w:val="auto"/>
              </w:rPr>
              <w:t>defined contribution plan and other limited personal</w:t>
            </w:r>
          </w:p>
        </w:tc>
        <w:tc>
          <w:tcPr>
            <w:tcW w:w="3940" w:type="dxa"/>
            <w:vAlign w:val="bottom"/>
            <w:shd w:val="clear" w:color="auto" w:fill="E2EEFA"/>
          </w:tcPr>
          <w:p>
            <w:pPr>
              <w:ind w:left="280"/>
              <w:spacing w:after="0" w:line="194" w:lineRule="exact"/>
              <w:rPr>
                <w:sz w:val="20"/>
                <w:szCs w:val="20"/>
                <w:color w:val="auto"/>
              </w:rPr>
            </w:pPr>
            <w:r>
              <w:rPr>
                <w:rFonts w:ascii="Arial" w:cs="Arial" w:eastAsia="Arial" w:hAnsi="Arial"/>
                <w:sz w:val="17"/>
                <w:szCs w:val="17"/>
                <w:color w:val="auto"/>
              </w:rPr>
              <w:t>addresses unique needs and special situations.</w:t>
            </w:r>
          </w:p>
        </w:tc>
        <w:tc>
          <w:tcPr>
            <w:tcW w:w="0" w:type="dxa"/>
            <w:vAlign w:val="bottom"/>
          </w:tcPr>
          <w:p>
            <w:pPr>
              <w:spacing w:after="0"/>
              <w:rPr>
                <w:sz w:val="1"/>
                <w:szCs w:val="1"/>
                <w:color w:val="auto"/>
              </w:rPr>
            </w:pPr>
          </w:p>
        </w:tc>
      </w:tr>
      <w:tr>
        <w:trPr>
          <w:trHeight w:val="226"/>
        </w:trPr>
        <w:tc>
          <w:tcPr>
            <w:tcW w:w="2240" w:type="dxa"/>
            <w:vAlign w:val="bottom"/>
            <w:tcBorders>
              <w:right w:val="single" w:sz="8" w:color="B2B2B2"/>
            </w:tcBorders>
            <w:shd w:val="clear" w:color="auto" w:fill="E2EEFA"/>
          </w:tcPr>
          <w:p>
            <w:pPr>
              <w:spacing w:after="0"/>
              <w:rPr>
                <w:sz w:val="19"/>
                <w:szCs w:val="19"/>
                <w:color w:val="auto"/>
              </w:rPr>
            </w:pPr>
          </w:p>
        </w:tc>
        <w:tc>
          <w:tcPr>
            <w:tcW w:w="4380" w:type="dxa"/>
            <w:vAlign w:val="bottom"/>
            <w:tcBorders>
              <w:right w:val="single" w:sz="8" w:color="B2B2B2"/>
            </w:tcBorders>
            <w:shd w:val="clear" w:color="auto" w:fill="E2EEFA"/>
          </w:tcPr>
          <w:p>
            <w:pPr>
              <w:ind w:left="380"/>
              <w:spacing w:after="0"/>
              <w:rPr>
                <w:sz w:val="20"/>
                <w:szCs w:val="20"/>
                <w:color w:val="auto"/>
              </w:rPr>
            </w:pPr>
            <w:r>
              <w:rPr>
                <w:rFonts w:ascii="Arial" w:cs="Arial" w:eastAsia="Arial" w:hAnsi="Arial"/>
                <w:sz w:val="17"/>
                <w:szCs w:val="17"/>
                <w:color w:val="auto"/>
              </w:rPr>
              <w:t>benefits where appropriate.</w:t>
            </w:r>
          </w:p>
        </w:tc>
        <w:tc>
          <w:tcPr>
            <w:tcW w:w="3940" w:type="dxa"/>
            <w:vAlign w:val="bottom"/>
            <w:shd w:val="clear" w:color="auto" w:fill="E2EEFA"/>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240" w:type="dxa"/>
            <w:vAlign w:val="bottom"/>
            <w:tcBorders>
              <w:bottom w:val="single" w:sz="8" w:color="B2B2B2"/>
              <w:right w:val="single" w:sz="8" w:color="B2B2B2"/>
            </w:tcBorders>
            <w:shd w:val="clear" w:color="auto" w:fill="E2EEFA"/>
          </w:tcPr>
          <w:p>
            <w:pPr>
              <w:spacing w:after="0"/>
              <w:rPr>
                <w:sz w:val="13"/>
                <w:szCs w:val="13"/>
                <w:color w:val="auto"/>
              </w:rPr>
            </w:pPr>
          </w:p>
        </w:tc>
        <w:tc>
          <w:tcPr>
            <w:tcW w:w="4380" w:type="dxa"/>
            <w:vAlign w:val="bottom"/>
            <w:tcBorders>
              <w:bottom w:val="single" w:sz="8" w:color="B2B2B2"/>
              <w:right w:val="single" w:sz="8" w:color="B2B2B2"/>
            </w:tcBorders>
            <w:shd w:val="clear" w:color="auto" w:fill="E2EEFA"/>
          </w:tcPr>
          <w:p>
            <w:pPr>
              <w:spacing w:after="0"/>
              <w:rPr>
                <w:sz w:val="13"/>
                <w:szCs w:val="13"/>
                <w:color w:val="auto"/>
              </w:rPr>
            </w:pPr>
          </w:p>
        </w:tc>
        <w:tc>
          <w:tcPr>
            <w:tcW w:w="3940" w:type="dxa"/>
            <w:vAlign w:val="bottom"/>
            <w:tcBorders>
              <w:bottom w:val="single" w:sz="8" w:color="B2B2B2"/>
            </w:tcBorders>
            <w:shd w:val="clear" w:color="auto" w:fill="E2EEFA"/>
          </w:tcPr>
          <w:p>
            <w:pPr>
              <w:spacing w:after="0"/>
              <w:rPr>
                <w:sz w:val="13"/>
                <w:szCs w:val="13"/>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40" w:right="40"/>
        <w:spacing w:after="0" w:line="236" w:lineRule="auto"/>
        <w:rPr>
          <w:sz w:val="20"/>
          <w:szCs w:val="20"/>
          <w:color w:val="auto"/>
        </w:rPr>
      </w:pPr>
      <w:r>
        <w:rPr>
          <w:rFonts w:ascii="Arial" w:cs="Arial" w:eastAsia="Arial" w:hAnsi="Arial"/>
          <w:sz w:val="19"/>
          <w:szCs w:val="19"/>
          <w:color w:val="auto"/>
        </w:rPr>
        <w:t>The charts below illustrate the relative opportunities between fixed compensation, consisting of base salary, and variable compensation, consisting of bonus, stock options and restricted stock for fiscal 2026. The first chart shows the opportunity for the CEO and the second shows the average opportunities for the other named executive officers (excluding Mr. Tokich). Base salaries are those shown in the Fiscal 2026 Summary Compensation Table. Bonus amounts shown are actual bonuses paid for fiscal 2026.</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60"/>
        <w:spacing w:after="0" w:line="236" w:lineRule="auto"/>
        <w:rPr>
          <w:sz w:val="20"/>
          <w:szCs w:val="20"/>
          <w:color w:val="auto"/>
        </w:rPr>
      </w:pPr>
      <w:r>
        <w:rPr>
          <w:rFonts w:ascii="Arial" w:cs="Arial" w:eastAsia="Arial" w:hAnsi="Arial"/>
          <w:sz w:val="19"/>
          <w:szCs w:val="19"/>
          <w:color w:val="auto"/>
        </w:rPr>
        <w:t>Values shown in the charts for restricted stock and stock option awards reflect the fair market value under Financial Accounting Standards Board Accounting Standards, Codification (“FASB ASC”) Topic 718 as of the effective dates of grant. Differences in pay mix between the named executive officers are driven by market median pay levels that are used to determine named executive officer target pay opportunities, consistent with the Company’s pay philosophy and objectives, as well as other factors such as performance, experience and the complexity and responsibilities of the position.</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Pay Mix of Named Executive Officers FY 2026</w:t>
      </w:r>
    </w:p>
    <w:p>
      <w:pPr>
        <w:spacing w:after="0" w:line="222"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-124460</wp:posOffset>
            </wp:positionV>
            <wp:extent cx="2023110" cy="17272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023110" cy="172720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-124460</wp:posOffset>
            </wp:positionV>
            <wp:extent cx="2096770" cy="17272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096770" cy="172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right="160"/>
        <w:spacing w:after="0" w:line="262" w:lineRule="auto"/>
        <w:rPr>
          <w:sz w:val="20"/>
          <w:szCs w:val="20"/>
          <w:color w:val="auto"/>
        </w:rPr>
      </w:pPr>
      <w:r>
        <w:rPr>
          <w:rFonts w:ascii="Arial" w:cs="Arial" w:eastAsia="Arial" w:hAnsi="Arial"/>
          <w:sz w:val="19"/>
          <w:szCs w:val="19"/>
          <w:color w:val="auto"/>
        </w:rPr>
        <w:t>Amounts shown in the first pie chart are for Mr. Carestio, and in the second are for Mr. Zangerle, Mr. Majors, Ms. Burton and Ms. Fraser, and are based upon figures appearing in the Fiscal 2026 Summary Compensation Table.</w:t>
      </w:r>
    </w:p>
    <w:p>
      <w:pPr>
        <w:spacing w:after="0" w:line="145" w:lineRule="exact"/>
        <w:rPr>
          <w:sz w:val="20"/>
          <w:szCs w:val="20"/>
          <w:color w:val="auto"/>
        </w:rPr>
      </w:pPr>
    </w:p>
    <w:p>
      <w:pPr>
        <w:ind w:left="340" w:right="560"/>
        <w:spacing w:after="0" w:line="262" w:lineRule="auto"/>
        <w:rPr>
          <w:sz w:val="20"/>
          <w:szCs w:val="20"/>
          <w:color w:val="auto"/>
        </w:rPr>
      </w:pPr>
      <w:r>
        <w:rPr>
          <w:rFonts w:ascii="Arial" w:cs="Arial" w:eastAsia="Arial" w:hAnsi="Arial"/>
          <w:sz w:val="19"/>
          <w:szCs w:val="19"/>
          <w:color w:val="auto"/>
        </w:rPr>
        <w:t>The realized value of variable compensation will depend upon actual Company performance and the value of Company shares.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Process for Determining Senior Management Compensation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In General</w:t>
      </w:r>
    </w:p>
    <w:p>
      <w:pPr>
        <w:spacing w:after="0" w:line="90" w:lineRule="exact"/>
        <w:rPr>
          <w:sz w:val="20"/>
          <w:szCs w:val="20"/>
          <w:color w:val="auto"/>
        </w:rPr>
      </w:pPr>
    </w:p>
    <w:p>
      <w:pPr>
        <w:ind w:left="340" w:right="20"/>
        <w:spacing w:after="0" w:line="234" w:lineRule="auto"/>
        <w:rPr>
          <w:sz w:val="20"/>
          <w:szCs w:val="20"/>
          <w:color w:val="auto"/>
        </w:rPr>
      </w:pPr>
      <w:r>
        <w:rPr>
          <w:rFonts w:ascii="Arial" w:cs="Arial" w:eastAsia="Arial" w:hAnsi="Arial"/>
          <w:sz w:val="19"/>
          <w:szCs w:val="19"/>
          <w:color w:val="auto"/>
        </w:rPr>
        <w:t>Senior management compensation is generally reviewed and established on an annual basis by the Committee. Our fiscal year ends on March 31. Therefore, Committee members typically begin the assessment of compensation for senior management for the new fiscal year during the second half of the then-current fiscal year. The Committee typically meets again early in the new fiscal year to evaluate the performance of the Company and our named executive officers, and based on that evaluation of Company performance and individual evaluations, to determine bonus amounts, if any, for the recently completed fiscal year, and finalize base salaries, set bonus criteria, and approve equity awards for senior management for the new fiscal year.</w:t>
      </w:r>
    </w:p>
    <w:p>
      <w:pPr>
        <w:spacing w:after="0" w:line="166" w:lineRule="exact"/>
        <w:rPr>
          <w:sz w:val="20"/>
          <w:szCs w:val="20"/>
          <w:color w:val="auto"/>
        </w:rPr>
      </w:pPr>
    </w:p>
    <w:p>
      <w:pPr>
        <w:ind w:left="340" w:right="220"/>
        <w:spacing w:after="0" w:line="252" w:lineRule="auto"/>
        <w:rPr>
          <w:sz w:val="20"/>
          <w:szCs w:val="20"/>
          <w:color w:val="auto"/>
        </w:rPr>
      </w:pPr>
      <w:r>
        <w:rPr>
          <w:rFonts w:ascii="Arial" w:cs="Arial" w:eastAsia="Arial" w:hAnsi="Arial"/>
          <w:sz w:val="18"/>
          <w:szCs w:val="18"/>
          <w:color w:val="auto"/>
        </w:rPr>
        <w:t>For fiscal year 2026, the Company’s compensation consultant assisted with the annual compensation reviews for all named executive officers, providing historical and prospective views regarding total compensation for our executive officers. The consultant reports to the Committee for senior management compensation matters and is charged with providing the Committee with competitive pay data and compensation trends, analysis and recommendations. Base salaries, cash bonus levels, equity compensation, and total compensation of senior management are examined against data from</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49</w:t>
      </w:r>
    </w:p>
    <w:p>
      <w:pPr>
        <w:sectPr>
          <w:pgSz w:w="11900" w:h="16838" w:orient="portrait"/>
          <w:cols w:equalWidth="0" w:num="1">
            <w:col w:w="10900"/>
          </w:cols>
          <w:pgMar w:left="320" w:top="469" w:right="6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spacing w:after="0" w:line="239" w:lineRule="auto"/>
        <w:rPr>
          <w:sz w:val="20"/>
          <w:szCs w:val="20"/>
          <w:color w:val="auto"/>
        </w:rPr>
      </w:pPr>
      <w:r>
        <w:rPr>
          <w:rFonts w:ascii="Arial" w:cs="Arial" w:eastAsia="Arial" w:hAnsi="Arial"/>
          <w:sz w:val="19"/>
          <w:szCs w:val="19"/>
          <w:color w:val="auto"/>
        </w:rPr>
        <w:t>multiple sources and surveys developed and provided by the consultant, as described below. The Committee generally targets the payment of base salaries, cash bonuses and equity compensation and total direct compensation within a general range of 15% above or below the market median of those components. Actual bonus payments and realized equity values will vary based upon Company performance and the value of Company stock.</w:t>
      </w:r>
    </w:p>
    <w:p>
      <w:pPr>
        <w:spacing w:after="0" w:line="166" w:lineRule="exact"/>
        <w:rPr>
          <w:sz w:val="20"/>
          <w:szCs w:val="20"/>
          <w:color w:val="auto"/>
        </w:rPr>
      </w:pPr>
    </w:p>
    <w:p>
      <w:pPr>
        <w:ind w:left="340" w:right="180"/>
        <w:spacing w:after="0" w:line="239" w:lineRule="auto"/>
        <w:rPr>
          <w:sz w:val="20"/>
          <w:szCs w:val="20"/>
          <w:color w:val="auto"/>
        </w:rPr>
      </w:pPr>
      <w:r>
        <w:rPr>
          <w:rFonts w:ascii="Arial" w:cs="Arial" w:eastAsia="Arial" w:hAnsi="Arial"/>
          <w:sz w:val="19"/>
          <w:szCs w:val="19"/>
          <w:color w:val="auto"/>
        </w:rPr>
        <w:t>Factors used in the process of assessing and determining senior management compensation include individual and team performance, scope of responsibilities and accountability, peer and other industry compensation survey data, special circumstances and expertise, business performance, and comparison with compensation of our other senior managers. The CEO also provides recommendations to the Committee for compensation adjustments for the other senior managers.</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Peer Group and Survey Data</w:t>
      </w:r>
    </w:p>
    <w:p>
      <w:pPr>
        <w:spacing w:after="0" w:line="90" w:lineRule="exact"/>
        <w:rPr>
          <w:sz w:val="20"/>
          <w:szCs w:val="20"/>
          <w:color w:val="auto"/>
        </w:rPr>
      </w:pPr>
    </w:p>
    <w:p>
      <w:pPr>
        <w:ind w:left="340" w:right="40"/>
        <w:spacing w:after="0" w:line="231" w:lineRule="auto"/>
        <w:rPr>
          <w:sz w:val="20"/>
          <w:szCs w:val="20"/>
          <w:color w:val="auto"/>
        </w:rPr>
      </w:pPr>
      <w:r>
        <w:rPr>
          <w:rFonts w:ascii="Arial" w:cs="Arial" w:eastAsia="Arial" w:hAnsi="Arial"/>
          <w:sz w:val="19"/>
          <w:szCs w:val="19"/>
          <w:color w:val="auto"/>
        </w:rPr>
        <w:t>The Committee and the Committee’s compensation consultant review market data relating to compensation to help assess the compensation of our senior executives, including each of the named executive officers. This review includes the consultant’s analysis of proxy data from certain healthcare equipment and healthcare supply companies and other companies in similar businesses to those of the Company in a size range of roughly one-third to three times that of the Company (see peer listing below), information derived from compensation surveys, including companies from healthcare and technology industries, and other executive compensation data obtained by the consultant. This data is adjusted by the consultant to reflect the Company’s relative size. Peer group data is used for executive pay comparison purposes for the Company’s CEO and CFO. The survey data also is utilized for executive pay comparison purposes for all of the named executive officers. We did not select the constituent companies included in the survey data, and the component companies’ identities were not a material factor in the applicable compensation analysis. The Committee evaluates this data with the assistance of its compensation consultant to develop for each executive position target ranges for base salary, incentive compensation (cash bonus), and long-term equity compensation, as well as total direct compensation. These target ranges reflect market median pay consistent with the Company’s pay philosophy.</w:t>
      </w:r>
    </w:p>
    <w:p>
      <w:pPr>
        <w:spacing w:after="0" w:line="167" w:lineRule="exact"/>
        <w:rPr>
          <w:sz w:val="20"/>
          <w:szCs w:val="20"/>
          <w:color w:val="auto"/>
        </w:rPr>
      </w:pPr>
    </w:p>
    <w:p>
      <w:pPr>
        <w:ind w:left="340" w:right="60"/>
        <w:spacing w:after="0" w:line="234" w:lineRule="auto"/>
        <w:rPr>
          <w:sz w:val="20"/>
          <w:szCs w:val="20"/>
          <w:color w:val="auto"/>
        </w:rPr>
      </w:pPr>
      <w:r>
        <w:rPr>
          <w:rFonts w:ascii="Arial" w:cs="Arial" w:eastAsia="Arial" w:hAnsi="Arial"/>
          <w:sz w:val="19"/>
          <w:szCs w:val="19"/>
          <w:color w:val="auto"/>
        </w:rPr>
        <w:t>In the third quarter of fiscal year 2025, FW Cook reviewed with the Committee the peer group proposed to be used for executive pay comparison purposes for the Company’s CEO and CFO for fiscal year 2026. The compensation consultant regularly reviews the group with the Committee to help ensure that the companies comprising the peer group continue to be appropriate. In selecting recommended peers, the compensation consultant focused on companies that are in the healthcare equipment and healthcare supplies industries and to a lesser extent, life sciences tools and services, markets reflective of the Company’s primary business and where we often compete for senior executive talent. Also, size measures considered to construct the peer group for fiscal year 2026 included:</w:t>
      </w:r>
    </w:p>
    <w:p>
      <w:pPr>
        <w:spacing w:after="0" w:line="192" w:lineRule="exact"/>
        <w:rPr>
          <w:sz w:val="20"/>
          <w:szCs w:val="20"/>
          <w:color w:val="auto"/>
        </w:rPr>
      </w:pPr>
    </w:p>
    <w:p>
      <w:pPr>
        <w:ind w:left="540" w:hanging="200"/>
        <w:spacing w:after="0"/>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Revenue between approximately $1.7 billion and $15.7 billion;</w:t>
      </w:r>
    </w:p>
    <w:p>
      <w:pPr>
        <w:spacing w:after="0" w:line="221" w:lineRule="exact"/>
        <w:rPr>
          <w:rFonts w:ascii="Arial" w:cs="Arial" w:eastAsia="Arial" w:hAnsi="Arial"/>
          <w:sz w:val="19"/>
          <w:szCs w:val="19"/>
          <w:color w:val="auto"/>
        </w:rPr>
      </w:pPr>
    </w:p>
    <w:p>
      <w:pPr>
        <w:ind w:left="540" w:hanging="200"/>
        <w:spacing w:after="0"/>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Market capitalization between approximately $7.9 billion and $71.3 billion; and</w:t>
      </w:r>
    </w:p>
    <w:p>
      <w:pPr>
        <w:spacing w:after="0" w:line="221" w:lineRule="exact"/>
        <w:rPr>
          <w:rFonts w:ascii="Arial" w:cs="Arial" w:eastAsia="Arial" w:hAnsi="Arial"/>
          <w:sz w:val="19"/>
          <w:szCs w:val="19"/>
          <w:color w:val="auto"/>
        </w:rPr>
      </w:pPr>
    </w:p>
    <w:p>
      <w:pPr>
        <w:ind w:left="540" w:hanging="200"/>
        <w:spacing w:after="0"/>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Employees between 6,990 and 60,000.</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50 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400"/>
        <w:spacing w:after="0" w:line="262" w:lineRule="auto"/>
        <w:rPr>
          <w:sz w:val="20"/>
          <w:szCs w:val="20"/>
          <w:color w:val="auto"/>
        </w:rPr>
      </w:pPr>
      <w:r>
        <w:rPr>
          <w:rFonts w:ascii="Arial" w:cs="Arial" w:eastAsia="Arial" w:hAnsi="Arial"/>
          <w:sz w:val="19"/>
          <w:szCs w:val="19"/>
          <w:color w:val="auto"/>
        </w:rPr>
        <w:t>No specific relative weighting was given to any one of these factors in determining peers, although revenue and secondly market capitalization are considered the most important.</w:t>
      </w:r>
    </w:p>
    <w:p>
      <w:pPr>
        <w:spacing w:after="0" w:line="145" w:lineRule="exact"/>
        <w:rPr>
          <w:sz w:val="20"/>
          <w:szCs w:val="20"/>
          <w:color w:val="auto"/>
        </w:rPr>
      </w:pPr>
    </w:p>
    <w:p>
      <w:pPr>
        <w:ind w:left="340" w:right="380"/>
        <w:spacing w:after="0" w:line="244" w:lineRule="auto"/>
        <w:rPr>
          <w:sz w:val="20"/>
          <w:szCs w:val="20"/>
          <w:color w:val="auto"/>
        </w:rPr>
      </w:pPr>
      <w:r>
        <w:rPr>
          <w:rFonts w:ascii="Arial" w:cs="Arial" w:eastAsia="Arial" w:hAnsi="Arial"/>
          <w:sz w:val="19"/>
          <w:szCs w:val="19"/>
          <w:color w:val="auto"/>
        </w:rPr>
        <w:t>As a result of this analysis, the consultant recommended that the peer group for fiscal 2026 be expanded to include GE Healthcare Technologies. This recommendation was considered and approved by the Committee. As a consequence, the Company’s peer group for fiscal 2026 was comprised of the following:</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259"/>
        </w:trPr>
        <w:tc>
          <w:tcPr>
            <w:tcW w:w="140" w:type="dxa"/>
            <w:vAlign w:val="bottom"/>
            <w:tcBorders>
              <w:top w:val="single" w:sz="8" w:color="B2B2B2"/>
              <w:bottom w:val="single" w:sz="8" w:color="B2B2B2"/>
            </w:tcBorders>
            <w:shd w:val="clear" w:color="auto" w:fill="E2EEFA"/>
          </w:tcPr>
          <w:p>
            <w:pPr>
              <w:spacing w:after="0"/>
              <w:rPr>
                <w:sz w:val="20"/>
                <w:szCs w:val="20"/>
                <w:color w:val="auto"/>
              </w:rPr>
            </w:pPr>
            <w:r>
              <w:rPr>
                <w:rFonts w:ascii="Arial" w:cs="Arial" w:eastAsia="Arial" w:hAnsi="Arial"/>
                <w:sz w:val="19"/>
                <w:szCs w:val="19"/>
                <w:color w:val="auto"/>
              </w:rPr>
              <w:t>•</w:t>
            </w:r>
          </w:p>
        </w:tc>
        <w:tc>
          <w:tcPr>
            <w:tcW w:w="3360" w:type="dxa"/>
            <w:vAlign w:val="bottom"/>
            <w:tcBorders>
              <w:top w:val="single" w:sz="8" w:color="B2B2B2"/>
              <w:bottom w:val="single" w:sz="8" w:color="B2B2B2"/>
              <w:right w:val="single" w:sz="8" w:color="B2B2B2"/>
            </w:tcBorders>
            <w:shd w:val="clear" w:color="auto" w:fill="E2EEFA"/>
          </w:tcPr>
          <w:p>
            <w:pPr>
              <w:ind w:left="60"/>
              <w:spacing w:after="0"/>
              <w:rPr>
                <w:sz w:val="20"/>
                <w:szCs w:val="20"/>
                <w:color w:val="auto"/>
              </w:rPr>
            </w:pPr>
            <w:r>
              <w:rPr>
                <w:rFonts w:ascii="Arial" w:cs="Arial" w:eastAsia="Arial" w:hAnsi="Arial"/>
                <w:sz w:val="19"/>
                <w:szCs w:val="19"/>
                <w:color w:val="auto"/>
              </w:rPr>
              <w:t>Agilent Technologies, Inc.</w:t>
            </w:r>
          </w:p>
        </w:tc>
        <w:tc>
          <w:tcPr>
            <w:tcW w:w="320" w:type="dxa"/>
            <w:vAlign w:val="bottom"/>
            <w:tcBorders>
              <w:top w:val="single" w:sz="8" w:color="B2B2B2"/>
              <w:bottom w:val="single" w:sz="8" w:color="B2B2B2"/>
            </w:tcBorders>
            <w:shd w:val="clear" w:color="auto" w:fill="E2EEFA"/>
          </w:tcPr>
          <w:p>
            <w:pPr>
              <w:ind w:left="200"/>
              <w:spacing w:after="0"/>
              <w:rPr>
                <w:sz w:val="20"/>
                <w:szCs w:val="20"/>
                <w:color w:val="auto"/>
              </w:rPr>
            </w:pPr>
            <w:r>
              <w:rPr>
                <w:rFonts w:ascii="Arial" w:cs="Arial" w:eastAsia="Arial" w:hAnsi="Arial"/>
                <w:sz w:val="19"/>
                <w:szCs w:val="19"/>
                <w:color w:val="auto"/>
              </w:rPr>
              <w:t>•</w:t>
            </w:r>
          </w:p>
        </w:tc>
        <w:tc>
          <w:tcPr>
            <w:tcW w:w="3380" w:type="dxa"/>
            <w:vAlign w:val="bottom"/>
            <w:tcBorders>
              <w:top w:val="single" w:sz="8" w:color="B2B2B2"/>
              <w:bottom w:val="single" w:sz="8" w:color="B2B2B2"/>
              <w:right w:val="single" w:sz="8" w:color="B2B2B2"/>
            </w:tcBorders>
            <w:shd w:val="clear" w:color="auto" w:fill="E2EEFA"/>
          </w:tcPr>
          <w:p>
            <w:pPr>
              <w:ind w:left="80"/>
              <w:spacing w:after="0"/>
              <w:rPr>
                <w:sz w:val="20"/>
                <w:szCs w:val="20"/>
                <w:color w:val="auto"/>
              </w:rPr>
            </w:pPr>
            <w:r>
              <w:rPr>
                <w:rFonts w:ascii="Arial" w:cs="Arial" w:eastAsia="Arial" w:hAnsi="Arial"/>
                <w:sz w:val="19"/>
                <w:szCs w:val="19"/>
                <w:color w:val="auto"/>
              </w:rPr>
              <w:t>Edwards Lifesciences Corp.</w:t>
            </w:r>
          </w:p>
        </w:tc>
        <w:tc>
          <w:tcPr>
            <w:tcW w:w="340" w:type="dxa"/>
            <w:vAlign w:val="bottom"/>
            <w:tcBorders>
              <w:top w:val="single" w:sz="8" w:color="B2B2B2"/>
              <w:bottom w:val="single" w:sz="8" w:color="B2B2B2"/>
            </w:tcBorders>
            <w:shd w:val="clear" w:color="auto" w:fill="E2EEFA"/>
          </w:tcPr>
          <w:p>
            <w:pPr>
              <w:ind w:left="200"/>
              <w:spacing w:after="0"/>
              <w:rPr>
                <w:sz w:val="20"/>
                <w:szCs w:val="20"/>
                <w:color w:val="auto"/>
              </w:rPr>
            </w:pPr>
            <w:r>
              <w:rPr>
                <w:rFonts w:ascii="Arial" w:cs="Arial" w:eastAsia="Arial" w:hAnsi="Arial"/>
                <w:sz w:val="19"/>
                <w:szCs w:val="19"/>
                <w:color w:val="auto"/>
              </w:rPr>
              <w:t>•</w:t>
            </w:r>
          </w:p>
        </w:tc>
        <w:tc>
          <w:tcPr>
            <w:tcW w:w="3020" w:type="dxa"/>
            <w:vAlign w:val="bottom"/>
            <w:tcBorders>
              <w:top w:val="single" w:sz="8" w:color="B2B2B2"/>
              <w:bottom w:val="single" w:sz="8" w:color="B2B2B2"/>
            </w:tcBorders>
            <w:shd w:val="clear" w:color="auto" w:fill="E2EEFA"/>
          </w:tcPr>
          <w:p>
            <w:pPr>
              <w:ind w:left="60"/>
              <w:spacing w:after="0"/>
              <w:rPr>
                <w:sz w:val="20"/>
                <w:szCs w:val="20"/>
                <w:color w:val="auto"/>
              </w:rPr>
            </w:pPr>
            <w:r>
              <w:rPr>
                <w:rFonts w:ascii="Arial" w:cs="Arial" w:eastAsia="Arial" w:hAnsi="Arial"/>
                <w:sz w:val="19"/>
                <w:szCs w:val="19"/>
                <w:color w:val="auto"/>
              </w:rPr>
              <w:t>Revvity, Inc.</w:t>
            </w:r>
          </w:p>
        </w:tc>
      </w:tr>
      <w:tr>
        <w:trPr>
          <w:trHeight w:val="239"/>
        </w:trPr>
        <w:tc>
          <w:tcPr>
            <w:tcW w:w="140" w:type="dxa"/>
            <w:vAlign w:val="bottom"/>
            <w:tcBorders>
              <w:bottom w:val="single" w:sz="8" w:color="B2B2B2"/>
            </w:tcBorders>
          </w:tcPr>
          <w:p>
            <w:pPr>
              <w:spacing w:after="0"/>
              <w:rPr>
                <w:sz w:val="20"/>
                <w:szCs w:val="20"/>
                <w:color w:val="auto"/>
              </w:rPr>
            </w:pPr>
            <w:r>
              <w:rPr>
                <w:rFonts w:ascii="Arial" w:cs="Arial" w:eastAsia="Arial" w:hAnsi="Arial"/>
                <w:sz w:val="19"/>
                <w:szCs w:val="19"/>
                <w:color w:val="auto"/>
              </w:rPr>
              <w:t>•</w:t>
            </w:r>
          </w:p>
        </w:tc>
        <w:tc>
          <w:tcPr>
            <w:tcW w:w="3360" w:type="dxa"/>
            <w:vAlign w:val="bottom"/>
            <w:tcBorders>
              <w:bottom w:val="single" w:sz="8" w:color="B2B2B2"/>
              <w:right w:val="single" w:sz="8" w:color="B2B2B2"/>
            </w:tcBorders>
          </w:tcPr>
          <w:p>
            <w:pPr>
              <w:ind w:left="60"/>
              <w:spacing w:after="0"/>
              <w:rPr>
                <w:sz w:val="20"/>
                <w:szCs w:val="20"/>
                <w:color w:val="auto"/>
              </w:rPr>
            </w:pPr>
            <w:r>
              <w:rPr>
                <w:rFonts w:ascii="Arial" w:cs="Arial" w:eastAsia="Arial" w:hAnsi="Arial"/>
                <w:sz w:val="19"/>
                <w:szCs w:val="19"/>
                <w:color w:val="auto"/>
              </w:rPr>
              <w:t>Baxter International Inc.</w:t>
            </w:r>
          </w:p>
        </w:tc>
        <w:tc>
          <w:tcPr>
            <w:tcW w:w="320" w:type="dxa"/>
            <w:vAlign w:val="bottom"/>
            <w:tcBorders>
              <w:bottom w:val="single" w:sz="8" w:color="B2B2B2"/>
            </w:tcBorders>
          </w:tcPr>
          <w:p>
            <w:pPr>
              <w:ind w:left="200"/>
              <w:spacing w:after="0"/>
              <w:rPr>
                <w:sz w:val="20"/>
                <w:szCs w:val="20"/>
                <w:color w:val="auto"/>
              </w:rPr>
            </w:pPr>
            <w:r>
              <w:rPr>
                <w:rFonts w:ascii="Arial" w:cs="Arial" w:eastAsia="Arial" w:hAnsi="Arial"/>
                <w:sz w:val="19"/>
                <w:szCs w:val="19"/>
                <w:color w:val="auto"/>
              </w:rPr>
              <w:t>•</w:t>
            </w:r>
          </w:p>
        </w:tc>
        <w:tc>
          <w:tcPr>
            <w:tcW w:w="3380" w:type="dxa"/>
            <w:vAlign w:val="bottom"/>
            <w:tcBorders>
              <w:bottom w:val="single" w:sz="8" w:color="B2B2B2"/>
              <w:right w:val="single" w:sz="8" w:color="B2B2B2"/>
            </w:tcBorders>
          </w:tcPr>
          <w:p>
            <w:pPr>
              <w:ind w:left="80"/>
              <w:spacing w:after="0"/>
              <w:rPr>
                <w:sz w:val="20"/>
                <w:szCs w:val="20"/>
                <w:color w:val="auto"/>
              </w:rPr>
            </w:pPr>
            <w:r>
              <w:rPr>
                <w:rFonts w:ascii="Arial" w:cs="Arial" w:eastAsia="Arial" w:hAnsi="Arial"/>
                <w:sz w:val="19"/>
                <w:szCs w:val="19"/>
                <w:color w:val="auto"/>
              </w:rPr>
              <w:t>GE Healthcare Technologies Inc.</w:t>
            </w:r>
          </w:p>
        </w:tc>
        <w:tc>
          <w:tcPr>
            <w:tcW w:w="340" w:type="dxa"/>
            <w:vAlign w:val="bottom"/>
            <w:tcBorders>
              <w:bottom w:val="single" w:sz="8" w:color="B2B2B2"/>
            </w:tcBorders>
          </w:tcPr>
          <w:p>
            <w:pPr>
              <w:ind w:left="200"/>
              <w:spacing w:after="0"/>
              <w:rPr>
                <w:sz w:val="20"/>
                <w:szCs w:val="20"/>
                <w:color w:val="auto"/>
              </w:rPr>
            </w:pPr>
            <w:r>
              <w:rPr>
                <w:rFonts w:ascii="Arial" w:cs="Arial" w:eastAsia="Arial" w:hAnsi="Arial"/>
                <w:sz w:val="19"/>
                <w:szCs w:val="19"/>
                <w:color w:val="auto"/>
              </w:rPr>
              <w:t>•</w:t>
            </w:r>
          </w:p>
        </w:tc>
        <w:tc>
          <w:tcPr>
            <w:tcW w:w="3020" w:type="dxa"/>
            <w:vAlign w:val="bottom"/>
            <w:tcBorders>
              <w:bottom w:val="single" w:sz="8" w:color="B2B2B2"/>
            </w:tcBorders>
          </w:tcPr>
          <w:p>
            <w:pPr>
              <w:ind w:left="60"/>
              <w:spacing w:after="0"/>
              <w:rPr>
                <w:sz w:val="20"/>
                <w:szCs w:val="20"/>
                <w:color w:val="auto"/>
              </w:rPr>
            </w:pPr>
            <w:r>
              <w:rPr>
                <w:rFonts w:ascii="Arial" w:cs="Arial" w:eastAsia="Arial" w:hAnsi="Arial"/>
                <w:sz w:val="19"/>
                <w:szCs w:val="19"/>
                <w:color w:val="auto"/>
              </w:rPr>
              <w:t>Teleflex Incorporated</w:t>
            </w:r>
          </w:p>
        </w:tc>
      </w:tr>
      <w:tr>
        <w:trPr>
          <w:trHeight w:val="239"/>
        </w:trPr>
        <w:tc>
          <w:tcPr>
            <w:tcW w:w="140" w:type="dxa"/>
            <w:vAlign w:val="bottom"/>
            <w:tcBorders>
              <w:bottom w:val="single" w:sz="8" w:color="B2B2B2"/>
            </w:tcBorders>
            <w:shd w:val="clear" w:color="auto" w:fill="E2EEFA"/>
          </w:tcPr>
          <w:p>
            <w:pPr>
              <w:spacing w:after="0"/>
              <w:rPr>
                <w:sz w:val="20"/>
                <w:szCs w:val="20"/>
                <w:color w:val="auto"/>
              </w:rPr>
            </w:pPr>
            <w:r>
              <w:rPr>
                <w:rFonts w:ascii="Arial" w:cs="Arial" w:eastAsia="Arial" w:hAnsi="Arial"/>
                <w:sz w:val="19"/>
                <w:szCs w:val="19"/>
                <w:color w:val="auto"/>
              </w:rPr>
              <w:t>•</w:t>
            </w:r>
          </w:p>
        </w:tc>
        <w:tc>
          <w:tcPr>
            <w:tcW w:w="3360" w:type="dxa"/>
            <w:vAlign w:val="bottom"/>
            <w:tcBorders>
              <w:bottom w:val="single" w:sz="8" w:color="B2B2B2"/>
              <w:right w:val="single" w:sz="8" w:color="B2B2B2"/>
            </w:tcBorders>
            <w:shd w:val="clear" w:color="auto" w:fill="E2EEFA"/>
          </w:tcPr>
          <w:p>
            <w:pPr>
              <w:ind w:left="60"/>
              <w:spacing w:after="0"/>
              <w:rPr>
                <w:sz w:val="20"/>
                <w:szCs w:val="20"/>
                <w:color w:val="auto"/>
              </w:rPr>
            </w:pPr>
            <w:r>
              <w:rPr>
                <w:rFonts w:ascii="Arial" w:cs="Arial" w:eastAsia="Arial" w:hAnsi="Arial"/>
                <w:sz w:val="19"/>
                <w:szCs w:val="19"/>
                <w:color w:val="auto"/>
              </w:rPr>
              <w:t>Bio-Rad Laboratories, Inc.</w:t>
            </w:r>
          </w:p>
        </w:tc>
        <w:tc>
          <w:tcPr>
            <w:tcW w:w="320" w:type="dxa"/>
            <w:vAlign w:val="bottom"/>
            <w:tcBorders>
              <w:bottom w:val="single" w:sz="8" w:color="B2B2B2"/>
            </w:tcBorders>
            <w:shd w:val="clear" w:color="auto" w:fill="E2EEFA"/>
          </w:tcPr>
          <w:p>
            <w:pPr>
              <w:ind w:left="200"/>
              <w:spacing w:after="0"/>
              <w:rPr>
                <w:sz w:val="20"/>
                <w:szCs w:val="20"/>
                <w:color w:val="auto"/>
              </w:rPr>
            </w:pPr>
            <w:r>
              <w:rPr>
                <w:rFonts w:ascii="Arial" w:cs="Arial" w:eastAsia="Arial" w:hAnsi="Arial"/>
                <w:sz w:val="19"/>
                <w:szCs w:val="19"/>
                <w:color w:val="auto"/>
              </w:rPr>
              <w:t>•</w:t>
            </w:r>
          </w:p>
        </w:tc>
        <w:tc>
          <w:tcPr>
            <w:tcW w:w="3380" w:type="dxa"/>
            <w:vAlign w:val="bottom"/>
            <w:tcBorders>
              <w:bottom w:val="single" w:sz="8" w:color="B2B2B2"/>
              <w:right w:val="single" w:sz="8" w:color="B2B2B2"/>
            </w:tcBorders>
            <w:shd w:val="clear" w:color="auto" w:fill="E2EEFA"/>
          </w:tcPr>
          <w:p>
            <w:pPr>
              <w:ind w:left="80"/>
              <w:spacing w:after="0"/>
              <w:rPr>
                <w:sz w:val="20"/>
                <w:szCs w:val="20"/>
                <w:color w:val="auto"/>
              </w:rPr>
            </w:pPr>
            <w:r>
              <w:rPr>
                <w:rFonts w:ascii="Arial" w:cs="Arial" w:eastAsia="Arial" w:hAnsi="Arial"/>
                <w:sz w:val="19"/>
                <w:szCs w:val="19"/>
                <w:color w:val="auto"/>
              </w:rPr>
              <w:t>Hologic, Inc.</w:t>
            </w:r>
          </w:p>
        </w:tc>
        <w:tc>
          <w:tcPr>
            <w:tcW w:w="340" w:type="dxa"/>
            <w:vAlign w:val="bottom"/>
            <w:tcBorders>
              <w:bottom w:val="single" w:sz="8" w:color="B2B2B2"/>
            </w:tcBorders>
            <w:shd w:val="clear" w:color="auto" w:fill="E2EEFA"/>
          </w:tcPr>
          <w:p>
            <w:pPr>
              <w:ind w:left="200"/>
              <w:spacing w:after="0"/>
              <w:rPr>
                <w:sz w:val="20"/>
                <w:szCs w:val="20"/>
                <w:color w:val="auto"/>
              </w:rPr>
            </w:pPr>
            <w:r>
              <w:rPr>
                <w:rFonts w:ascii="Arial" w:cs="Arial" w:eastAsia="Arial" w:hAnsi="Arial"/>
                <w:sz w:val="19"/>
                <w:szCs w:val="19"/>
                <w:color w:val="auto"/>
              </w:rPr>
              <w:t>•</w:t>
            </w:r>
          </w:p>
        </w:tc>
        <w:tc>
          <w:tcPr>
            <w:tcW w:w="3020" w:type="dxa"/>
            <w:vAlign w:val="bottom"/>
            <w:tcBorders>
              <w:bottom w:val="single" w:sz="8" w:color="B2B2B2"/>
            </w:tcBorders>
            <w:shd w:val="clear" w:color="auto" w:fill="E2EEFA"/>
          </w:tcPr>
          <w:p>
            <w:pPr>
              <w:ind w:left="60"/>
              <w:spacing w:after="0"/>
              <w:rPr>
                <w:sz w:val="20"/>
                <w:szCs w:val="20"/>
                <w:color w:val="auto"/>
              </w:rPr>
            </w:pPr>
            <w:r>
              <w:rPr>
                <w:rFonts w:ascii="Arial" w:cs="Arial" w:eastAsia="Arial" w:hAnsi="Arial"/>
                <w:sz w:val="19"/>
                <w:szCs w:val="19"/>
                <w:color w:val="auto"/>
              </w:rPr>
              <w:t>Waters Corporation</w:t>
            </w:r>
          </w:p>
        </w:tc>
      </w:tr>
      <w:tr>
        <w:trPr>
          <w:trHeight w:val="239"/>
        </w:trPr>
        <w:tc>
          <w:tcPr>
            <w:tcW w:w="140" w:type="dxa"/>
            <w:vAlign w:val="bottom"/>
            <w:tcBorders>
              <w:bottom w:val="single" w:sz="8" w:color="B2B2B2"/>
            </w:tcBorders>
          </w:tcPr>
          <w:p>
            <w:pPr>
              <w:spacing w:after="0"/>
              <w:rPr>
                <w:sz w:val="20"/>
                <w:szCs w:val="20"/>
                <w:color w:val="auto"/>
              </w:rPr>
            </w:pPr>
            <w:r>
              <w:rPr>
                <w:rFonts w:ascii="Arial" w:cs="Arial" w:eastAsia="Arial" w:hAnsi="Arial"/>
                <w:sz w:val="19"/>
                <w:szCs w:val="19"/>
                <w:color w:val="auto"/>
              </w:rPr>
              <w:t>•</w:t>
            </w:r>
          </w:p>
        </w:tc>
        <w:tc>
          <w:tcPr>
            <w:tcW w:w="3360" w:type="dxa"/>
            <w:vAlign w:val="bottom"/>
            <w:tcBorders>
              <w:bottom w:val="single" w:sz="8" w:color="B2B2B2"/>
              <w:right w:val="single" w:sz="8" w:color="B2B2B2"/>
            </w:tcBorders>
          </w:tcPr>
          <w:p>
            <w:pPr>
              <w:ind w:left="60"/>
              <w:spacing w:after="0"/>
              <w:rPr>
                <w:sz w:val="20"/>
                <w:szCs w:val="20"/>
                <w:color w:val="auto"/>
              </w:rPr>
            </w:pPr>
            <w:r>
              <w:rPr>
                <w:rFonts w:ascii="Arial" w:cs="Arial" w:eastAsia="Arial" w:hAnsi="Arial"/>
                <w:sz w:val="19"/>
                <w:szCs w:val="19"/>
                <w:color w:val="auto"/>
              </w:rPr>
              <w:t>Boston Scientific Corporation</w:t>
            </w:r>
          </w:p>
        </w:tc>
        <w:tc>
          <w:tcPr>
            <w:tcW w:w="320" w:type="dxa"/>
            <w:vAlign w:val="bottom"/>
            <w:tcBorders>
              <w:bottom w:val="single" w:sz="8" w:color="B2B2B2"/>
            </w:tcBorders>
          </w:tcPr>
          <w:p>
            <w:pPr>
              <w:ind w:left="200"/>
              <w:spacing w:after="0"/>
              <w:rPr>
                <w:sz w:val="20"/>
                <w:szCs w:val="20"/>
                <w:color w:val="auto"/>
              </w:rPr>
            </w:pPr>
            <w:r>
              <w:rPr>
                <w:rFonts w:ascii="Arial" w:cs="Arial" w:eastAsia="Arial" w:hAnsi="Arial"/>
                <w:sz w:val="19"/>
                <w:szCs w:val="19"/>
                <w:color w:val="auto"/>
              </w:rPr>
              <w:t>•</w:t>
            </w:r>
          </w:p>
        </w:tc>
        <w:tc>
          <w:tcPr>
            <w:tcW w:w="3380" w:type="dxa"/>
            <w:vAlign w:val="bottom"/>
            <w:tcBorders>
              <w:bottom w:val="single" w:sz="8" w:color="B2B2B2"/>
              <w:right w:val="single" w:sz="8" w:color="B2B2B2"/>
            </w:tcBorders>
          </w:tcPr>
          <w:p>
            <w:pPr>
              <w:ind w:left="80"/>
              <w:spacing w:after="0"/>
              <w:rPr>
                <w:sz w:val="20"/>
                <w:szCs w:val="20"/>
                <w:color w:val="auto"/>
              </w:rPr>
            </w:pPr>
            <w:r>
              <w:rPr>
                <w:rFonts w:ascii="Arial" w:cs="Arial" w:eastAsia="Arial" w:hAnsi="Arial"/>
                <w:sz w:val="19"/>
                <w:szCs w:val="19"/>
                <w:color w:val="auto"/>
              </w:rPr>
              <w:t>IDEXX Laboratories, Inc.</w:t>
            </w:r>
          </w:p>
        </w:tc>
        <w:tc>
          <w:tcPr>
            <w:tcW w:w="3360" w:type="dxa"/>
            <w:vAlign w:val="bottom"/>
            <w:tcBorders>
              <w:bottom w:val="single" w:sz="8" w:color="B2B2B2"/>
            </w:tcBorders>
            <w:gridSpan w:val="2"/>
          </w:tcPr>
          <w:p>
            <w:pPr>
              <w:ind w:left="200"/>
              <w:spacing w:after="0"/>
              <w:rPr>
                <w:sz w:val="20"/>
                <w:szCs w:val="20"/>
                <w:color w:val="auto"/>
              </w:rPr>
            </w:pPr>
            <w:r>
              <w:rPr>
                <w:rFonts w:ascii="Arial" w:cs="Arial" w:eastAsia="Arial" w:hAnsi="Arial"/>
                <w:sz w:val="19"/>
                <w:szCs w:val="19"/>
                <w:color w:val="auto"/>
              </w:rPr>
              <w:t>•  Zimmer Biomet Holdings, Inc.</w:t>
            </w:r>
          </w:p>
        </w:tc>
      </w:tr>
      <w:tr>
        <w:trPr>
          <w:trHeight w:val="247"/>
        </w:trPr>
        <w:tc>
          <w:tcPr>
            <w:tcW w:w="3500" w:type="dxa"/>
            <w:vAlign w:val="bottom"/>
            <w:tcBorders>
              <w:bottom w:val="single" w:sz="8" w:color="B2B2B2"/>
              <w:right w:val="single" w:sz="8" w:color="B2B2B2"/>
            </w:tcBorders>
            <w:gridSpan w:val="2"/>
            <w:shd w:val="clear" w:color="auto" w:fill="E2EEFA"/>
          </w:tcPr>
          <w:p>
            <w:pPr>
              <w:spacing w:after="0"/>
              <w:rPr>
                <w:sz w:val="20"/>
                <w:szCs w:val="20"/>
                <w:color w:val="auto"/>
              </w:rPr>
            </w:pPr>
            <w:r>
              <w:rPr>
                <w:rFonts w:ascii="Arial" w:cs="Arial" w:eastAsia="Arial" w:hAnsi="Arial"/>
                <w:sz w:val="19"/>
                <w:szCs w:val="19"/>
                <w:color w:val="auto"/>
              </w:rPr>
              <w:t>•  The Cooper Companies, Inc.</w:t>
            </w:r>
          </w:p>
        </w:tc>
        <w:tc>
          <w:tcPr>
            <w:tcW w:w="3700" w:type="dxa"/>
            <w:vAlign w:val="bottom"/>
            <w:tcBorders>
              <w:bottom w:val="single" w:sz="8" w:color="B2B2B2"/>
              <w:right w:val="single" w:sz="8" w:color="B2B2B2"/>
            </w:tcBorders>
            <w:gridSpan w:val="2"/>
            <w:shd w:val="clear" w:color="auto" w:fill="E2EEFA"/>
          </w:tcPr>
          <w:p>
            <w:pPr>
              <w:ind w:left="200"/>
              <w:spacing w:after="0"/>
              <w:rPr>
                <w:sz w:val="20"/>
                <w:szCs w:val="20"/>
                <w:color w:val="auto"/>
              </w:rPr>
            </w:pPr>
            <w:r>
              <w:rPr>
                <w:rFonts w:ascii="Arial" w:cs="Arial" w:eastAsia="Arial" w:hAnsi="Arial"/>
                <w:sz w:val="19"/>
                <w:szCs w:val="19"/>
                <w:color w:val="auto"/>
              </w:rPr>
              <w:t>•  Mettler Toledo International Inc.</w:t>
            </w:r>
          </w:p>
        </w:tc>
        <w:tc>
          <w:tcPr>
            <w:tcW w:w="340" w:type="dxa"/>
            <w:vAlign w:val="bottom"/>
            <w:tcBorders>
              <w:bottom w:val="single" w:sz="8" w:color="B2B2B2"/>
            </w:tcBorders>
            <w:shd w:val="clear" w:color="auto" w:fill="E2EEFA"/>
          </w:tcPr>
          <w:p>
            <w:pPr>
              <w:spacing w:after="0"/>
              <w:rPr>
                <w:sz w:val="21"/>
                <w:szCs w:val="21"/>
                <w:color w:val="auto"/>
              </w:rPr>
            </w:pPr>
          </w:p>
        </w:tc>
        <w:tc>
          <w:tcPr>
            <w:tcW w:w="3020" w:type="dxa"/>
            <w:vAlign w:val="bottom"/>
            <w:tcBorders>
              <w:bottom w:val="single" w:sz="8" w:color="B2B2B2"/>
            </w:tcBorders>
            <w:shd w:val="clear" w:color="auto" w:fill="E2EEFA"/>
          </w:tcPr>
          <w:p>
            <w:pPr>
              <w:spacing w:after="0"/>
              <w:rPr>
                <w:sz w:val="21"/>
                <w:szCs w:val="21"/>
                <w:color w:val="auto"/>
              </w:rPr>
            </w:pPr>
          </w:p>
        </w:tc>
      </w:tr>
      <w:tr>
        <w:trPr>
          <w:trHeight w:val="252"/>
        </w:trPr>
        <w:tc>
          <w:tcPr>
            <w:tcW w:w="140" w:type="dxa"/>
            <w:vAlign w:val="bottom"/>
            <w:tcBorders>
              <w:bottom w:val="single" w:sz="8" w:color="B2B2B2"/>
            </w:tcBorders>
          </w:tcPr>
          <w:p>
            <w:pPr>
              <w:spacing w:after="0"/>
              <w:rPr>
                <w:sz w:val="20"/>
                <w:szCs w:val="20"/>
                <w:color w:val="auto"/>
              </w:rPr>
            </w:pPr>
            <w:r>
              <w:rPr>
                <w:rFonts w:ascii="Arial" w:cs="Arial" w:eastAsia="Arial" w:hAnsi="Arial"/>
                <w:sz w:val="19"/>
                <w:szCs w:val="19"/>
                <w:color w:val="auto"/>
              </w:rPr>
              <w:t>•</w:t>
            </w:r>
          </w:p>
        </w:tc>
        <w:tc>
          <w:tcPr>
            <w:tcW w:w="3360" w:type="dxa"/>
            <w:vAlign w:val="bottom"/>
            <w:tcBorders>
              <w:bottom w:val="single" w:sz="8" w:color="B2B2B2"/>
              <w:right w:val="single" w:sz="8" w:color="B2B2B2"/>
            </w:tcBorders>
          </w:tcPr>
          <w:p>
            <w:pPr>
              <w:ind w:left="60"/>
              <w:spacing w:after="0"/>
              <w:rPr>
                <w:sz w:val="20"/>
                <w:szCs w:val="20"/>
                <w:color w:val="auto"/>
              </w:rPr>
            </w:pPr>
            <w:r>
              <w:rPr>
                <w:rFonts w:ascii="Arial" w:cs="Arial" w:eastAsia="Arial" w:hAnsi="Arial"/>
                <w:sz w:val="19"/>
                <w:szCs w:val="19"/>
                <w:color w:val="auto"/>
              </w:rPr>
              <w:t>Dentsply Sirona Inc.</w:t>
            </w:r>
          </w:p>
        </w:tc>
        <w:tc>
          <w:tcPr>
            <w:tcW w:w="320" w:type="dxa"/>
            <w:vAlign w:val="bottom"/>
            <w:tcBorders>
              <w:bottom w:val="single" w:sz="8" w:color="B2B2B2"/>
            </w:tcBorders>
          </w:tcPr>
          <w:p>
            <w:pPr>
              <w:ind w:left="200"/>
              <w:spacing w:after="0"/>
              <w:rPr>
                <w:sz w:val="20"/>
                <w:szCs w:val="20"/>
                <w:color w:val="auto"/>
              </w:rPr>
            </w:pPr>
            <w:r>
              <w:rPr>
                <w:rFonts w:ascii="Arial" w:cs="Arial" w:eastAsia="Arial" w:hAnsi="Arial"/>
                <w:sz w:val="19"/>
                <w:szCs w:val="19"/>
                <w:color w:val="auto"/>
              </w:rPr>
              <w:t>•</w:t>
            </w:r>
          </w:p>
        </w:tc>
        <w:tc>
          <w:tcPr>
            <w:tcW w:w="3380" w:type="dxa"/>
            <w:vAlign w:val="bottom"/>
            <w:tcBorders>
              <w:bottom w:val="single" w:sz="8" w:color="B2B2B2"/>
              <w:right w:val="single" w:sz="8" w:color="B2B2B2"/>
            </w:tcBorders>
          </w:tcPr>
          <w:p>
            <w:pPr>
              <w:ind w:left="80"/>
              <w:spacing w:after="0"/>
              <w:rPr>
                <w:sz w:val="20"/>
                <w:szCs w:val="20"/>
                <w:color w:val="auto"/>
              </w:rPr>
            </w:pPr>
            <w:r>
              <w:rPr>
                <w:rFonts w:ascii="Arial" w:cs="Arial" w:eastAsia="Arial" w:hAnsi="Arial"/>
                <w:sz w:val="19"/>
                <w:szCs w:val="19"/>
                <w:color w:val="auto"/>
              </w:rPr>
              <w:t>ResMed, Inc.</w:t>
            </w:r>
          </w:p>
        </w:tc>
        <w:tc>
          <w:tcPr>
            <w:tcW w:w="340" w:type="dxa"/>
            <w:vAlign w:val="bottom"/>
            <w:tcBorders>
              <w:bottom w:val="single" w:sz="8" w:color="B2B2B2"/>
            </w:tcBorders>
          </w:tcPr>
          <w:p>
            <w:pPr>
              <w:spacing w:after="0"/>
              <w:rPr>
                <w:sz w:val="21"/>
                <w:szCs w:val="21"/>
                <w:color w:val="auto"/>
              </w:rPr>
            </w:pPr>
          </w:p>
        </w:tc>
        <w:tc>
          <w:tcPr>
            <w:tcW w:w="3020" w:type="dxa"/>
            <w:vAlign w:val="bottom"/>
            <w:tcBorders>
              <w:bottom w:val="single" w:sz="8" w:color="B2B2B2"/>
            </w:tcBorders>
          </w:tcPr>
          <w:p>
            <w:pPr>
              <w:spacing w:after="0"/>
              <w:rPr>
                <w:sz w:val="21"/>
                <w:szCs w:val="21"/>
                <w:color w:val="auto"/>
              </w:rPr>
            </w:pPr>
          </w:p>
        </w:tc>
      </w:tr>
    </w:tbl>
    <w:p>
      <w:pPr>
        <w:spacing w:after="0" w:line="186" w:lineRule="exact"/>
        <w:rPr>
          <w:sz w:val="20"/>
          <w:szCs w:val="20"/>
          <w:color w:val="auto"/>
        </w:rPr>
      </w:pPr>
    </w:p>
    <w:p>
      <w:pPr>
        <w:jc w:val="both"/>
        <w:ind w:left="340" w:right="100"/>
        <w:spacing w:after="0" w:line="236" w:lineRule="auto"/>
        <w:rPr>
          <w:sz w:val="20"/>
          <w:szCs w:val="20"/>
          <w:color w:val="auto"/>
        </w:rPr>
      </w:pPr>
      <w:r>
        <w:rPr>
          <w:rFonts w:ascii="Arial" w:cs="Arial" w:eastAsia="Arial" w:hAnsi="Arial"/>
          <w:sz w:val="19"/>
          <w:szCs w:val="19"/>
          <w:color w:val="auto"/>
        </w:rPr>
        <w:t>All of the peer group companies operate businesses generally similar to STERIS and to varying degrees met the Company’s peer group size criteria. STERIS generally fell within a reasonable range around the peer group’s medians in terms of annual revenue, market cap and employees. The following table, which is based upon information provided by FW Cook, shows the metrics and the rankings of the Company relative to the fiscal 2026 peer group that were utilized for the selection of the fiscal 2026 peer group at the time of measurement in the third quarter of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137160</wp:posOffset>
            </wp:positionV>
            <wp:extent cx="6710045" cy="3454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10045" cy="345440"/>
                    </a:xfrm>
                    <a:prstGeom prst="rect">
                      <a:avLst/>
                    </a:prstGeom>
                    <a:noFill/>
                  </pic:spPr>
                </pic:pic>
              </a:graphicData>
            </a:graphic>
          </wp:anchor>
        </w:drawing>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6340" w:type="dxa"/>
            <w:vAlign w:val="bottom"/>
            <w:shd w:val="clear" w:color="auto" w:fill="3E8EDE"/>
          </w:tcPr>
          <w:p>
            <w:pPr>
              <w:spacing w:after="0"/>
              <w:rPr>
                <w:sz w:val="14"/>
                <w:szCs w:val="14"/>
                <w:color w:val="auto"/>
              </w:rPr>
            </w:pPr>
          </w:p>
        </w:tc>
        <w:tc>
          <w:tcPr>
            <w:tcW w:w="1480" w:type="dxa"/>
            <w:vAlign w:val="bottom"/>
            <w:shd w:val="clear" w:color="auto" w:fill="3E8EDE"/>
          </w:tcPr>
          <w:p>
            <w:pPr>
              <w:jc w:val="center"/>
              <w:ind w:right="102"/>
              <w:spacing w:after="0"/>
              <w:rPr>
                <w:sz w:val="20"/>
                <w:szCs w:val="20"/>
                <w:color w:val="auto"/>
              </w:rPr>
            </w:pPr>
            <w:r>
              <w:rPr>
                <w:rFonts w:ascii="Arial" w:cs="Arial" w:eastAsia="Arial" w:hAnsi="Arial"/>
                <w:sz w:val="14"/>
                <w:szCs w:val="14"/>
                <w:b w:val="1"/>
                <w:bCs w:val="1"/>
                <w:color w:val="FFFFFF"/>
                <w:w w:val="99"/>
              </w:rPr>
              <w:t>Revenues</w:t>
            </w:r>
          </w:p>
        </w:tc>
        <w:tc>
          <w:tcPr>
            <w:tcW w:w="1480" w:type="dxa"/>
            <w:vAlign w:val="bottom"/>
            <w:shd w:val="clear" w:color="auto" w:fill="3E8EDE"/>
          </w:tcPr>
          <w:p>
            <w:pPr>
              <w:spacing w:after="0"/>
              <w:rPr>
                <w:sz w:val="14"/>
                <w:szCs w:val="14"/>
                <w:color w:val="auto"/>
              </w:rPr>
            </w:pPr>
          </w:p>
        </w:tc>
        <w:tc>
          <w:tcPr>
            <w:tcW w:w="1260" w:type="dxa"/>
            <w:vAlign w:val="bottom"/>
            <w:shd w:val="clear" w:color="auto" w:fill="3E8EDE"/>
          </w:tcPr>
          <w:p>
            <w:pPr>
              <w:spacing w:after="0"/>
              <w:rPr>
                <w:sz w:val="14"/>
                <w:szCs w:val="14"/>
                <w:color w:val="auto"/>
              </w:rPr>
            </w:pPr>
          </w:p>
        </w:tc>
      </w:tr>
      <w:tr>
        <w:trPr>
          <w:trHeight w:val="155"/>
        </w:trPr>
        <w:tc>
          <w:tcPr>
            <w:tcW w:w="6340" w:type="dxa"/>
            <w:vAlign w:val="bottom"/>
            <w:shd w:val="clear" w:color="auto" w:fill="3E8EDE"/>
          </w:tcPr>
          <w:p>
            <w:pPr>
              <w:spacing w:after="0"/>
              <w:rPr>
                <w:sz w:val="13"/>
                <w:szCs w:val="13"/>
                <w:color w:val="auto"/>
              </w:rPr>
            </w:pPr>
          </w:p>
        </w:tc>
        <w:tc>
          <w:tcPr>
            <w:tcW w:w="1480" w:type="dxa"/>
            <w:vAlign w:val="bottom"/>
            <w:shd w:val="clear" w:color="auto" w:fill="3E8EDE"/>
          </w:tcPr>
          <w:p>
            <w:pPr>
              <w:jc w:val="center"/>
              <w:ind w:right="102"/>
              <w:spacing w:after="0" w:line="155" w:lineRule="exact"/>
              <w:rPr>
                <w:sz w:val="20"/>
                <w:szCs w:val="20"/>
                <w:color w:val="auto"/>
              </w:rPr>
            </w:pPr>
            <w:r>
              <w:rPr>
                <w:rFonts w:ascii="Arial" w:cs="Arial" w:eastAsia="Arial" w:hAnsi="Arial"/>
                <w:sz w:val="14"/>
                <w:szCs w:val="14"/>
                <w:b w:val="1"/>
                <w:bCs w:val="1"/>
                <w:color w:val="FFFFFF"/>
                <w:w w:val="96"/>
              </w:rPr>
              <w:t>(Trailing Twelve</w:t>
            </w:r>
          </w:p>
        </w:tc>
        <w:tc>
          <w:tcPr>
            <w:tcW w:w="1480" w:type="dxa"/>
            <w:vAlign w:val="bottom"/>
            <w:shd w:val="clear" w:color="auto" w:fill="3E8EDE"/>
          </w:tcPr>
          <w:p>
            <w:pPr>
              <w:jc w:val="right"/>
              <w:ind w:right="361"/>
              <w:spacing w:after="0" w:line="155" w:lineRule="exact"/>
              <w:rPr>
                <w:sz w:val="20"/>
                <w:szCs w:val="20"/>
                <w:color w:val="auto"/>
              </w:rPr>
            </w:pPr>
            <w:r>
              <w:rPr>
                <w:rFonts w:ascii="Arial" w:cs="Arial" w:eastAsia="Arial" w:hAnsi="Arial"/>
                <w:sz w:val="14"/>
                <w:szCs w:val="14"/>
                <w:b w:val="1"/>
                <w:bCs w:val="1"/>
                <w:color w:val="FFFFFF"/>
              </w:rPr>
              <w:t>Market Cap</w:t>
            </w:r>
          </w:p>
        </w:tc>
        <w:tc>
          <w:tcPr>
            <w:tcW w:w="1260" w:type="dxa"/>
            <w:vAlign w:val="bottom"/>
            <w:shd w:val="clear" w:color="auto" w:fill="3E8EDE"/>
          </w:tcPr>
          <w:p>
            <w:pPr>
              <w:jc w:val="right"/>
              <w:ind w:right="261"/>
              <w:spacing w:after="0" w:line="155" w:lineRule="exact"/>
              <w:rPr>
                <w:sz w:val="20"/>
                <w:szCs w:val="20"/>
                <w:color w:val="auto"/>
              </w:rPr>
            </w:pPr>
            <w:r>
              <w:rPr>
                <w:rFonts w:ascii="Arial" w:cs="Arial" w:eastAsia="Arial" w:hAnsi="Arial"/>
                <w:sz w:val="14"/>
                <w:szCs w:val="14"/>
                <w:b w:val="1"/>
                <w:bCs w:val="1"/>
                <w:color w:val="FFFFFF"/>
              </w:rPr>
              <w:t>Employee</w:t>
            </w:r>
          </w:p>
        </w:tc>
      </w:tr>
      <w:tr>
        <w:trPr>
          <w:trHeight w:val="204"/>
        </w:trPr>
        <w:tc>
          <w:tcPr>
            <w:tcW w:w="6340" w:type="dxa"/>
            <w:vAlign w:val="bottom"/>
            <w:shd w:val="clear" w:color="auto" w:fill="3E8EDE"/>
          </w:tcPr>
          <w:p>
            <w:pPr>
              <w:spacing w:after="0"/>
              <w:rPr>
                <w:sz w:val="17"/>
                <w:szCs w:val="17"/>
                <w:color w:val="auto"/>
              </w:rPr>
            </w:pPr>
          </w:p>
        </w:tc>
        <w:tc>
          <w:tcPr>
            <w:tcW w:w="1480" w:type="dxa"/>
            <w:vAlign w:val="bottom"/>
            <w:shd w:val="clear" w:color="auto" w:fill="3E8EDE"/>
          </w:tcPr>
          <w:p>
            <w:pPr>
              <w:jc w:val="center"/>
              <w:ind w:right="102"/>
              <w:spacing w:after="0"/>
              <w:rPr>
                <w:sz w:val="20"/>
                <w:szCs w:val="20"/>
                <w:color w:val="auto"/>
              </w:rPr>
            </w:pPr>
            <w:r>
              <w:rPr>
                <w:rFonts w:ascii="Arial" w:cs="Arial" w:eastAsia="Arial" w:hAnsi="Arial"/>
                <w:sz w:val="14"/>
                <w:szCs w:val="14"/>
                <w:b w:val="1"/>
                <w:bCs w:val="1"/>
                <w:color w:val="FFFFFF"/>
                <w:w w:val="99"/>
              </w:rPr>
              <w:t>Months)</w:t>
            </w:r>
          </w:p>
        </w:tc>
        <w:tc>
          <w:tcPr>
            <w:tcW w:w="1480" w:type="dxa"/>
            <w:vAlign w:val="bottom"/>
            <w:shd w:val="clear" w:color="auto" w:fill="3E8EDE"/>
          </w:tcPr>
          <w:p>
            <w:pPr>
              <w:jc w:val="right"/>
              <w:ind w:right="461"/>
              <w:spacing w:after="0"/>
              <w:rPr>
                <w:sz w:val="20"/>
                <w:szCs w:val="20"/>
                <w:color w:val="auto"/>
              </w:rPr>
            </w:pPr>
            <w:r>
              <w:rPr>
                <w:rFonts w:ascii="Arial" w:cs="Arial" w:eastAsia="Arial" w:hAnsi="Arial"/>
                <w:sz w:val="14"/>
                <w:szCs w:val="14"/>
                <w:b w:val="1"/>
                <w:bCs w:val="1"/>
                <w:color w:val="FFFFFF"/>
              </w:rPr>
              <w:t>(9/30/24)</w:t>
            </w:r>
          </w:p>
        </w:tc>
        <w:tc>
          <w:tcPr>
            <w:tcW w:w="1260" w:type="dxa"/>
            <w:vAlign w:val="bottom"/>
            <w:shd w:val="clear" w:color="auto" w:fill="3E8EDE"/>
          </w:tcPr>
          <w:p>
            <w:pPr>
              <w:jc w:val="right"/>
              <w:ind w:right="281"/>
              <w:spacing w:after="0"/>
              <w:rPr>
                <w:sz w:val="20"/>
                <w:szCs w:val="20"/>
                <w:color w:val="auto"/>
              </w:rPr>
            </w:pPr>
            <w:r>
              <w:rPr>
                <w:rFonts w:ascii="Arial" w:cs="Arial" w:eastAsia="Arial" w:hAnsi="Arial"/>
                <w:sz w:val="14"/>
                <w:szCs w:val="14"/>
                <w:b w:val="1"/>
                <w:bCs w:val="1"/>
                <w:color w:val="FFFFFF"/>
              </w:rPr>
              <w:t>Numbers</w:t>
            </w:r>
          </w:p>
        </w:tc>
      </w:tr>
      <w:tr>
        <w:trPr>
          <w:trHeight w:val="239"/>
        </w:trPr>
        <w:tc>
          <w:tcPr>
            <w:tcW w:w="634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7"/>
                <w:szCs w:val="17"/>
                <w:color w:val="auto"/>
              </w:rPr>
              <w:t>Median</w:t>
            </w:r>
          </w:p>
        </w:tc>
        <w:tc>
          <w:tcPr>
            <w:tcW w:w="1480" w:type="dxa"/>
            <w:vAlign w:val="bottom"/>
            <w:tcBorders>
              <w:bottom w:val="single" w:sz="8" w:color="E2EEFA"/>
            </w:tcBorders>
            <w:shd w:val="clear" w:color="auto" w:fill="E2EEFA"/>
          </w:tcPr>
          <w:p>
            <w:pPr>
              <w:jc w:val="right"/>
              <w:ind w:right="202"/>
              <w:spacing w:after="0"/>
              <w:rPr>
                <w:sz w:val="20"/>
                <w:szCs w:val="20"/>
                <w:color w:val="auto"/>
              </w:rPr>
            </w:pPr>
            <w:r>
              <w:rPr>
                <w:rFonts w:ascii="Arial" w:cs="Arial" w:eastAsia="Arial" w:hAnsi="Arial"/>
                <w:sz w:val="17"/>
                <w:szCs w:val="17"/>
                <w:color w:val="auto"/>
              </w:rPr>
              <w:t>$3.9 billion</w:t>
            </w:r>
          </w:p>
        </w:tc>
        <w:tc>
          <w:tcPr>
            <w:tcW w:w="1480" w:type="dxa"/>
            <w:vAlign w:val="bottom"/>
            <w:tcBorders>
              <w:bottom w:val="single" w:sz="8" w:color="E2EEFA"/>
            </w:tcBorders>
            <w:shd w:val="clear" w:color="auto" w:fill="E2EEFA"/>
          </w:tcPr>
          <w:p>
            <w:pPr>
              <w:jc w:val="right"/>
              <w:ind w:right="201"/>
              <w:spacing w:after="0"/>
              <w:rPr>
                <w:sz w:val="20"/>
                <w:szCs w:val="20"/>
                <w:color w:val="auto"/>
              </w:rPr>
            </w:pPr>
            <w:r>
              <w:rPr>
                <w:rFonts w:ascii="Arial" w:cs="Arial" w:eastAsia="Arial" w:hAnsi="Arial"/>
                <w:sz w:val="17"/>
                <w:szCs w:val="17"/>
                <w:color w:val="auto"/>
              </w:rPr>
              <w:t>$21.9 billion</w:t>
            </w:r>
          </w:p>
        </w:tc>
        <w:tc>
          <w:tcPr>
            <w:tcW w:w="1260" w:type="dxa"/>
            <w:vAlign w:val="bottom"/>
            <w:tcBorders>
              <w:bottom w:val="single" w:sz="8" w:color="E2EEFA"/>
            </w:tcBorders>
            <w:shd w:val="clear" w:color="auto" w:fill="E2EEFA"/>
          </w:tcPr>
          <w:p>
            <w:pPr>
              <w:jc w:val="right"/>
              <w:ind w:right="221"/>
              <w:spacing w:after="0"/>
              <w:rPr>
                <w:sz w:val="20"/>
                <w:szCs w:val="20"/>
                <w:color w:val="auto"/>
              </w:rPr>
            </w:pPr>
            <w:r>
              <w:rPr>
                <w:rFonts w:ascii="Arial" w:cs="Arial" w:eastAsia="Arial" w:hAnsi="Arial"/>
                <w:sz w:val="17"/>
                <w:szCs w:val="17"/>
                <w:color w:val="auto"/>
              </w:rPr>
              <w:t>15,000</w:t>
            </w:r>
          </w:p>
        </w:tc>
      </w:tr>
      <w:tr>
        <w:trPr>
          <w:trHeight w:val="236"/>
        </w:trPr>
        <w:tc>
          <w:tcPr>
            <w:tcW w:w="6340" w:type="dxa"/>
            <w:vAlign w:val="bottom"/>
          </w:tcPr>
          <w:p>
            <w:pPr>
              <w:ind w:left="60"/>
              <w:spacing w:after="0"/>
              <w:rPr>
                <w:sz w:val="20"/>
                <w:szCs w:val="20"/>
                <w:color w:val="auto"/>
              </w:rPr>
            </w:pPr>
            <w:r>
              <w:rPr>
                <w:rFonts w:ascii="Arial" w:cs="Arial" w:eastAsia="Arial" w:hAnsi="Arial"/>
                <w:sz w:val="17"/>
                <w:szCs w:val="17"/>
                <w:color w:val="auto"/>
              </w:rPr>
              <w:t>Company</w:t>
            </w:r>
          </w:p>
        </w:tc>
        <w:tc>
          <w:tcPr>
            <w:tcW w:w="1480" w:type="dxa"/>
            <w:vAlign w:val="bottom"/>
          </w:tcPr>
          <w:p>
            <w:pPr>
              <w:jc w:val="right"/>
              <w:ind w:right="202"/>
              <w:spacing w:after="0"/>
              <w:rPr>
                <w:sz w:val="20"/>
                <w:szCs w:val="20"/>
                <w:color w:val="auto"/>
              </w:rPr>
            </w:pPr>
            <w:r>
              <w:rPr>
                <w:rFonts w:ascii="Arial" w:cs="Arial" w:eastAsia="Arial" w:hAnsi="Arial"/>
                <w:sz w:val="17"/>
                <w:szCs w:val="17"/>
                <w:color w:val="auto"/>
              </w:rPr>
              <w:t>$5.2 billion</w:t>
            </w:r>
          </w:p>
        </w:tc>
        <w:tc>
          <w:tcPr>
            <w:tcW w:w="1480" w:type="dxa"/>
            <w:vAlign w:val="bottom"/>
          </w:tcPr>
          <w:p>
            <w:pPr>
              <w:jc w:val="right"/>
              <w:ind w:right="201"/>
              <w:spacing w:after="0"/>
              <w:rPr>
                <w:sz w:val="20"/>
                <w:szCs w:val="20"/>
                <w:color w:val="auto"/>
              </w:rPr>
            </w:pPr>
            <w:r>
              <w:rPr>
                <w:rFonts w:ascii="Arial" w:cs="Arial" w:eastAsia="Arial" w:hAnsi="Arial"/>
                <w:sz w:val="17"/>
                <w:szCs w:val="17"/>
                <w:color w:val="auto"/>
              </w:rPr>
              <w:t>$23.9 billion</w:t>
            </w:r>
          </w:p>
        </w:tc>
        <w:tc>
          <w:tcPr>
            <w:tcW w:w="1260" w:type="dxa"/>
            <w:vAlign w:val="bottom"/>
          </w:tcPr>
          <w:p>
            <w:pPr>
              <w:jc w:val="right"/>
              <w:ind w:right="221"/>
              <w:spacing w:after="0"/>
              <w:rPr>
                <w:sz w:val="20"/>
                <w:szCs w:val="20"/>
                <w:color w:val="auto"/>
              </w:rPr>
            </w:pPr>
            <w:r>
              <w:rPr>
                <w:rFonts w:ascii="Arial" w:cs="Arial" w:eastAsia="Arial" w:hAnsi="Arial"/>
                <w:sz w:val="17"/>
                <w:szCs w:val="17"/>
                <w:color w:val="auto"/>
              </w:rPr>
              <w:t>18,000</w:t>
            </w:r>
          </w:p>
        </w:tc>
      </w:tr>
      <w:tr>
        <w:trPr>
          <w:trHeight w:val="249"/>
        </w:trPr>
        <w:tc>
          <w:tcPr>
            <w:tcW w:w="6340" w:type="dxa"/>
            <w:vAlign w:val="bottom"/>
            <w:tcBorders>
              <w:bottom w:val="single" w:sz="8" w:color="3E8EDE"/>
            </w:tcBorders>
            <w:shd w:val="clear" w:color="auto" w:fill="E2EEFA"/>
          </w:tcPr>
          <w:p>
            <w:pPr>
              <w:ind w:left="60"/>
              <w:spacing w:after="0"/>
              <w:rPr>
                <w:sz w:val="20"/>
                <w:szCs w:val="20"/>
                <w:color w:val="auto"/>
              </w:rPr>
            </w:pPr>
            <w:r>
              <w:rPr>
                <w:rFonts w:ascii="Arial" w:cs="Arial" w:eastAsia="Arial" w:hAnsi="Arial"/>
                <w:sz w:val="17"/>
                <w:szCs w:val="17"/>
                <w:color w:val="auto"/>
              </w:rPr>
              <w:t>Company Percentile Rank</w:t>
            </w:r>
          </w:p>
        </w:tc>
        <w:tc>
          <w:tcPr>
            <w:tcW w:w="1480" w:type="dxa"/>
            <w:vAlign w:val="bottom"/>
            <w:tcBorders>
              <w:bottom w:val="single" w:sz="8" w:color="3E8EDE"/>
            </w:tcBorders>
            <w:shd w:val="clear" w:color="auto" w:fill="E2EEFA"/>
          </w:tcPr>
          <w:p>
            <w:pPr>
              <w:jc w:val="right"/>
              <w:ind w:right="202"/>
              <w:spacing w:after="0"/>
              <w:rPr>
                <w:sz w:val="20"/>
                <w:szCs w:val="20"/>
                <w:color w:val="auto"/>
              </w:rPr>
            </w:pPr>
            <w:r>
              <w:rPr>
                <w:rFonts w:ascii="Arial" w:cs="Arial" w:eastAsia="Arial" w:hAnsi="Arial"/>
                <w:sz w:val="17"/>
                <w:szCs w:val="17"/>
                <w:color w:val="auto"/>
              </w:rPr>
              <w:t>62%</w:t>
            </w:r>
          </w:p>
        </w:tc>
        <w:tc>
          <w:tcPr>
            <w:tcW w:w="1480" w:type="dxa"/>
            <w:vAlign w:val="bottom"/>
            <w:tcBorders>
              <w:bottom w:val="single" w:sz="8" w:color="3E8EDE"/>
            </w:tcBorders>
            <w:shd w:val="clear" w:color="auto" w:fill="E2EEFA"/>
          </w:tcPr>
          <w:p>
            <w:pPr>
              <w:jc w:val="right"/>
              <w:ind w:right="201"/>
              <w:spacing w:after="0"/>
              <w:rPr>
                <w:sz w:val="20"/>
                <w:szCs w:val="20"/>
                <w:color w:val="auto"/>
              </w:rPr>
            </w:pPr>
            <w:r>
              <w:rPr>
                <w:rFonts w:ascii="Arial" w:cs="Arial" w:eastAsia="Arial" w:hAnsi="Arial"/>
                <w:sz w:val="17"/>
                <w:szCs w:val="17"/>
                <w:color w:val="auto"/>
              </w:rPr>
              <w:t>54%</w:t>
            </w:r>
          </w:p>
        </w:tc>
        <w:tc>
          <w:tcPr>
            <w:tcW w:w="1260" w:type="dxa"/>
            <w:vAlign w:val="bottom"/>
            <w:tcBorders>
              <w:bottom w:val="single" w:sz="8" w:color="3E8EDE"/>
            </w:tcBorders>
            <w:shd w:val="clear" w:color="auto" w:fill="E2EEFA"/>
          </w:tcPr>
          <w:p>
            <w:pPr>
              <w:jc w:val="right"/>
              <w:ind w:right="221"/>
              <w:spacing w:after="0"/>
              <w:rPr>
                <w:sz w:val="20"/>
                <w:szCs w:val="20"/>
                <w:color w:val="auto"/>
              </w:rPr>
            </w:pPr>
            <w:r>
              <w:rPr>
                <w:rFonts w:ascii="Arial" w:cs="Arial" w:eastAsia="Arial" w:hAnsi="Arial"/>
                <w:sz w:val="17"/>
                <w:szCs w:val="17"/>
                <w:color w:val="auto"/>
              </w:rPr>
              <w:t>66%</w:t>
            </w:r>
          </w:p>
        </w:tc>
      </w:tr>
    </w:tbl>
    <w:p>
      <w:pPr>
        <w:spacing w:after="0" w:line="186" w:lineRule="exact"/>
        <w:rPr>
          <w:sz w:val="20"/>
          <w:szCs w:val="20"/>
          <w:color w:val="auto"/>
        </w:rPr>
      </w:pPr>
    </w:p>
    <w:p>
      <w:pPr>
        <w:ind w:left="340" w:right="520"/>
        <w:spacing w:after="0" w:line="262" w:lineRule="auto"/>
        <w:rPr>
          <w:sz w:val="20"/>
          <w:szCs w:val="20"/>
          <w:color w:val="auto"/>
        </w:rPr>
      </w:pPr>
      <w:r>
        <w:rPr>
          <w:rFonts w:ascii="Arial" w:cs="Arial" w:eastAsia="Arial" w:hAnsi="Arial"/>
          <w:sz w:val="19"/>
          <w:szCs w:val="19"/>
          <w:color w:val="auto"/>
        </w:rPr>
        <w:t>It is expected that due to further increases in the Company’s size, as a result of acquisitions and otherwise, there will be additional peer group changes for future fiscal years.</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51</w:t>
      </w:r>
    </w:p>
    <w:p>
      <w:pPr>
        <w:sectPr>
          <w:pgSz w:w="11900" w:h="16838" w:orient="portrait"/>
          <w:cols w:equalWidth="0" w:num="1">
            <w:col w:w="10900"/>
          </w:cols>
          <w:pgMar w:left="320" w:top="469" w:right="6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2026 Compensation Decisions</w:t>
      </w:r>
    </w:p>
    <w:p>
      <w:pPr>
        <w:spacing w:after="0" w:line="92" w:lineRule="exact"/>
        <w:rPr>
          <w:sz w:val="20"/>
          <w:szCs w:val="20"/>
          <w:color w:val="auto"/>
        </w:rPr>
      </w:pPr>
    </w:p>
    <w:p>
      <w:pPr>
        <w:ind w:left="340" w:right="120"/>
        <w:spacing w:after="0" w:line="236" w:lineRule="auto"/>
        <w:rPr>
          <w:sz w:val="20"/>
          <w:szCs w:val="20"/>
          <w:color w:val="auto"/>
        </w:rPr>
      </w:pPr>
      <w:r>
        <w:rPr>
          <w:rFonts w:ascii="Arial" w:cs="Arial" w:eastAsia="Arial" w:hAnsi="Arial"/>
          <w:sz w:val="19"/>
          <w:szCs w:val="19"/>
          <w:color w:val="auto"/>
        </w:rPr>
        <w:t>The Committee’s consideration of the primary elements of compensation (base salary, incentive cash compensation and equity compensation) for all of the named executive officers is generally based upon a combination of common criteria and measures applicable to all of the officers, as well as individual goals and objectives applicable specifically to each officer. For fiscal 2026, the Committee considered and applied a number of common criteria and measures to evaluate the named executive officers,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137160</wp:posOffset>
            </wp:positionV>
            <wp:extent cx="6710045" cy="164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10045" cy="164465"/>
                    </a:xfrm>
                    <a:prstGeom prst="rect">
                      <a:avLst/>
                    </a:prstGeom>
                    <a:noFill/>
                  </pic:spPr>
                </pic:pic>
              </a:graphicData>
            </a:graphic>
          </wp:anchor>
        </w:drawing>
      </w:r>
    </w:p>
    <w:p>
      <w:pPr>
        <w:spacing w:after="0" w:line="201" w:lineRule="exact"/>
        <w:rPr>
          <w:sz w:val="20"/>
          <w:szCs w:val="20"/>
          <w:color w:val="auto"/>
        </w:rPr>
      </w:pPr>
    </w:p>
    <w:p>
      <w:pPr>
        <w:ind w:left="720" w:hanging="285"/>
        <w:spacing w:after="0"/>
        <w:tabs>
          <w:tab w:leader="none" w:pos="7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Consolidated Company as well as business unit financial performance;</w:t>
      </w:r>
    </w:p>
    <w:p>
      <w:pPr>
        <w:spacing w:after="0" w:line="40" w:lineRule="exact"/>
        <w:rPr>
          <w:rFonts w:ascii="Arial" w:cs="Arial" w:eastAsia="Arial" w:hAnsi="Arial"/>
          <w:sz w:val="19"/>
          <w:szCs w:val="19"/>
          <w:color w:val="auto"/>
        </w:rPr>
      </w:pPr>
    </w:p>
    <w:p>
      <w:pPr>
        <w:ind w:left="720" w:hanging="285"/>
        <w:spacing w:after="0"/>
        <w:tabs>
          <w:tab w:leader="none" w:pos="7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Prior individual performance and compensation;</w:t>
      </w:r>
    </w:p>
    <w:p>
      <w:pPr>
        <w:spacing w:after="0" w:line="40" w:lineRule="exact"/>
        <w:rPr>
          <w:rFonts w:ascii="Arial" w:cs="Arial" w:eastAsia="Arial" w:hAnsi="Arial"/>
          <w:sz w:val="19"/>
          <w:szCs w:val="19"/>
          <w:color w:val="auto"/>
        </w:rPr>
      </w:pPr>
    </w:p>
    <w:p>
      <w:pPr>
        <w:ind w:left="720" w:right="800" w:hanging="285"/>
        <w:spacing w:after="0" w:line="256" w:lineRule="auto"/>
        <w:tabs>
          <w:tab w:leader="none" w:pos="7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complexity and scope of responsibilities of the officer’s position, as well as any changes in the officer’s role, responsibilities or duties;</w:t>
      </w:r>
    </w:p>
    <w:p>
      <w:pPr>
        <w:ind w:left="720" w:hanging="285"/>
        <w:spacing w:after="0"/>
        <w:tabs>
          <w:tab w:leader="none" w:pos="7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officer’s overall experience as well as experience with STERIS;</w:t>
      </w:r>
    </w:p>
    <w:p>
      <w:pPr>
        <w:spacing w:after="0" w:line="40" w:lineRule="exact"/>
        <w:rPr>
          <w:rFonts w:ascii="Arial" w:cs="Arial" w:eastAsia="Arial" w:hAnsi="Arial"/>
          <w:sz w:val="19"/>
          <w:szCs w:val="19"/>
          <w:color w:val="auto"/>
        </w:rPr>
      </w:pPr>
    </w:p>
    <w:p>
      <w:pPr>
        <w:ind w:left="720" w:hanging="285"/>
        <w:spacing w:after="0"/>
        <w:tabs>
          <w:tab w:leader="none" w:pos="7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Market and survey data provided by the consultant;</w:t>
      </w:r>
    </w:p>
    <w:p>
      <w:pPr>
        <w:spacing w:after="0" w:line="40" w:lineRule="exact"/>
        <w:rPr>
          <w:rFonts w:ascii="Arial" w:cs="Arial" w:eastAsia="Arial" w:hAnsi="Arial"/>
          <w:sz w:val="19"/>
          <w:szCs w:val="19"/>
          <w:color w:val="auto"/>
        </w:rPr>
      </w:pPr>
    </w:p>
    <w:p>
      <w:pPr>
        <w:ind w:left="720" w:right="180" w:hanging="285"/>
        <w:spacing w:after="0" w:line="256" w:lineRule="auto"/>
        <w:tabs>
          <w:tab w:leader="none" w:pos="7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 the case of Mr. Carestio, as CEO, the Committee’s evaluation of his individual performance after receiving input from Committee members and the other non-executive Directors; and</w:t>
      </w:r>
    </w:p>
    <w:p>
      <w:pPr>
        <w:ind w:left="720" w:right="320" w:hanging="285"/>
        <w:spacing w:after="0" w:line="262" w:lineRule="auto"/>
        <w:tabs>
          <w:tab w:leader="none" w:pos="7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 the case of the other named executive officers, the CEO’s assessments and recommendations regarding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-1226185</wp:posOffset>
            </wp:positionV>
            <wp:extent cx="6710045" cy="295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10045" cy="29591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-765810</wp:posOffset>
            </wp:positionV>
            <wp:extent cx="6710045" cy="164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10045" cy="16446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-304800</wp:posOffset>
            </wp:positionV>
            <wp:extent cx="6710045" cy="3041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10045" cy="304165"/>
                    </a:xfrm>
                    <a:prstGeom prst="rect">
                      <a:avLst/>
                    </a:prstGeom>
                    <a:noFill/>
                  </pic:spPr>
                </pic:pic>
              </a:graphicData>
            </a:graphic>
          </wp:anchor>
        </w:drawing>
      </w:r>
    </w:p>
    <w:p>
      <w:pPr>
        <w:spacing w:after="0" w:line="163" w:lineRule="exact"/>
        <w:rPr>
          <w:sz w:val="20"/>
          <w:szCs w:val="20"/>
          <w:color w:val="auto"/>
        </w:rPr>
      </w:pPr>
    </w:p>
    <w:p>
      <w:pPr>
        <w:ind w:left="340" w:right="320"/>
        <w:spacing w:after="0" w:line="244" w:lineRule="auto"/>
        <w:rPr>
          <w:sz w:val="20"/>
          <w:szCs w:val="20"/>
          <w:color w:val="auto"/>
        </w:rPr>
      </w:pPr>
      <w:r>
        <w:rPr>
          <w:rFonts w:ascii="Arial" w:cs="Arial" w:eastAsia="Arial" w:hAnsi="Arial"/>
          <w:sz w:val="19"/>
          <w:szCs w:val="19"/>
          <w:color w:val="auto"/>
        </w:rPr>
        <w:t>Individual goals and objectives varied for each named executive officer based on his or her area of responsibility. Although these goals and objectives are all considered important, they are not assigned any particular weight for incentive compensation purposes. In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133350</wp:posOffset>
            </wp:positionV>
            <wp:extent cx="6710045" cy="5594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10045" cy="559435"/>
                    </a:xfrm>
                    <a:prstGeom prst="rect">
                      <a:avLst/>
                    </a:prstGeom>
                    <a:noFill/>
                  </pic:spPr>
                </pic:pic>
              </a:graphicData>
            </a:graphic>
          </wp:anchor>
        </w:drawing>
      </w:r>
    </w:p>
    <w:p>
      <w:pPr>
        <w:spacing w:after="0" w:line="194" w:lineRule="exact"/>
        <w:rPr>
          <w:sz w:val="20"/>
          <w:szCs w:val="20"/>
          <w:color w:val="auto"/>
        </w:rPr>
      </w:pPr>
    </w:p>
    <w:p>
      <w:pPr>
        <w:ind w:left="720" w:right="40" w:hanging="285"/>
        <w:spacing w:after="0" w:line="239" w:lineRule="auto"/>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Mr. Carestio’s individual goals and objectives related to acquisitions and divestitures and integration, legal and regulatory compliance, Customer relations, quality, new product introduction, employee relations and retention, organizational development, safety performance, process improvement, investor relations, profit, cash flow, and return on invested capital (“ROIC”).</w:t>
      </w:r>
    </w:p>
    <w:p>
      <w:pPr>
        <w:spacing w:after="0" w:line="10" w:lineRule="exact"/>
        <w:rPr>
          <w:rFonts w:ascii="Arial" w:cs="Arial" w:eastAsia="Arial" w:hAnsi="Arial"/>
          <w:sz w:val="19"/>
          <w:szCs w:val="19"/>
          <w:color w:val="auto"/>
        </w:rPr>
      </w:pPr>
    </w:p>
    <w:p>
      <w:pPr>
        <w:ind w:left="720" w:right="100" w:hanging="285"/>
        <w:spacing w:after="0" w:line="256" w:lineRule="auto"/>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Mr. Tokich’s individual goals and objectives related to an effective transition of the CFO role to Ms. Burton and continued service to the Company as Senior Financial Advisor.</w:t>
      </w:r>
    </w:p>
    <w:p>
      <w:pPr>
        <w:jc w:val="both"/>
        <w:ind w:left="720" w:right="440" w:hanging="285"/>
        <w:spacing w:after="0" w:line="244" w:lineRule="auto"/>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Ms. Burton’s individual goals and objectives related to financial reporting and compliance, working capital initiatives, investor relations, cost management, acquisitions and divestitures and integration, information technology initiatives, employee relations and retention, business strategy initiatives, profit, cash flow and ROIC.</w:t>
      </w:r>
    </w:p>
    <w:p>
      <w:pPr>
        <w:spacing w:after="0" w:line="7" w:lineRule="exact"/>
        <w:rPr>
          <w:rFonts w:ascii="Arial" w:cs="Arial" w:eastAsia="Arial" w:hAnsi="Arial"/>
          <w:sz w:val="19"/>
          <w:szCs w:val="19"/>
          <w:color w:val="auto"/>
        </w:rPr>
      </w:pPr>
    </w:p>
    <w:p>
      <w:pPr>
        <w:ind w:left="720" w:hanging="285"/>
        <w:spacing w:after="0" w:line="239" w:lineRule="auto"/>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Mr. Zangerle’s individual goals and objectives related to acquisitions and divestitures and integration, legal and regulatory compliance, internal client relations and employee relations, development, retention, cost of legal and regulatory compliance, management of the legal department and Corporate Responsibility, Health &amp; Safety and Government Affairs functions.</w:t>
      </w:r>
    </w:p>
    <w:p>
      <w:pPr>
        <w:spacing w:after="0" w:line="10" w:lineRule="exact"/>
        <w:rPr>
          <w:rFonts w:ascii="Arial" w:cs="Arial" w:eastAsia="Arial" w:hAnsi="Arial"/>
          <w:sz w:val="19"/>
          <w:szCs w:val="19"/>
          <w:color w:val="auto"/>
        </w:rPr>
      </w:pPr>
    </w:p>
    <w:p>
      <w:pPr>
        <w:ind w:left="720" w:right="120" w:hanging="285"/>
        <w:spacing w:after="0" w:line="244" w:lineRule="auto"/>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Mr. Majors’s individual goals and objectives related to acquisitions and divestitures and integration, regulatory compliance, business unit financial performance, business unit organizational leadership, Customer relations, employee relations and retention, service quality leadership, profit, cash flow and ROIC, and safety performance.</w:t>
      </w:r>
    </w:p>
    <w:p>
      <w:pPr>
        <w:spacing w:after="0" w:line="7" w:lineRule="exact"/>
        <w:rPr>
          <w:rFonts w:ascii="Arial" w:cs="Arial" w:eastAsia="Arial" w:hAnsi="Arial"/>
          <w:sz w:val="19"/>
          <w:szCs w:val="19"/>
          <w:color w:val="auto"/>
        </w:rPr>
      </w:pPr>
    </w:p>
    <w:p>
      <w:pPr>
        <w:ind w:left="720" w:right="180" w:hanging="285"/>
        <w:spacing w:after="0" w:line="239" w:lineRule="auto"/>
        <w:tabs>
          <w:tab w:leader="none" w:pos="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Ms. Fraser’s individual goals and objectives related to the employee experience and value proposition and included the attraction and selection of high quality talent to support current and future business needs, supporting employee growth and development, acquisitions and divestitures and integration, driving engagement through effective communications and attractive total rewards programs, and optimizing HR services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-1969135</wp:posOffset>
            </wp:positionV>
            <wp:extent cx="6710045" cy="4273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10045" cy="42735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-982345</wp:posOffset>
            </wp:positionV>
            <wp:extent cx="6710045" cy="4273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10045" cy="42735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3810</wp:posOffset>
            </wp:positionV>
            <wp:extent cx="67100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80"/>
        <w:spacing w:after="0" w:line="236" w:lineRule="auto"/>
        <w:rPr>
          <w:sz w:val="20"/>
          <w:szCs w:val="20"/>
          <w:color w:val="auto"/>
        </w:rPr>
      </w:pPr>
      <w:r>
        <w:rPr>
          <w:rFonts w:ascii="Arial" w:cs="Arial" w:eastAsia="Arial" w:hAnsi="Arial"/>
          <w:sz w:val="19"/>
          <w:szCs w:val="19"/>
          <w:color w:val="auto"/>
        </w:rPr>
        <w:t>As CEO, Mr. Carestio has the broadest complexity and scope of responsibilities, as he has oversight for all aspects of our operations. Our other named executive officers, as well as certain other senior managers, report directly to Mr. Carestio. As a result of these various factors, individual performance against these factors, the individual’s roles and scope of responsibilities, and the Company’s performance, each element of compensation will necessarily vary between the named executive officers and between other executives.</w:t>
      </w:r>
    </w:p>
    <w:p>
      <w:pPr>
        <w:spacing w:after="0" w:line="169" w:lineRule="exact"/>
        <w:rPr>
          <w:sz w:val="20"/>
          <w:szCs w:val="20"/>
          <w:color w:val="auto"/>
        </w:rPr>
      </w:pPr>
    </w:p>
    <w:p>
      <w:pPr>
        <w:ind w:left="340" w:right="60"/>
        <w:spacing w:after="0" w:line="256" w:lineRule="auto"/>
        <w:rPr>
          <w:sz w:val="20"/>
          <w:szCs w:val="20"/>
          <w:color w:val="auto"/>
        </w:rPr>
      </w:pPr>
      <w:r>
        <w:rPr>
          <w:rFonts w:ascii="Arial" w:cs="Arial" w:eastAsia="Arial" w:hAnsi="Arial"/>
          <w:sz w:val="18"/>
          <w:szCs w:val="18"/>
          <w:color w:val="auto"/>
        </w:rPr>
        <w:t>For fiscal 2026, the Committee evaluated the performance of the named executive officers, applying in each case the common criteria and measures and individual goals and objectives described above, as well as the Company’s actual performance against the targeted financial performance for payment of the incentive compensation. As a result, the Committee approved the fiscal 2026 compensation described in the following pages for each of the named executive officers.</w:t>
      </w:r>
    </w:p>
    <w:p>
      <w:pPr>
        <w:spacing w:after="0" w:line="153" w:lineRule="exact"/>
        <w:rPr>
          <w:sz w:val="20"/>
          <w:szCs w:val="20"/>
          <w:color w:val="auto"/>
        </w:rPr>
      </w:pPr>
    </w:p>
    <w:p>
      <w:pPr>
        <w:ind w:left="340" w:right="40"/>
        <w:spacing w:after="0" w:line="262" w:lineRule="auto"/>
        <w:rPr>
          <w:sz w:val="20"/>
          <w:szCs w:val="20"/>
          <w:color w:val="auto"/>
        </w:rPr>
      </w:pPr>
      <w:r>
        <w:rPr>
          <w:rFonts w:ascii="Arial" w:cs="Arial" w:eastAsia="Arial" w:hAnsi="Arial"/>
          <w:sz w:val="19"/>
          <w:szCs w:val="19"/>
          <w:color w:val="auto"/>
        </w:rPr>
        <w:t>The Committee believes that our underlying executive compensation program has been appropriate to reflect annual financial performance, as well as rewarding and motivating behaviors that can create long-term shareholder value.</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Base Salary</w:t>
      </w:r>
    </w:p>
    <w:p>
      <w:pPr>
        <w:spacing w:after="0" w:line="90" w:lineRule="exact"/>
        <w:rPr>
          <w:sz w:val="20"/>
          <w:szCs w:val="20"/>
          <w:color w:val="auto"/>
        </w:rPr>
      </w:pPr>
    </w:p>
    <w:p>
      <w:pPr>
        <w:ind w:left="340" w:right="60"/>
        <w:spacing w:after="0" w:line="230" w:lineRule="auto"/>
        <w:rPr>
          <w:sz w:val="20"/>
          <w:szCs w:val="20"/>
          <w:color w:val="auto"/>
        </w:rPr>
      </w:pPr>
      <w:r>
        <w:rPr>
          <w:rFonts w:ascii="Arial" w:cs="Arial" w:eastAsia="Arial" w:hAnsi="Arial"/>
          <w:sz w:val="19"/>
          <w:szCs w:val="19"/>
          <w:color w:val="auto"/>
        </w:rPr>
        <w:t>The payment of base salary is not directly tied to achievement of pre-established financial goals. The Committee considers a number of factors in determining base salary, including previous individual performance, the consultant’s data regarding compensation trends and practices, base salaries paid by other medical device, hospital supply, and other public operating companies, the complexity and responsibility of the executive’s position, and the executive’s overall experience and achievements against objectives, as well as the general and industry market for executive talent. While the market median may serve as a general guideline, other factors such as experience, time in position, complexity of functions, competitive environment, special skills and past performance are also considered. The Committee believes that base salaries for executives with significant experience and strong past performance should generally fall within the range of plus or minus 15% of the market median for similar positions of public operating companies based on peer group and survey data. Based on these considerations and the Company’s fiscal year operating plan (including the Company’s planned merit increase budget), information from the consultant, and recommendations of the CEO with respect to compensation adjustments for the other named executive officers, the Committee determines the appropriate salary level for the named executive officers. Changes in salary levels are generally effective at the end of the first fiscal quarter or beginning of the second fiscal quarter, with some exceptions for situations involving promotional increases. The Board also reviews the compensation actions of the Committee.</w:t>
      </w:r>
    </w:p>
    <w:p>
      <w:pPr>
        <w:spacing w:after="0" w:line="175" w:lineRule="exact"/>
        <w:rPr>
          <w:sz w:val="20"/>
          <w:szCs w:val="20"/>
          <w:color w:val="auto"/>
        </w:rPr>
      </w:pPr>
    </w:p>
    <w:p>
      <w:pPr>
        <w:ind w:left="340" w:right="60"/>
        <w:spacing w:after="0" w:line="262" w:lineRule="auto"/>
        <w:rPr>
          <w:sz w:val="20"/>
          <w:szCs w:val="20"/>
          <w:color w:val="auto"/>
        </w:rPr>
      </w:pPr>
      <w:r>
        <w:rPr>
          <w:rFonts w:ascii="Arial" w:cs="Arial" w:eastAsia="Arial" w:hAnsi="Arial"/>
          <w:sz w:val="19"/>
          <w:szCs w:val="19"/>
          <w:color w:val="auto"/>
        </w:rPr>
        <w:t>Mr. Carestio’s earned base salary increased 2.99% for fiscal 2026. His base salary was at the median of peer companies and survey companies.</w:t>
      </w:r>
    </w:p>
    <w:p>
      <w:pPr>
        <w:spacing w:after="0" w:line="145" w:lineRule="exact"/>
        <w:rPr>
          <w:sz w:val="20"/>
          <w:szCs w:val="20"/>
          <w:color w:val="auto"/>
        </w:rPr>
      </w:pPr>
    </w:p>
    <w:p>
      <w:pPr>
        <w:ind w:left="340" w:right="300"/>
        <w:spacing w:after="0" w:line="239" w:lineRule="auto"/>
        <w:rPr>
          <w:sz w:val="20"/>
          <w:szCs w:val="20"/>
          <w:color w:val="auto"/>
        </w:rPr>
      </w:pPr>
      <w:r>
        <w:rPr>
          <w:rFonts w:ascii="Arial" w:cs="Arial" w:eastAsia="Arial" w:hAnsi="Arial"/>
          <w:sz w:val="19"/>
          <w:szCs w:val="19"/>
          <w:color w:val="auto"/>
        </w:rPr>
        <w:t>Ms. Burton’s earned base salary increased by 28.97% for fiscal 2026. This increase is reflective of her promotion to Senior Vice President and CFO in August 2025. Relatedly, Mr. Tokich’s base salary decreased 19.27% in connection with his retirement from the Senior Vice President and CFO position and transition into the Senior Financial Advisor role, as further described below.</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53</w:t>
      </w:r>
    </w:p>
    <w:p>
      <w:pPr>
        <w:sectPr>
          <w:pgSz w:w="11900" w:h="16838" w:orient="portrait"/>
          <w:cols w:equalWidth="0" w:num="1">
            <w:col w:w="10900"/>
          </w:cols>
          <w:pgMar w:left="320" w:top="469" w:right="6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580"/>
        <w:spacing w:after="0" w:line="239" w:lineRule="auto"/>
        <w:rPr>
          <w:sz w:val="20"/>
          <w:szCs w:val="20"/>
          <w:color w:val="auto"/>
        </w:rPr>
      </w:pPr>
      <w:r>
        <w:rPr>
          <w:rFonts w:ascii="Arial" w:cs="Arial" w:eastAsia="Arial" w:hAnsi="Arial"/>
          <w:sz w:val="19"/>
          <w:szCs w:val="19"/>
          <w:color w:val="auto"/>
        </w:rPr>
        <w:t>With respect to the other named executive officers, the Committee applied the common criteria and results of individual performance objectives described above under Executive Compensation Overview, including the evaluation and recommendation of the CEO regarding individual performance results, as well as peer and other survey data from the consultant, to assess base salaries for each officer.</w:t>
      </w:r>
    </w:p>
    <w:p>
      <w:pPr>
        <w:spacing w:after="0" w:line="166" w:lineRule="exact"/>
        <w:rPr>
          <w:sz w:val="20"/>
          <w:szCs w:val="20"/>
          <w:color w:val="auto"/>
        </w:rPr>
      </w:pPr>
    </w:p>
    <w:p>
      <w:pPr>
        <w:ind w:left="340" w:right="620"/>
        <w:spacing w:after="0" w:line="262" w:lineRule="auto"/>
        <w:rPr>
          <w:sz w:val="20"/>
          <w:szCs w:val="20"/>
          <w:color w:val="auto"/>
        </w:rPr>
      </w:pPr>
      <w:r>
        <w:rPr>
          <w:rFonts w:ascii="Arial" w:cs="Arial" w:eastAsia="Arial" w:hAnsi="Arial"/>
          <w:sz w:val="19"/>
          <w:szCs w:val="19"/>
          <w:color w:val="auto"/>
        </w:rPr>
        <w:t>The following table reflects fiscal 2025 and 2026 base salaries earned by the named executive officers and paid by the Company and the percentage change in base salary earned by each named executive officer for fiscal 2026.</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185"/>
        </w:trPr>
        <w:tc>
          <w:tcPr>
            <w:tcW w:w="4360" w:type="dxa"/>
            <w:vAlign w:val="bottom"/>
            <w:shd w:val="clear" w:color="auto" w:fill="3E8EDE"/>
          </w:tcPr>
          <w:p>
            <w:pPr>
              <w:spacing w:after="0"/>
              <w:rPr>
                <w:sz w:val="16"/>
                <w:szCs w:val="16"/>
                <w:color w:val="auto"/>
              </w:rPr>
            </w:pPr>
          </w:p>
        </w:tc>
        <w:tc>
          <w:tcPr>
            <w:tcW w:w="3980" w:type="dxa"/>
            <w:vAlign w:val="bottom"/>
            <w:shd w:val="clear" w:color="auto" w:fill="3E8EDE"/>
          </w:tcPr>
          <w:p>
            <w:pPr>
              <w:jc w:val="center"/>
              <w:ind w:left="2559"/>
              <w:spacing w:after="0"/>
              <w:rPr>
                <w:sz w:val="20"/>
                <w:szCs w:val="20"/>
                <w:color w:val="auto"/>
              </w:rPr>
            </w:pPr>
            <w:r>
              <w:rPr>
                <w:rFonts w:ascii="Arial" w:cs="Arial" w:eastAsia="Arial" w:hAnsi="Arial"/>
                <w:sz w:val="14"/>
                <w:szCs w:val="14"/>
                <w:b w:val="1"/>
                <w:bCs w:val="1"/>
                <w:color w:val="FFFFFF"/>
                <w:w w:val="98"/>
              </w:rPr>
              <w:t>Fiscal 2025</w:t>
            </w:r>
          </w:p>
        </w:tc>
        <w:tc>
          <w:tcPr>
            <w:tcW w:w="1260" w:type="dxa"/>
            <w:vAlign w:val="bottom"/>
            <w:shd w:val="clear" w:color="auto" w:fill="3E8EDE"/>
          </w:tcPr>
          <w:p>
            <w:pPr>
              <w:jc w:val="center"/>
              <w:spacing w:after="0"/>
              <w:rPr>
                <w:sz w:val="20"/>
                <w:szCs w:val="20"/>
                <w:color w:val="auto"/>
              </w:rPr>
            </w:pPr>
            <w:r>
              <w:rPr>
                <w:rFonts w:ascii="Arial" w:cs="Arial" w:eastAsia="Arial" w:hAnsi="Arial"/>
                <w:sz w:val="14"/>
                <w:szCs w:val="14"/>
                <w:b w:val="1"/>
                <w:bCs w:val="1"/>
                <w:color w:val="FFFFFF"/>
                <w:w w:val="98"/>
              </w:rPr>
              <w:t>Fiscal 2026</w:t>
            </w:r>
          </w:p>
        </w:tc>
        <w:tc>
          <w:tcPr>
            <w:tcW w:w="960" w:type="dxa"/>
            <w:vAlign w:val="bottom"/>
            <w:shd w:val="clear" w:color="auto" w:fill="3E8EDE"/>
          </w:tcPr>
          <w:p>
            <w:pPr>
              <w:spacing w:after="0"/>
              <w:rPr>
                <w:sz w:val="16"/>
                <w:szCs w:val="16"/>
                <w:color w:val="auto"/>
              </w:rPr>
            </w:pPr>
          </w:p>
        </w:tc>
      </w:tr>
      <w:tr>
        <w:trPr>
          <w:trHeight w:val="155"/>
        </w:trPr>
        <w:tc>
          <w:tcPr>
            <w:tcW w:w="4360" w:type="dxa"/>
            <w:vAlign w:val="bottom"/>
            <w:shd w:val="clear" w:color="auto" w:fill="3E8EDE"/>
          </w:tcPr>
          <w:p>
            <w:pPr>
              <w:spacing w:after="0"/>
              <w:rPr>
                <w:sz w:val="13"/>
                <w:szCs w:val="13"/>
                <w:color w:val="auto"/>
              </w:rPr>
            </w:pPr>
          </w:p>
        </w:tc>
        <w:tc>
          <w:tcPr>
            <w:tcW w:w="3980" w:type="dxa"/>
            <w:vAlign w:val="bottom"/>
            <w:shd w:val="clear" w:color="auto" w:fill="3E8EDE"/>
          </w:tcPr>
          <w:p>
            <w:pPr>
              <w:jc w:val="center"/>
              <w:ind w:left="2559"/>
              <w:spacing w:after="0" w:line="155" w:lineRule="exact"/>
              <w:rPr>
                <w:sz w:val="20"/>
                <w:szCs w:val="20"/>
                <w:color w:val="auto"/>
              </w:rPr>
            </w:pPr>
            <w:r>
              <w:rPr>
                <w:rFonts w:ascii="Arial" w:cs="Arial" w:eastAsia="Arial" w:hAnsi="Arial"/>
                <w:sz w:val="14"/>
                <w:szCs w:val="14"/>
                <w:b w:val="1"/>
                <w:bCs w:val="1"/>
                <w:color w:val="FFFFFF"/>
                <w:w w:val="98"/>
              </w:rPr>
              <w:t>Base Salary</w:t>
            </w:r>
          </w:p>
        </w:tc>
        <w:tc>
          <w:tcPr>
            <w:tcW w:w="1260" w:type="dxa"/>
            <w:vAlign w:val="bottom"/>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Base Salary</w:t>
            </w:r>
          </w:p>
        </w:tc>
        <w:tc>
          <w:tcPr>
            <w:tcW w:w="960" w:type="dxa"/>
            <w:vAlign w:val="bottom"/>
            <w:shd w:val="clear" w:color="auto" w:fill="3E8EDE"/>
          </w:tcPr>
          <w:p>
            <w:pPr>
              <w:jc w:val="center"/>
              <w:ind w:left="58"/>
              <w:spacing w:after="0" w:line="155" w:lineRule="exact"/>
              <w:rPr>
                <w:sz w:val="20"/>
                <w:szCs w:val="20"/>
                <w:color w:val="auto"/>
              </w:rPr>
            </w:pPr>
            <w:r>
              <w:rPr>
                <w:rFonts w:ascii="Arial" w:cs="Arial" w:eastAsia="Arial" w:hAnsi="Arial"/>
                <w:sz w:val="14"/>
                <w:szCs w:val="14"/>
                <w:b w:val="1"/>
                <w:bCs w:val="1"/>
                <w:color w:val="FFFFFF"/>
                <w:w w:val="97"/>
              </w:rPr>
              <w:t>Percentage</w:t>
            </w:r>
          </w:p>
        </w:tc>
      </w:tr>
      <w:tr>
        <w:trPr>
          <w:trHeight w:val="197"/>
        </w:trPr>
        <w:tc>
          <w:tcPr>
            <w:tcW w:w="4360" w:type="dxa"/>
            <w:vAlign w:val="bottom"/>
            <w:tcBorders>
              <w:bottom w:val="single" w:sz="8" w:color="3E8EDE"/>
            </w:tcBorders>
            <w:shd w:val="clear" w:color="auto" w:fill="3E8EDE"/>
          </w:tcPr>
          <w:p>
            <w:pPr>
              <w:spacing w:after="0"/>
              <w:rPr>
                <w:sz w:val="20"/>
                <w:szCs w:val="20"/>
                <w:color w:val="auto"/>
              </w:rPr>
            </w:pPr>
            <w:r>
              <w:rPr>
                <w:rFonts w:ascii="Arial" w:cs="Arial" w:eastAsia="Arial" w:hAnsi="Arial"/>
                <w:sz w:val="14"/>
                <w:szCs w:val="14"/>
                <w:b w:val="1"/>
                <w:bCs w:val="1"/>
                <w:color w:val="FFFFFF"/>
              </w:rPr>
              <w:t>  Name</w:t>
            </w:r>
          </w:p>
        </w:tc>
        <w:tc>
          <w:tcPr>
            <w:tcW w:w="3980" w:type="dxa"/>
            <w:vAlign w:val="bottom"/>
            <w:tcBorders>
              <w:bottom w:val="single" w:sz="8" w:color="3E8EDE"/>
            </w:tcBorders>
            <w:shd w:val="clear" w:color="auto" w:fill="3E8EDE"/>
          </w:tcPr>
          <w:p>
            <w:pPr>
              <w:jc w:val="center"/>
              <w:ind w:left="2559"/>
              <w:spacing w:after="0"/>
              <w:rPr>
                <w:sz w:val="20"/>
                <w:szCs w:val="20"/>
                <w:color w:val="auto"/>
              </w:rPr>
            </w:pPr>
            <w:r>
              <w:rPr>
                <w:rFonts w:ascii="Arial" w:cs="Arial" w:eastAsia="Arial" w:hAnsi="Arial"/>
                <w:sz w:val="14"/>
                <w:szCs w:val="14"/>
                <w:b w:val="1"/>
                <w:bCs w:val="1"/>
                <w:color w:val="FFFFFF"/>
                <w:w w:val="96"/>
              </w:rPr>
              <w:t>Earned</w:t>
            </w:r>
          </w:p>
        </w:tc>
        <w:tc>
          <w:tcPr>
            <w:tcW w:w="1260" w:type="dxa"/>
            <w:vAlign w:val="bottom"/>
            <w:tcBorders>
              <w:bottom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w w:val="96"/>
              </w:rPr>
              <w:t>Earned</w:t>
            </w:r>
          </w:p>
        </w:tc>
        <w:tc>
          <w:tcPr>
            <w:tcW w:w="960" w:type="dxa"/>
            <w:vAlign w:val="bottom"/>
            <w:tcBorders>
              <w:bottom w:val="single" w:sz="8" w:color="3E8EDE"/>
            </w:tcBorders>
            <w:shd w:val="clear" w:color="auto" w:fill="3E8EDE"/>
          </w:tcPr>
          <w:p>
            <w:pPr>
              <w:jc w:val="center"/>
              <w:ind w:left="58"/>
              <w:spacing w:after="0"/>
              <w:rPr>
                <w:sz w:val="20"/>
                <w:szCs w:val="20"/>
                <w:color w:val="auto"/>
              </w:rPr>
            </w:pPr>
            <w:r>
              <w:rPr>
                <w:rFonts w:ascii="Arial" w:cs="Arial" w:eastAsia="Arial" w:hAnsi="Arial"/>
                <w:sz w:val="14"/>
                <w:szCs w:val="14"/>
                <w:b w:val="1"/>
                <w:bCs w:val="1"/>
                <w:color w:val="FFFFFF"/>
                <w:w w:val="97"/>
              </w:rPr>
              <w:t>Change</w:t>
            </w:r>
          </w:p>
        </w:tc>
      </w:tr>
      <w:tr>
        <w:trPr>
          <w:trHeight w:val="207"/>
        </w:trPr>
        <w:tc>
          <w:tcPr>
            <w:tcW w:w="4360" w:type="dxa"/>
            <w:vAlign w:val="bottom"/>
            <w:tcBorders>
              <w:bottom w:val="single" w:sz="8" w:color="3E8EDE"/>
            </w:tcBorders>
            <w:shd w:val="clear" w:color="auto" w:fill="E2EEFA"/>
          </w:tcPr>
          <w:p>
            <w:pPr>
              <w:spacing w:after="0"/>
              <w:rPr>
                <w:sz w:val="20"/>
                <w:szCs w:val="20"/>
                <w:color w:val="auto"/>
              </w:rPr>
            </w:pPr>
            <w:r>
              <w:rPr>
                <w:rFonts w:ascii="Arial" w:cs="Arial" w:eastAsia="Arial" w:hAnsi="Arial"/>
                <w:sz w:val="17"/>
                <w:szCs w:val="17"/>
                <w:color w:val="auto"/>
              </w:rPr>
              <w:t> Daniel A. Carestio</w:t>
            </w:r>
          </w:p>
        </w:tc>
        <w:tc>
          <w:tcPr>
            <w:tcW w:w="3980" w:type="dxa"/>
            <w:vAlign w:val="bottom"/>
            <w:tcBorders>
              <w:bottom w:val="single" w:sz="8" w:color="3E8EDE"/>
            </w:tcBorders>
            <w:shd w:val="clear" w:color="auto" w:fill="E2EEFA"/>
          </w:tcPr>
          <w:p>
            <w:pPr>
              <w:jc w:val="center"/>
              <w:ind w:left="2639"/>
              <w:spacing w:after="0"/>
              <w:rPr>
                <w:sz w:val="20"/>
                <w:szCs w:val="20"/>
                <w:color w:val="auto"/>
              </w:rPr>
            </w:pPr>
            <w:r>
              <w:rPr>
                <w:rFonts w:ascii="Arial" w:cs="Arial" w:eastAsia="Arial" w:hAnsi="Arial"/>
                <w:sz w:val="17"/>
                <w:szCs w:val="17"/>
                <w:color w:val="auto"/>
              </w:rPr>
              <w:t>$1,063,860</w:t>
            </w:r>
          </w:p>
        </w:tc>
        <w:tc>
          <w:tcPr>
            <w:tcW w:w="1260" w:type="dxa"/>
            <w:vAlign w:val="bottom"/>
            <w:tcBorders>
              <w:bottom w:val="single" w:sz="8" w:color="3E8EDE"/>
            </w:tcBorders>
            <w:shd w:val="clear" w:color="auto" w:fill="E2EEFA"/>
          </w:tcPr>
          <w:p>
            <w:pPr>
              <w:jc w:val="right"/>
              <w:ind w:right="99"/>
              <w:spacing w:after="0"/>
              <w:rPr>
                <w:sz w:val="20"/>
                <w:szCs w:val="20"/>
                <w:color w:val="auto"/>
              </w:rPr>
            </w:pPr>
            <w:r>
              <w:rPr>
                <w:rFonts w:ascii="Arial" w:cs="Arial" w:eastAsia="Arial" w:hAnsi="Arial"/>
                <w:sz w:val="17"/>
                <w:szCs w:val="17"/>
                <w:color w:val="auto"/>
              </w:rPr>
              <w:t>$1,095,707</w:t>
            </w:r>
          </w:p>
        </w:tc>
        <w:tc>
          <w:tcPr>
            <w:tcW w:w="96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2.99%</w:t>
            </w:r>
          </w:p>
        </w:tc>
      </w:tr>
      <w:tr>
        <w:trPr>
          <w:trHeight w:val="232"/>
        </w:trPr>
        <w:tc>
          <w:tcPr>
            <w:tcW w:w="4360" w:type="dxa"/>
            <w:vAlign w:val="bottom"/>
            <w:tcBorders>
              <w:bottom w:val="single" w:sz="8" w:color="3E8EDE"/>
            </w:tcBorders>
          </w:tcPr>
          <w:p>
            <w:pPr>
              <w:spacing w:after="0"/>
              <w:rPr>
                <w:sz w:val="20"/>
                <w:szCs w:val="20"/>
                <w:color w:val="auto"/>
              </w:rPr>
            </w:pPr>
            <w:r>
              <w:rPr>
                <w:rFonts w:ascii="Arial" w:cs="Arial" w:eastAsia="Arial" w:hAnsi="Arial"/>
                <w:sz w:val="17"/>
                <w:szCs w:val="17"/>
                <w:color w:val="auto"/>
              </w:rPr>
              <w:t> Karen L. Burton</w:t>
            </w:r>
          </w:p>
        </w:tc>
        <w:tc>
          <w:tcPr>
            <w:tcW w:w="3980" w:type="dxa"/>
            <w:vAlign w:val="bottom"/>
            <w:tcBorders>
              <w:bottom w:val="single" w:sz="8" w:color="3E8EDE"/>
            </w:tcBorders>
          </w:tcPr>
          <w:p>
            <w:pPr>
              <w:jc w:val="center"/>
              <w:ind w:left="2639"/>
              <w:spacing w:after="0"/>
              <w:rPr>
                <w:sz w:val="20"/>
                <w:szCs w:val="20"/>
                <w:color w:val="auto"/>
              </w:rPr>
            </w:pPr>
            <w:r>
              <w:rPr>
                <w:rFonts w:ascii="Arial" w:cs="Arial" w:eastAsia="Arial" w:hAnsi="Arial"/>
                <w:sz w:val="17"/>
                <w:szCs w:val="17"/>
                <w:color w:val="auto"/>
                <w:w w:val="98"/>
              </w:rPr>
              <w:t>$411,539</w:t>
            </w:r>
          </w:p>
        </w:tc>
        <w:tc>
          <w:tcPr>
            <w:tcW w:w="1260" w:type="dxa"/>
            <w:vAlign w:val="bottom"/>
            <w:tcBorders>
              <w:bottom w:val="single" w:sz="8" w:color="3E8EDE"/>
            </w:tcBorders>
          </w:tcPr>
          <w:p>
            <w:pPr>
              <w:jc w:val="right"/>
              <w:ind w:right="139"/>
              <w:spacing w:after="0"/>
              <w:rPr>
                <w:sz w:val="20"/>
                <w:szCs w:val="20"/>
                <w:color w:val="auto"/>
              </w:rPr>
            </w:pPr>
            <w:r>
              <w:rPr>
                <w:rFonts w:ascii="Arial" w:cs="Arial" w:eastAsia="Arial" w:hAnsi="Arial"/>
                <w:sz w:val="17"/>
                <w:szCs w:val="17"/>
                <w:color w:val="auto"/>
              </w:rPr>
              <w:t>$530,762</w:t>
            </w:r>
          </w:p>
        </w:tc>
        <w:tc>
          <w:tcPr>
            <w:tcW w:w="960" w:type="dxa"/>
            <w:vAlign w:val="bottom"/>
            <w:tcBorders>
              <w:bottom w:val="single" w:sz="8" w:color="3E8EDE"/>
            </w:tcBorders>
          </w:tcPr>
          <w:p>
            <w:pPr>
              <w:jc w:val="center"/>
              <w:ind w:left="118"/>
              <w:spacing w:after="0"/>
              <w:rPr>
                <w:sz w:val="20"/>
                <w:szCs w:val="20"/>
                <w:color w:val="auto"/>
              </w:rPr>
            </w:pPr>
            <w:r>
              <w:rPr>
                <w:rFonts w:ascii="Arial" w:cs="Arial" w:eastAsia="Arial" w:hAnsi="Arial"/>
                <w:sz w:val="17"/>
                <w:szCs w:val="17"/>
                <w:color w:val="auto"/>
              </w:rPr>
              <w:t>28.97%</w:t>
            </w:r>
          </w:p>
        </w:tc>
      </w:tr>
      <w:tr>
        <w:trPr>
          <w:trHeight w:val="239"/>
        </w:trPr>
        <w:tc>
          <w:tcPr>
            <w:tcW w:w="4360" w:type="dxa"/>
            <w:vAlign w:val="bottom"/>
            <w:tcBorders>
              <w:bottom w:val="single" w:sz="8" w:color="3E8EDE"/>
            </w:tcBorders>
            <w:shd w:val="clear" w:color="auto" w:fill="E2EEFA"/>
          </w:tcPr>
          <w:p>
            <w:pPr>
              <w:spacing w:after="0"/>
              <w:rPr>
                <w:sz w:val="20"/>
                <w:szCs w:val="20"/>
                <w:color w:val="auto"/>
              </w:rPr>
            </w:pPr>
            <w:r>
              <w:rPr>
                <w:rFonts w:ascii="Arial" w:cs="Arial" w:eastAsia="Arial" w:hAnsi="Arial"/>
                <w:sz w:val="17"/>
                <w:szCs w:val="17"/>
                <w:color w:val="auto"/>
              </w:rPr>
              <w:t> Michael J. Tokich</w:t>
            </w:r>
          </w:p>
        </w:tc>
        <w:tc>
          <w:tcPr>
            <w:tcW w:w="3980" w:type="dxa"/>
            <w:vAlign w:val="bottom"/>
            <w:tcBorders>
              <w:bottom w:val="single" w:sz="8" w:color="3E8EDE"/>
            </w:tcBorders>
            <w:shd w:val="clear" w:color="auto" w:fill="E2EEFA"/>
          </w:tcPr>
          <w:p>
            <w:pPr>
              <w:jc w:val="center"/>
              <w:ind w:left="2659"/>
              <w:spacing w:after="0"/>
              <w:rPr>
                <w:sz w:val="20"/>
                <w:szCs w:val="20"/>
                <w:color w:val="auto"/>
              </w:rPr>
            </w:pPr>
            <w:r>
              <w:rPr>
                <w:rFonts w:ascii="Arial" w:cs="Arial" w:eastAsia="Arial" w:hAnsi="Arial"/>
                <w:sz w:val="17"/>
                <w:szCs w:val="17"/>
                <w:color w:val="auto"/>
              </w:rPr>
              <w:t>$633,463</w:t>
            </w:r>
          </w:p>
        </w:tc>
        <w:tc>
          <w:tcPr>
            <w:tcW w:w="1260" w:type="dxa"/>
            <w:vAlign w:val="bottom"/>
            <w:tcBorders>
              <w:bottom w:val="single" w:sz="8" w:color="3E8EDE"/>
            </w:tcBorders>
            <w:shd w:val="clear" w:color="auto" w:fill="E2EEFA"/>
          </w:tcPr>
          <w:p>
            <w:pPr>
              <w:jc w:val="right"/>
              <w:ind w:right="139"/>
              <w:spacing w:after="0"/>
              <w:rPr>
                <w:sz w:val="20"/>
                <w:szCs w:val="20"/>
                <w:color w:val="auto"/>
              </w:rPr>
            </w:pPr>
            <w:r>
              <w:rPr>
                <w:rFonts w:ascii="Arial" w:cs="Arial" w:eastAsia="Arial" w:hAnsi="Arial"/>
                <w:sz w:val="17"/>
                <w:szCs w:val="17"/>
                <w:color w:val="auto"/>
              </w:rPr>
              <w:t>$511,409</w:t>
            </w:r>
          </w:p>
        </w:tc>
        <w:tc>
          <w:tcPr>
            <w:tcW w:w="960" w:type="dxa"/>
            <w:vAlign w:val="bottom"/>
            <w:tcBorders>
              <w:bottom w:val="single" w:sz="8" w:color="3E8EDE"/>
            </w:tcBorders>
            <w:shd w:val="clear" w:color="auto" w:fill="E2EEFA"/>
          </w:tcPr>
          <w:p>
            <w:pPr>
              <w:jc w:val="center"/>
              <w:ind w:left="118"/>
              <w:spacing w:after="0"/>
              <w:rPr>
                <w:sz w:val="20"/>
                <w:szCs w:val="20"/>
                <w:color w:val="auto"/>
              </w:rPr>
            </w:pPr>
            <w:r>
              <w:rPr>
                <w:rFonts w:ascii="Arial" w:cs="Arial" w:eastAsia="Arial" w:hAnsi="Arial"/>
                <w:sz w:val="17"/>
                <w:szCs w:val="17"/>
                <w:color w:val="auto"/>
              </w:rPr>
              <w:t>-19.27%</w:t>
            </w:r>
          </w:p>
        </w:tc>
      </w:tr>
      <w:tr>
        <w:trPr>
          <w:trHeight w:val="239"/>
        </w:trPr>
        <w:tc>
          <w:tcPr>
            <w:tcW w:w="4360" w:type="dxa"/>
            <w:vAlign w:val="bottom"/>
            <w:tcBorders>
              <w:bottom w:val="single" w:sz="8" w:color="3E8EDE"/>
            </w:tcBorders>
          </w:tcPr>
          <w:p>
            <w:pPr>
              <w:spacing w:after="0"/>
              <w:rPr>
                <w:sz w:val="20"/>
                <w:szCs w:val="20"/>
                <w:color w:val="auto"/>
              </w:rPr>
            </w:pPr>
            <w:r>
              <w:rPr>
                <w:rFonts w:ascii="Arial" w:cs="Arial" w:eastAsia="Arial" w:hAnsi="Arial"/>
                <w:sz w:val="17"/>
                <w:szCs w:val="17"/>
                <w:color w:val="auto"/>
              </w:rPr>
              <w:t> J. Adam Zangerle</w:t>
            </w:r>
          </w:p>
        </w:tc>
        <w:tc>
          <w:tcPr>
            <w:tcW w:w="3980" w:type="dxa"/>
            <w:vAlign w:val="bottom"/>
            <w:tcBorders>
              <w:bottom w:val="single" w:sz="8" w:color="3E8EDE"/>
            </w:tcBorders>
          </w:tcPr>
          <w:p>
            <w:pPr>
              <w:jc w:val="center"/>
              <w:ind w:left="2639"/>
              <w:spacing w:after="0"/>
              <w:rPr>
                <w:sz w:val="20"/>
                <w:szCs w:val="20"/>
                <w:color w:val="auto"/>
              </w:rPr>
            </w:pPr>
            <w:r>
              <w:rPr>
                <w:rFonts w:ascii="Arial" w:cs="Arial" w:eastAsia="Arial" w:hAnsi="Arial"/>
                <w:sz w:val="17"/>
                <w:szCs w:val="17"/>
                <w:color w:val="auto"/>
                <w:w w:val="98"/>
              </w:rPr>
              <w:t>$553,511</w:t>
            </w:r>
          </w:p>
        </w:tc>
        <w:tc>
          <w:tcPr>
            <w:tcW w:w="1260" w:type="dxa"/>
            <w:vAlign w:val="bottom"/>
            <w:tcBorders>
              <w:bottom w:val="single" w:sz="8" w:color="3E8EDE"/>
            </w:tcBorders>
          </w:tcPr>
          <w:p>
            <w:pPr>
              <w:jc w:val="right"/>
              <w:ind w:right="139"/>
              <w:spacing w:after="0"/>
              <w:rPr>
                <w:sz w:val="20"/>
                <w:szCs w:val="20"/>
                <w:color w:val="auto"/>
              </w:rPr>
            </w:pPr>
            <w:r>
              <w:rPr>
                <w:rFonts w:ascii="Arial" w:cs="Arial" w:eastAsia="Arial" w:hAnsi="Arial"/>
                <w:sz w:val="17"/>
                <w:szCs w:val="17"/>
                <w:color w:val="auto"/>
              </w:rPr>
              <w:t>$570,417</w:t>
            </w:r>
          </w:p>
        </w:tc>
        <w:tc>
          <w:tcPr>
            <w:tcW w:w="960" w:type="dxa"/>
            <w:vAlign w:val="bottom"/>
            <w:tcBorders>
              <w:bottom w:val="single" w:sz="8" w:color="3E8EDE"/>
            </w:tcBorders>
          </w:tcPr>
          <w:p>
            <w:pPr>
              <w:jc w:val="center"/>
              <w:ind w:left="118"/>
              <w:spacing w:after="0"/>
              <w:rPr>
                <w:sz w:val="20"/>
                <w:szCs w:val="20"/>
                <w:color w:val="auto"/>
              </w:rPr>
            </w:pPr>
            <w:r>
              <w:rPr>
                <w:rFonts w:ascii="Arial" w:cs="Arial" w:eastAsia="Arial" w:hAnsi="Arial"/>
                <w:sz w:val="17"/>
                <w:szCs w:val="17"/>
                <w:color w:val="auto"/>
                <w:w w:val="96"/>
              </w:rPr>
              <w:t>  3.05%</w:t>
            </w:r>
          </w:p>
        </w:tc>
      </w:tr>
      <w:tr>
        <w:trPr>
          <w:trHeight w:val="239"/>
        </w:trPr>
        <w:tc>
          <w:tcPr>
            <w:tcW w:w="4360" w:type="dxa"/>
            <w:vAlign w:val="bottom"/>
            <w:tcBorders>
              <w:bottom w:val="single" w:sz="8" w:color="3E8EDE"/>
            </w:tcBorders>
            <w:shd w:val="clear" w:color="auto" w:fill="E2EEFA"/>
          </w:tcPr>
          <w:p>
            <w:pPr>
              <w:spacing w:after="0"/>
              <w:rPr>
                <w:sz w:val="20"/>
                <w:szCs w:val="20"/>
                <w:color w:val="auto"/>
              </w:rPr>
            </w:pPr>
            <w:r>
              <w:rPr>
                <w:rFonts w:ascii="Arial" w:cs="Arial" w:eastAsia="Arial" w:hAnsi="Arial"/>
                <w:sz w:val="17"/>
                <w:szCs w:val="17"/>
                <w:color w:val="auto"/>
              </w:rPr>
              <w:t> Cary L. Majors</w:t>
            </w:r>
          </w:p>
        </w:tc>
        <w:tc>
          <w:tcPr>
            <w:tcW w:w="3980" w:type="dxa"/>
            <w:vAlign w:val="bottom"/>
            <w:tcBorders>
              <w:bottom w:val="single" w:sz="8" w:color="3E8EDE"/>
            </w:tcBorders>
            <w:shd w:val="clear" w:color="auto" w:fill="E2EEFA"/>
          </w:tcPr>
          <w:p>
            <w:pPr>
              <w:jc w:val="center"/>
              <w:ind w:left="2659"/>
              <w:spacing w:after="0"/>
              <w:rPr>
                <w:sz w:val="20"/>
                <w:szCs w:val="20"/>
                <w:color w:val="auto"/>
              </w:rPr>
            </w:pPr>
            <w:r>
              <w:rPr>
                <w:rFonts w:ascii="Arial" w:cs="Arial" w:eastAsia="Arial" w:hAnsi="Arial"/>
                <w:sz w:val="17"/>
                <w:szCs w:val="17"/>
                <w:color w:val="auto"/>
              </w:rPr>
              <w:t>$519,247</w:t>
            </w:r>
          </w:p>
        </w:tc>
        <w:tc>
          <w:tcPr>
            <w:tcW w:w="1260" w:type="dxa"/>
            <w:vAlign w:val="bottom"/>
            <w:tcBorders>
              <w:bottom w:val="single" w:sz="8" w:color="3E8EDE"/>
            </w:tcBorders>
            <w:shd w:val="clear" w:color="auto" w:fill="E2EEFA"/>
          </w:tcPr>
          <w:p>
            <w:pPr>
              <w:jc w:val="right"/>
              <w:ind w:right="139"/>
              <w:spacing w:after="0"/>
              <w:rPr>
                <w:sz w:val="20"/>
                <w:szCs w:val="20"/>
                <w:color w:val="auto"/>
              </w:rPr>
            </w:pPr>
            <w:r>
              <w:rPr>
                <w:rFonts w:ascii="Arial" w:cs="Arial" w:eastAsia="Arial" w:hAnsi="Arial"/>
                <w:sz w:val="17"/>
                <w:szCs w:val="17"/>
                <w:color w:val="auto"/>
              </w:rPr>
              <w:t>$537,116</w:t>
            </w:r>
          </w:p>
        </w:tc>
        <w:tc>
          <w:tcPr>
            <w:tcW w:w="960" w:type="dxa"/>
            <w:vAlign w:val="bottom"/>
            <w:tcBorders>
              <w:bottom w:val="single" w:sz="8" w:color="3E8EDE"/>
            </w:tcBorders>
            <w:shd w:val="clear" w:color="auto" w:fill="E2EEFA"/>
          </w:tcPr>
          <w:p>
            <w:pPr>
              <w:jc w:val="center"/>
              <w:ind w:left="118"/>
              <w:spacing w:after="0"/>
              <w:rPr>
                <w:sz w:val="20"/>
                <w:szCs w:val="20"/>
                <w:color w:val="auto"/>
              </w:rPr>
            </w:pPr>
            <w:r>
              <w:rPr>
                <w:rFonts w:ascii="Arial" w:cs="Arial" w:eastAsia="Arial" w:hAnsi="Arial"/>
                <w:sz w:val="17"/>
                <w:szCs w:val="17"/>
                <w:color w:val="auto"/>
                <w:w w:val="96"/>
              </w:rPr>
              <w:t>  3.44%</w:t>
            </w:r>
          </w:p>
        </w:tc>
      </w:tr>
      <w:tr>
        <w:trPr>
          <w:trHeight w:val="239"/>
        </w:trPr>
        <w:tc>
          <w:tcPr>
            <w:tcW w:w="4360" w:type="dxa"/>
            <w:vAlign w:val="bottom"/>
            <w:tcBorders>
              <w:bottom w:val="single" w:sz="8" w:color="3E8EDE"/>
            </w:tcBorders>
          </w:tcPr>
          <w:p>
            <w:pPr>
              <w:spacing w:after="0"/>
              <w:rPr>
                <w:sz w:val="20"/>
                <w:szCs w:val="20"/>
                <w:color w:val="auto"/>
              </w:rPr>
            </w:pPr>
            <w:r>
              <w:rPr>
                <w:rFonts w:ascii="Arial" w:cs="Arial" w:eastAsia="Arial" w:hAnsi="Arial"/>
                <w:sz w:val="17"/>
                <w:szCs w:val="17"/>
                <w:color w:val="auto"/>
              </w:rPr>
              <w:t> Mary Clare Fraser</w:t>
            </w:r>
          </w:p>
        </w:tc>
        <w:tc>
          <w:tcPr>
            <w:tcW w:w="3980" w:type="dxa"/>
            <w:vAlign w:val="bottom"/>
            <w:tcBorders>
              <w:bottom w:val="single" w:sz="8" w:color="3E8EDE"/>
            </w:tcBorders>
          </w:tcPr>
          <w:p>
            <w:pPr>
              <w:jc w:val="center"/>
              <w:ind w:left="2659"/>
              <w:spacing w:after="0"/>
              <w:rPr>
                <w:sz w:val="20"/>
                <w:szCs w:val="20"/>
                <w:color w:val="auto"/>
              </w:rPr>
            </w:pPr>
            <w:r>
              <w:rPr>
                <w:rFonts w:ascii="Arial" w:cs="Arial" w:eastAsia="Arial" w:hAnsi="Arial"/>
                <w:sz w:val="17"/>
                <w:szCs w:val="17"/>
                <w:color w:val="auto"/>
              </w:rPr>
              <w:t>$447,934</w:t>
            </w:r>
          </w:p>
        </w:tc>
        <w:tc>
          <w:tcPr>
            <w:tcW w:w="1260" w:type="dxa"/>
            <w:vAlign w:val="bottom"/>
            <w:tcBorders>
              <w:bottom w:val="single" w:sz="8" w:color="3E8EDE"/>
            </w:tcBorders>
          </w:tcPr>
          <w:p>
            <w:pPr>
              <w:jc w:val="right"/>
              <w:ind w:right="139"/>
              <w:spacing w:after="0"/>
              <w:rPr>
                <w:sz w:val="20"/>
                <w:szCs w:val="20"/>
                <w:color w:val="auto"/>
              </w:rPr>
            </w:pPr>
            <w:r>
              <w:rPr>
                <w:rFonts w:ascii="Arial" w:cs="Arial" w:eastAsia="Arial" w:hAnsi="Arial"/>
                <w:sz w:val="17"/>
                <w:szCs w:val="17"/>
                <w:color w:val="auto"/>
              </w:rPr>
              <w:t>$461,615</w:t>
            </w:r>
          </w:p>
        </w:tc>
        <w:tc>
          <w:tcPr>
            <w:tcW w:w="960" w:type="dxa"/>
            <w:vAlign w:val="bottom"/>
            <w:tcBorders>
              <w:bottom w:val="single" w:sz="8" w:color="3E8EDE"/>
            </w:tcBorders>
          </w:tcPr>
          <w:p>
            <w:pPr>
              <w:jc w:val="center"/>
              <w:ind w:left="118"/>
              <w:spacing w:after="0"/>
              <w:rPr>
                <w:sz w:val="20"/>
                <w:szCs w:val="20"/>
                <w:color w:val="auto"/>
              </w:rPr>
            </w:pPr>
            <w:r>
              <w:rPr>
                <w:rFonts w:ascii="Arial" w:cs="Arial" w:eastAsia="Arial" w:hAnsi="Arial"/>
                <w:sz w:val="17"/>
                <w:szCs w:val="17"/>
                <w:color w:val="auto"/>
                <w:w w:val="96"/>
              </w:rPr>
              <w:t>  3.05%</w:t>
            </w:r>
          </w:p>
        </w:tc>
      </w:tr>
    </w:tbl>
    <w:p>
      <w:pPr>
        <w:spacing w:after="0" w:line="291"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STERIS Annual Incentive Compensation (Cash Bonus)</w:t>
      </w:r>
    </w:p>
    <w:p>
      <w:pPr>
        <w:spacing w:after="0" w:line="90" w:lineRule="exact"/>
        <w:rPr>
          <w:sz w:val="20"/>
          <w:szCs w:val="20"/>
          <w:color w:val="auto"/>
        </w:rPr>
      </w:pPr>
    </w:p>
    <w:p>
      <w:pPr>
        <w:ind w:left="340"/>
        <w:spacing w:after="0" w:line="239" w:lineRule="auto"/>
        <w:rPr>
          <w:sz w:val="20"/>
          <w:szCs w:val="20"/>
          <w:color w:val="auto"/>
        </w:rPr>
      </w:pPr>
      <w:r>
        <w:rPr>
          <w:rFonts w:ascii="Arial" w:cs="Arial" w:eastAsia="Arial" w:hAnsi="Arial"/>
          <w:sz w:val="19"/>
          <w:szCs w:val="19"/>
          <w:color w:val="auto"/>
        </w:rPr>
        <w:t>The Company’s Management Incentive Compensation Plan (“MICP” or “Plan”) is generally designed to set target bonus opportunities to reflect the market median for comparable positions and to produce median cash bonus compensation if target results are achieved. Bonus opportunities also are structured to be sufficient to produce top quartile cash compensation when maximum goals are achieved.</w:t>
      </w:r>
    </w:p>
    <w:p>
      <w:pPr>
        <w:spacing w:after="0" w:line="166" w:lineRule="exact"/>
        <w:rPr>
          <w:sz w:val="20"/>
          <w:szCs w:val="20"/>
          <w:color w:val="auto"/>
        </w:rPr>
      </w:pPr>
    </w:p>
    <w:p>
      <w:pPr>
        <w:ind w:left="340" w:right="240"/>
        <w:spacing w:after="0" w:line="244" w:lineRule="auto"/>
        <w:rPr>
          <w:sz w:val="20"/>
          <w:szCs w:val="20"/>
          <w:color w:val="auto"/>
        </w:rPr>
      </w:pPr>
      <w:r>
        <w:rPr>
          <w:rFonts w:ascii="Arial" w:cs="Arial" w:eastAsia="Arial" w:hAnsi="Arial"/>
          <w:sz w:val="19"/>
          <w:szCs w:val="19"/>
          <w:color w:val="auto"/>
        </w:rPr>
        <w:t>In general, if threshold levels of performance are not exceeded, executives earn no bonus and their resulting compensation levels are in the bottom quartile. The foregoing performance to compensation relationships are all consistent with the Company’s pay-for-performance philosophy.</w:t>
      </w:r>
    </w:p>
    <w:p>
      <w:pPr>
        <w:spacing w:after="0" w:line="162" w:lineRule="exact"/>
        <w:rPr>
          <w:sz w:val="20"/>
          <w:szCs w:val="20"/>
          <w:color w:val="auto"/>
        </w:rPr>
      </w:pPr>
    </w:p>
    <w:p>
      <w:pPr>
        <w:ind w:left="340"/>
        <w:spacing w:after="0" w:line="235" w:lineRule="auto"/>
        <w:rPr>
          <w:sz w:val="20"/>
          <w:szCs w:val="20"/>
          <w:color w:val="auto"/>
        </w:rPr>
      </w:pPr>
      <w:r>
        <w:rPr>
          <w:rFonts w:ascii="Arial" w:cs="Arial" w:eastAsia="Arial" w:hAnsi="Arial"/>
          <w:sz w:val="19"/>
          <w:szCs w:val="19"/>
          <w:color w:val="auto"/>
        </w:rPr>
        <w:t>In fiscal 2026, all executive officers of the Company were selected by the Committee for participation in the MICP at or prior to the beginning of the fiscal year. Also, at the beginning of the fiscal year, the Committee approved general metrics for the MICP for fiscal 2026 participants. These metrics are described below and are consistent with measures utilized by the Company in prior years. An individual’s annual incentive compensation target (target bonus level) was expressed as a percentage of base salary. The incentive compensation target bonus level was based upon each participant’s level of responsibility.</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Target bonus levels as a percentage of base salary for fiscal 2026 were as follows for each named executive officer:</w:t>
      </w:r>
    </w:p>
    <w:p>
      <w:pPr>
        <w:spacing w:after="0" w:line="243" w:lineRule="exact"/>
        <w:rPr>
          <w:sz w:val="20"/>
          <w:szCs w:val="20"/>
          <w:color w:val="auto"/>
        </w:rPr>
      </w:pPr>
    </w:p>
    <w:tbl>
      <w:tblPr>
        <w:tblLayout w:type="fixed"/>
        <w:tblInd w:w="340" w:type="dxa"/>
        <w:tblCellMar>
          <w:top w:w="0" w:type="dxa"/>
          <w:left w:w="0" w:type="dxa"/>
          <w:bottom w:w="0" w:type="dxa"/>
          <w:right w:w="0" w:type="dxa"/>
        </w:tblCellMar>
      </w:tblPr>
      <w:tr>
        <w:trPr>
          <w:trHeight w:val="185"/>
        </w:trPr>
        <w:tc>
          <w:tcPr>
            <w:tcW w:w="5540" w:type="dxa"/>
            <w:vAlign w:val="bottom"/>
            <w:shd w:val="clear" w:color="auto" w:fill="3E8EDE"/>
          </w:tcPr>
          <w:p>
            <w:pPr>
              <w:spacing w:after="0"/>
              <w:rPr>
                <w:sz w:val="16"/>
                <w:szCs w:val="16"/>
                <w:color w:val="auto"/>
              </w:rPr>
            </w:pPr>
          </w:p>
        </w:tc>
        <w:tc>
          <w:tcPr>
            <w:tcW w:w="5020" w:type="dxa"/>
            <w:vAlign w:val="bottom"/>
            <w:shd w:val="clear" w:color="auto" w:fill="3E8EDE"/>
          </w:tcPr>
          <w:p>
            <w:pPr>
              <w:jc w:val="right"/>
              <w:ind w:right="98"/>
              <w:spacing w:after="0"/>
              <w:rPr>
                <w:sz w:val="20"/>
                <w:szCs w:val="20"/>
                <w:color w:val="auto"/>
              </w:rPr>
            </w:pPr>
            <w:r>
              <w:rPr>
                <w:rFonts w:ascii="Arial" w:cs="Arial" w:eastAsia="Arial" w:hAnsi="Arial"/>
                <w:sz w:val="14"/>
                <w:szCs w:val="14"/>
                <w:b w:val="1"/>
                <w:bCs w:val="1"/>
                <w:color w:val="FFFFFF"/>
              </w:rPr>
              <w:t>Fiscal 2026</w:t>
            </w:r>
          </w:p>
        </w:tc>
      </w:tr>
      <w:tr>
        <w:trPr>
          <w:trHeight w:val="197"/>
        </w:trPr>
        <w:tc>
          <w:tcPr>
            <w:tcW w:w="5540" w:type="dxa"/>
            <w:vAlign w:val="bottom"/>
            <w:tcBorders>
              <w:bottom w:val="single" w:sz="8" w:color="3E8EDE"/>
            </w:tcBorders>
            <w:shd w:val="clear" w:color="auto" w:fill="3E8EDE"/>
          </w:tcPr>
          <w:p>
            <w:pPr>
              <w:spacing w:after="0"/>
              <w:rPr>
                <w:sz w:val="20"/>
                <w:szCs w:val="20"/>
                <w:color w:val="auto"/>
              </w:rPr>
            </w:pPr>
            <w:r>
              <w:rPr>
                <w:rFonts w:ascii="Arial" w:cs="Arial" w:eastAsia="Arial" w:hAnsi="Arial"/>
                <w:sz w:val="14"/>
                <w:szCs w:val="14"/>
                <w:b w:val="1"/>
                <w:bCs w:val="1"/>
                <w:color w:val="FFFFFF"/>
              </w:rPr>
              <w:t>  Name</w:t>
            </w:r>
          </w:p>
        </w:tc>
        <w:tc>
          <w:tcPr>
            <w:tcW w:w="5020" w:type="dxa"/>
            <w:vAlign w:val="bottom"/>
            <w:tcBorders>
              <w:bottom w:val="single" w:sz="8" w:color="3E8EDE"/>
            </w:tcBorders>
            <w:shd w:val="clear" w:color="auto" w:fill="3E8EDE"/>
          </w:tcPr>
          <w:p>
            <w:pPr>
              <w:jc w:val="right"/>
              <w:ind w:right="58"/>
              <w:spacing w:after="0"/>
              <w:rPr>
                <w:sz w:val="20"/>
                <w:szCs w:val="20"/>
                <w:color w:val="auto"/>
              </w:rPr>
            </w:pPr>
            <w:r>
              <w:rPr>
                <w:rFonts w:ascii="Arial" w:cs="Arial" w:eastAsia="Arial" w:hAnsi="Arial"/>
                <w:sz w:val="14"/>
                <w:szCs w:val="14"/>
                <w:b w:val="1"/>
                <w:bCs w:val="1"/>
                <w:color w:val="FFFFFF"/>
              </w:rPr>
              <w:t>Target Level</w:t>
            </w:r>
          </w:p>
        </w:tc>
      </w:tr>
      <w:tr>
        <w:trPr>
          <w:trHeight w:val="264"/>
        </w:trPr>
        <w:tc>
          <w:tcPr>
            <w:tcW w:w="5540" w:type="dxa"/>
            <w:vAlign w:val="bottom"/>
            <w:tcBorders>
              <w:bottom w:val="single" w:sz="8" w:color="E2EEFA"/>
            </w:tcBorders>
            <w:shd w:val="clear" w:color="auto" w:fill="E2EEFA"/>
          </w:tcPr>
          <w:p>
            <w:pPr>
              <w:spacing w:after="0"/>
              <w:rPr>
                <w:sz w:val="20"/>
                <w:szCs w:val="20"/>
                <w:color w:val="auto"/>
              </w:rPr>
            </w:pPr>
            <w:r>
              <w:rPr>
                <w:rFonts w:ascii="Arial" w:cs="Arial" w:eastAsia="Arial" w:hAnsi="Arial"/>
                <w:sz w:val="17"/>
                <w:szCs w:val="17"/>
                <w:color w:val="auto"/>
              </w:rPr>
              <w:t> Daniel A. Carestio</w:t>
            </w:r>
          </w:p>
        </w:tc>
        <w:tc>
          <w:tcPr>
            <w:tcW w:w="502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7"/>
                <w:szCs w:val="17"/>
                <w:color w:val="auto"/>
              </w:rPr>
              <w:t xml:space="preserve">125.0%     </w:t>
            </w:r>
          </w:p>
        </w:tc>
      </w:tr>
      <w:tr>
        <w:trPr>
          <w:trHeight w:val="232"/>
        </w:trPr>
        <w:tc>
          <w:tcPr>
            <w:tcW w:w="5540" w:type="dxa"/>
            <w:vAlign w:val="bottom"/>
            <w:tcBorders>
              <w:top w:val="single" w:sz="8" w:color="3E8EDE"/>
              <w:bottom w:val="single" w:sz="8" w:color="3E8EDE"/>
            </w:tcBorders>
          </w:tcPr>
          <w:p>
            <w:pPr>
              <w:spacing w:after="0"/>
              <w:rPr>
                <w:sz w:val="20"/>
                <w:szCs w:val="20"/>
                <w:color w:val="auto"/>
              </w:rPr>
            </w:pPr>
            <w:r>
              <w:rPr>
                <w:rFonts w:ascii="Arial" w:cs="Arial" w:eastAsia="Arial" w:hAnsi="Arial"/>
                <w:sz w:val="17"/>
                <w:szCs w:val="17"/>
                <w:color w:val="auto"/>
              </w:rPr>
              <w:t> Karen L. Burton</w:t>
            </w:r>
          </w:p>
        </w:tc>
        <w:tc>
          <w:tcPr>
            <w:tcW w:w="5020" w:type="dxa"/>
            <w:vAlign w:val="bottom"/>
            <w:tcBorders>
              <w:top w:val="single" w:sz="8" w:color="3E8EDE"/>
              <w:bottom w:val="single" w:sz="8" w:color="3E8EDE"/>
            </w:tcBorders>
          </w:tcPr>
          <w:p>
            <w:pPr>
              <w:jc w:val="right"/>
              <w:spacing w:after="0"/>
              <w:rPr>
                <w:sz w:val="20"/>
                <w:szCs w:val="20"/>
                <w:color w:val="auto"/>
              </w:rPr>
            </w:pPr>
            <w:r>
              <w:rPr>
                <w:rFonts w:ascii="Arial" w:cs="Arial" w:eastAsia="Arial" w:hAnsi="Arial"/>
                <w:sz w:val="17"/>
                <w:szCs w:val="17"/>
                <w:color w:val="auto"/>
              </w:rPr>
              <w:t xml:space="preserve">75.0%     </w:t>
            </w:r>
          </w:p>
        </w:tc>
      </w:tr>
      <w:tr>
        <w:trPr>
          <w:trHeight w:val="239"/>
        </w:trPr>
        <w:tc>
          <w:tcPr>
            <w:tcW w:w="5540" w:type="dxa"/>
            <w:vAlign w:val="bottom"/>
            <w:tcBorders>
              <w:bottom w:val="single" w:sz="8" w:color="3E8EDE"/>
            </w:tcBorders>
            <w:shd w:val="clear" w:color="auto" w:fill="E2EEFA"/>
          </w:tcPr>
          <w:p>
            <w:pPr>
              <w:spacing w:after="0"/>
              <w:rPr>
                <w:sz w:val="20"/>
                <w:szCs w:val="20"/>
                <w:color w:val="auto"/>
              </w:rPr>
            </w:pPr>
            <w:r>
              <w:rPr>
                <w:rFonts w:ascii="Arial" w:cs="Arial" w:eastAsia="Arial" w:hAnsi="Arial"/>
                <w:sz w:val="17"/>
                <w:szCs w:val="17"/>
                <w:color w:val="auto"/>
              </w:rPr>
              <w:t> Michael J. Tokich</w:t>
            </w:r>
          </w:p>
        </w:tc>
        <w:tc>
          <w:tcPr>
            <w:tcW w:w="50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 xml:space="preserve">75.0%     </w:t>
            </w:r>
          </w:p>
        </w:tc>
      </w:tr>
      <w:tr>
        <w:trPr>
          <w:trHeight w:val="239"/>
        </w:trPr>
        <w:tc>
          <w:tcPr>
            <w:tcW w:w="5540" w:type="dxa"/>
            <w:vAlign w:val="bottom"/>
            <w:tcBorders>
              <w:bottom w:val="single" w:sz="8" w:color="3E8EDE"/>
            </w:tcBorders>
          </w:tcPr>
          <w:p>
            <w:pPr>
              <w:spacing w:after="0"/>
              <w:rPr>
                <w:sz w:val="20"/>
                <w:szCs w:val="20"/>
                <w:color w:val="auto"/>
              </w:rPr>
            </w:pPr>
            <w:r>
              <w:rPr>
                <w:rFonts w:ascii="Arial" w:cs="Arial" w:eastAsia="Arial" w:hAnsi="Arial"/>
                <w:sz w:val="17"/>
                <w:szCs w:val="17"/>
                <w:color w:val="auto"/>
              </w:rPr>
              <w:t> J. Adam Zangerle</w:t>
            </w:r>
          </w:p>
        </w:tc>
        <w:tc>
          <w:tcPr>
            <w:tcW w:w="502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 xml:space="preserve">75.0%     </w:t>
            </w:r>
          </w:p>
        </w:tc>
      </w:tr>
      <w:tr>
        <w:trPr>
          <w:trHeight w:val="239"/>
        </w:trPr>
        <w:tc>
          <w:tcPr>
            <w:tcW w:w="5540" w:type="dxa"/>
            <w:vAlign w:val="bottom"/>
            <w:tcBorders>
              <w:bottom w:val="single" w:sz="8" w:color="3E8EDE"/>
            </w:tcBorders>
            <w:shd w:val="clear" w:color="auto" w:fill="E2EEFA"/>
          </w:tcPr>
          <w:p>
            <w:pPr>
              <w:spacing w:after="0"/>
              <w:rPr>
                <w:sz w:val="20"/>
                <w:szCs w:val="20"/>
                <w:color w:val="auto"/>
              </w:rPr>
            </w:pPr>
            <w:r>
              <w:rPr>
                <w:rFonts w:ascii="Arial" w:cs="Arial" w:eastAsia="Arial" w:hAnsi="Arial"/>
                <w:sz w:val="17"/>
                <w:szCs w:val="17"/>
                <w:color w:val="auto"/>
              </w:rPr>
              <w:t> Cary L. Majors</w:t>
            </w:r>
          </w:p>
        </w:tc>
        <w:tc>
          <w:tcPr>
            <w:tcW w:w="50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 xml:space="preserve">70.0%     </w:t>
            </w:r>
          </w:p>
        </w:tc>
      </w:tr>
      <w:tr>
        <w:trPr>
          <w:trHeight w:val="239"/>
        </w:trPr>
        <w:tc>
          <w:tcPr>
            <w:tcW w:w="5540" w:type="dxa"/>
            <w:vAlign w:val="bottom"/>
            <w:tcBorders>
              <w:bottom w:val="single" w:sz="8" w:color="3E8EDE"/>
            </w:tcBorders>
          </w:tcPr>
          <w:p>
            <w:pPr>
              <w:spacing w:after="0"/>
              <w:rPr>
                <w:sz w:val="20"/>
                <w:szCs w:val="20"/>
                <w:color w:val="auto"/>
              </w:rPr>
            </w:pPr>
            <w:r>
              <w:rPr>
                <w:rFonts w:ascii="Arial" w:cs="Arial" w:eastAsia="Arial" w:hAnsi="Arial"/>
                <w:sz w:val="17"/>
                <w:szCs w:val="17"/>
                <w:color w:val="auto"/>
              </w:rPr>
              <w:t> Mary Clare Fraser</w:t>
            </w:r>
          </w:p>
        </w:tc>
        <w:tc>
          <w:tcPr>
            <w:tcW w:w="502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 xml:space="preserve">65.0%     </w:t>
            </w:r>
          </w:p>
        </w:tc>
      </w:tr>
    </w:tbl>
    <w:p>
      <w:pPr>
        <w:spacing w:after="0" w:line="186" w:lineRule="exact"/>
        <w:rPr>
          <w:sz w:val="20"/>
          <w:szCs w:val="20"/>
          <w:color w:val="auto"/>
        </w:rPr>
      </w:pPr>
    </w:p>
    <w:p>
      <w:pPr>
        <w:ind w:left="340" w:right="180"/>
        <w:spacing w:after="0" w:line="234" w:lineRule="auto"/>
        <w:rPr>
          <w:sz w:val="20"/>
          <w:szCs w:val="20"/>
          <w:color w:val="auto"/>
        </w:rPr>
      </w:pPr>
      <w:r>
        <w:rPr>
          <w:rFonts w:ascii="Arial" w:cs="Arial" w:eastAsia="Arial" w:hAnsi="Arial"/>
          <w:sz w:val="19"/>
          <w:szCs w:val="19"/>
          <w:color w:val="auto"/>
        </w:rPr>
        <w:t>The fiscal 2026 bonuses for each named executive officer were based on performance against full fiscal year 2026 financial objectives and could range from 0% to a maximum of 200% of target bonus based on actual performance. Ms. Burton’s bonus percentage is included above at the target for her role as Senior Vice President and CFO. Her bonus payout for fiscal year 2026 was pro-rated to reflect the time in her previous role as Vice President and Chief Accounting Officer until August 18, 2025 and her new role as Senior Vice President and CFO since August 18, 2025. Per the MICP provisions, the Committee also had the ability to modify the bonuses of each named executive officer based upon performance against individual objectives.</w:t>
      </w:r>
    </w:p>
    <w:p>
      <w:pPr>
        <w:spacing w:after="0" w:line="166" w:lineRule="exact"/>
        <w:rPr>
          <w:sz w:val="20"/>
          <w:szCs w:val="20"/>
          <w:color w:val="auto"/>
        </w:rPr>
      </w:pPr>
    </w:p>
    <w:p>
      <w:pPr>
        <w:ind w:left="340"/>
        <w:spacing w:after="0" w:line="234" w:lineRule="auto"/>
        <w:rPr>
          <w:sz w:val="20"/>
          <w:szCs w:val="20"/>
          <w:color w:val="auto"/>
        </w:rPr>
      </w:pPr>
      <w:r>
        <w:rPr>
          <w:rFonts w:ascii="Arial" w:cs="Arial" w:eastAsia="Arial" w:hAnsi="Arial"/>
          <w:sz w:val="19"/>
          <w:szCs w:val="19"/>
          <w:color w:val="auto"/>
        </w:rPr>
        <w:t>Financial targets were based on the Company’s operating plan financial metrics for the 2026 fiscal year, as reviewed with the Committee and approved by the Board. The Committee and the Board evaluate the annual operating plan and consider financial metrics important to shareholder value and that support the overall strength and success of the Company’s business. After consideration of the consultant’s compensation data, the recommendation of management, and approval of the Company’s operating plan, the Company financial performance metrics described below were identified and approved by the Committee to establish criteria for calculating bonus compensation targets under the Company’s incentive compensation plans.</w:t>
      </w:r>
    </w:p>
    <w:p>
      <w:pPr>
        <w:spacing w:after="0" w:line="166" w:lineRule="exact"/>
        <w:rPr>
          <w:sz w:val="20"/>
          <w:szCs w:val="20"/>
          <w:color w:val="auto"/>
        </w:rPr>
      </w:pPr>
    </w:p>
    <w:p>
      <w:pPr>
        <w:ind w:left="340" w:right="500"/>
        <w:spacing w:after="0" w:line="262" w:lineRule="auto"/>
        <w:rPr>
          <w:sz w:val="20"/>
          <w:szCs w:val="20"/>
          <w:color w:val="auto"/>
        </w:rPr>
      </w:pPr>
      <w:r>
        <w:rPr>
          <w:rFonts w:ascii="Arial" w:cs="Arial" w:eastAsia="Arial" w:hAnsi="Arial"/>
          <w:sz w:val="19"/>
          <w:szCs w:val="19"/>
          <w:color w:val="auto"/>
        </w:rPr>
        <w:t>Consistent with STERIS’s practices for the past several years, for fiscal year 2026 the Committee determined applicable financial metrics and weighting to be:</w:t>
      </w:r>
    </w:p>
    <w:p>
      <w:pPr>
        <w:spacing w:after="0" w:line="170" w:lineRule="exact"/>
        <w:rPr>
          <w:sz w:val="20"/>
          <w:szCs w:val="20"/>
          <w:color w:val="auto"/>
        </w:rPr>
      </w:pPr>
    </w:p>
    <w:p>
      <w:pPr>
        <w:ind w:left="540" w:hanging="200"/>
        <w:spacing w:after="0"/>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Adjusted earnings before interest and taxes (“Adjusted EBIT”)—75% weighting, and</w:t>
      </w:r>
    </w:p>
    <w:p>
      <w:pPr>
        <w:spacing w:after="0" w:line="221" w:lineRule="exact"/>
        <w:rPr>
          <w:rFonts w:ascii="Arial" w:cs="Arial" w:eastAsia="Arial" w:hAnsi="Arial"/>
          <w:sz w:val="19"/>
          <w:szCs w:val="19"/>
          <w:color w:val="auto"/>
        </w:rPr>
      </w:pPr>
    </w:p>
    <w:p>
      <w:pPr>
        <w:ind w:left="540" w:hanging="200"/>
        <w:spacing w:after="0"/>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Adjusted free cash flow (“Adjusted FCF”)—25% weighting.</w:t>
      </w:r>
    </w:p>
    <w:p>
      <w:pPr>
        <w:spacing w:after="0" w:line="196" w:lineRule="exact"/>
        <w:rPr>
          <w:sz w:val="20"/>
          <w:szCs w:val="20"/>
          <w:color w:val="auto"/>
        </w:rPr>
      </w:pPr>
    </w:p>
    <w:p>
      <w:pPr>
        <w:ind w:left="340"/>
        <w:spacing w:after="0" w:line="236" w:lineRule="auto"/>
        <w:rPr>
          <w:sz w:val="20"/>
          <w:szCs w:val="20"/>
          <w:color w:val="auto"/>
        </w:rPr>
      </w:pPr>
      <w:r>
        <w:rPr>
          <w:rFonts w:ascii="Arial" w:cs="Arial" w:eastAsia="Arial" w:hAnsi="Arial"/>
          <w:sz w:val="19"/>
          <w:szCs w:val="19"/>
          <w:color w:val="auto"/>
        </w:rPr>
        <w:t>These measures are not calculated in accordance with U.S. generally accepted accounting principles (“GAAP”) and include adjustments for certain items that the Committee considers not representative of ongoing operations. These adjustments incentivize management to make decisions that have positive long-term impacts and to prevent unusual, non-recurring events from having an outsized impact on a specific reporting period. A reconciliation of the Adjusted EBIT and Adjusted FCF used to determine the targets and actual achievement is provided below.</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55</w:t>
      </w:r>
    </w:p>
    <w:p>
      <w:pPr>
        <w:sectPr>
          <w:pgSz w:w="11900" w:h="16838" w:orient="portrait"/>
          <w:cols w:equalWidth="0" w:num="1">
            <w:col w:w="10900"/>
          </w:cols>
          <w:pgMar w:left="320" w:top="469" w:right="6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spacing w:after="0" w:line="236" w:lineRule="auto"/>
        <w:rPr>
          <w:sz w:val="20"/>
          <w:szCs w:val="20"/>
          <w:color w:val="auto"/>
        </w:rPr>
      </w:pPr>
      <w:r>
        <w:rPr>
          <w:rFonts w:ascii="Arial" w:cs="Arial" w:eastAsia="Arial" w:hAnsi="Arial"/>
          <w:sz w:val="19"/>
          <w:szCs w:val="19"/>
          <w:color w:val="auto"/>
        </w:rPr>
        <w:t>We chose the two metrics, Adjusted EBIT and Adjusted FCF, because we believe these two operating metrics are the most representative short-term measure of long-term shareholder value creation; we view EBIT (or income from operations) as the key driver of our ultimate bottom line earnings and utilization of a free cash flow objective is intended to incent management to appropriately manage “non-income” cash/balance sheet items (in addition to earnings) like inventory, accounts receivable, accounts payable and capital spending.</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Under the MICP, the fiscal year 2026 financial performance objectives were as follows: target performance for Adjusted EBIT</w:t>
      </w:r>
    </w:p>
    <w:p>
      <w:pPr>
        <w:ind w:left="340"/>
        <w:spacing w:after="0" w:line="234" w:lineRule="auto"/>
        <w:rPr>
          <w:sz w:val="20"/>
          <w:szCs w:val="20"/>
          <w:color w:val="auto"/>
        </w:rPr>
      </w:pPr>
      <w:r>
        <w:rPr>
          <w:rFonts w:ascii="Arial" w:cs="Arial" w:eastAsia="Arial" w:hAnsi="Arial"/>
          <w:sz w:val="19"/>
          <w:szCs w:val="19"/>
          <w:color w:val="auto"/>
        </w:rPr>
        <w:t>and Adjusted FCF for 100% payout under the approved targets for the MICP for the year were $1,373.3 million and</w:t>
      </w:r>
    </w:p>
    <w:p>
      <w:pPr>
        <w:ind w:left="340"/>
        <w:spacing w:after="0" w:line="228" w:lineRule="auto"/>
        <w:rPr>
          <w:sz w:val="20"/>
          <w:szCs w:val="20"/>
          <w:color w:val="auto"/>
        </w:rPr>
      </w:pPr>
      <w:r>
        <w:rPr>
          <w:rFonts w:ascii="Arial" w:cs="Arial" w:eastAsia="Arial" w:hAnsi="Arial"/>
          <w:sz w:val="19"/>
          <w:szCs w:val="19"/>
          <w:color w:val="auto"/>
        </w:rPr>
        <w:t>$835.7 million, respectively. Adjusted FCF payout percentage was limited to the Adjusted EBIT payout percentage until EBIT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9"/>
          <w:szCs w:val="19"/>
          <w:color w:val="auto"/>
        </w:rPr>
        <w:t>exceeded $1,098.6 million.</w:t>
      </w:r>
    </w:p>
    <w:p>
      <w:pPr>
        <w:spacing w:after="0" w:line="178" w:lineRule="exact"/>
        <w:rPr>
          <w:sz w:val="20"/>
          <w:szCs w:val="20"/>
          <w:color w:val="auto"/>
        </w:rPr>
      </w:pPr>
    </w:p>
    <w:p>
      <w:pPr>
        <w:ind w:left="340" w:right="580"/>
        <w:spacing w:after="0" w:line="244" w:lineRule="auto"/>
        <w:rPr>
          <w:sz w:val="20"/>
          <w:szCs w:val="20"/>
          <w:color w:val="auto"/>
        </w:rPr>
      </w:pPr>
      <w:r>
        <w:rPr>
          <w:rFonts w:ascii="Arial" w:cs="Arial" w:eastAsia="Arial" w:hAnsi="Arial"/>
          <w:sz w:val="19"/>
          <w:szCs w:val="19"/>
          <w:color w:val="auto"/>
        </w:rPr>
        <w:t>The incentive compensation payable was capped at 200% of target, regardless of performance above the maximum performance level. To achieve the maximum performance level, Adjusted EBIT of $1,510.6 million and Adjusted FCF of $1,044.6 million would have been required.</w:t>
      </w:r>
    </w:p>
    <w:p>
      <w:pPr>
        <w:spacing w:after="0" w:line="162" w:lineRule="exact"/>
        <w:rPr>
          <w:sz w:val="20"/>
          <w:szCs w:val="20"/>
          <w:color w:val="auto"/>
        </w:rPr>
      </w:pPr>
    </w:p>
    <w:p>
      <w:pPr>
        <w:ind w:left="340" w:right="80"/>
        <w:spacing w:after="0" w:line="262" w:lineRule="auto"/>
        <w:rPr>
          <w:sz w:val="20"/>
          <w:szCs w:val="20"/>
          <w:color w:val="auto"/>
        </w:rPr>
      </w:pPr>
      <w:r>
        <w:rPr>
          <w:rFonts w:ascii="Arial" w:cs="Arial" w:eastAsia="Arial" w:hAnsi="Arial"/>
          <w:sz w:val="19"/>
          <w:szCs w:val="19"/>
          <w:color w:val="auto"/>
        </w:rPr>
        <w:t>The following table shows achievement of financial objectives for fiscal 2025, as adjusted, as well as fiscal 2026 performance objectives (dollars in millions):</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246"/>
        </w:trPr>
        <w:tc>
          <w:tcPr>
            <w:tcW w:w="3000" w:type="dxa"/>
            <w:vAlign w:val="bottom"/>
            <w:shd w:val="clear" w:color="auto" w:fill="3E8EDE"/>
          </w:tcPr>
          <w:p>
            <w:pPr>
              <w:spacing w:after="0"/>
              <w:rPr>
                <w:sz w:val="21"/>
                <w:szCs w:val="21"/>
                <w:color w:val="auto"/>
              </w:rPr>
            </w:pPr>
          </w:p>
        </w:tc>
        <w:tc>
          <w:tcPr>
            <w:tcW w:w="2560" w:type="dxa"/>
            <w:vAlign w:val="bottom"/>
            <w:gridSpan w:val="2"/>
            <w:shd w:val="clear" w:color="auto" w:fill="3E8EDE"/>
          </w:tcPr>
          <w:p>
            <w:pPr>
              <w:jc w:val="right"/>
              <w:ind w:right="254"/>
              <w:spacing w:after="0"/>
              <w:rPr>
                <w:sz w:val="20"/>
                <w:szCs w:val="20"/>
                <w:color w:val="auto"/>
              </w:rPr>
            </w:pPr>
            <w:r>
              <w:rPr>
                <w:rFonts w:ascii="Arial" w:cs="Arial" w:eastAsia="Arial" w:hAnsi="Arial"/>
                <w:sz w:val="14"/>
                <w:szCs w:val="14"/>
                <w:b w:val="1"/>
                <w:bCs w:val="1"/>
                <w:color w:val="FFFFFF"/>
              </w:rPr>
              <w:t>Achievement for Prior Year</w:t>
            </w:r>
          </w:p>
        </w:tc>
        <w:tc>
          <w:tcPr>
            <w:tcW w:w="640" w:type="dxa"/>
            <w:vAlign w:val="bottom"/>
            <w:shd w:val="clear" w:color="auto" w:fill="3E8EDE"/>
          </w:tcPr>
          <w:p>
            <w:pPr>
              <w:spacing w:after="0"/>
              <w:rPr>
                <w:sz w:val="21"/>
                <w:szCs w:val="21"/>
                <w:color w:val="auto"/>
              </w:rPr>
            </w:pPr>
          </w:p>
        </w:tc>
        <w:tc>
          <w:tcPr>
            <w:tcW w:w="4360" w:type="dxa"/>
            <w:vAlign w:val="bottom"/>
            <w:gridSpan w:val="4"/>
            <w:shd w:val="clear" w:color="auto" w:fill="3E8EDE"/>
          </w:tcPr>
          <w:p>
            <w:pPr>
              <w:ind w:left="60"/>
              <w:spacing w:after="0"/>
              <w:rPr>
                <w:sz w:val="20"/>
                <w:szCs w:val="20"/>
                <w:color w:val="auto"/>
              </w:rPr>
            </w:pPr>
            <w:r>
              <w:rPr>
                <w:rFonts w:ascii="Arial" w:cs="Arial" w:eastAsia="Arial" w:hAnsi="Arial"/>
                <w:sz w:val="14"/>
                <w:szCs w:val="14"/>
                <w:b w:val="1"/>
                <w:bCs w:val="1"/>
                <w:color w:val="FFFFFF"/>
              </w:rPr>
              <w:t>   Performance Objectives for Year End March 31, 2026</w:t>
            </w:r>
          </w:p>
        </w:tc>
      </w:tr>
      <w:tr>
        <w:trPr>
          <w:trHeight w:val="207"/>
        </w:trPr>
        <w:tc>
          <w:tcPr>
            <w:tcW w:w="3000" w:type="dxa"/>
            <w:vAlign w:val="bottom"/>
            <w:shd w:val="clear" w:color="auto" w:fill="3E8EDE"/>
          </w:tcPr>
          <w:p>
            <w:pPr>
              <w:spacing w:after="0"/>
              <w:rPr>
                <w:sz w:val="18"/>
                <w:szCs w:val="18"/>
                <w:color w:val="auto"/>
              </w:rPr>
            </w:pPr>
          </w:p>
        </w:tc>
        <w:tc>
          <w:tcPr>
            <w:tcW w:w="2560" w:type="dxa"/>
            <w:vAlign w:val="bottom"/>
            <w:gridSpan w:val="2"/>
            <w:shd w:val="clear" w:color="auto" w:fill="3E8EDE"/>
          </w:tcPr>
          <w:p>
            <w:pPr>
              <w:jc w:val="right"/>
              <w:ind w:right="414"/>
              <w:spacing w:after="0"/>
              <w:rPr>
                <w:sz w:val="20"/>
                <w:szCs w:val="20"/>
                <w:color w:val="auto"/>
              </w:rPr>
            </w:pPr>
            <w:r>
              <w:rPr>
                <w:rFonts w:ascii="Arial" w:cs="Arial" w:eastAsia="Arial" w:hAnsi="Arial"/>
                <w:sz w:val="14"/>
                <w:szCs w:val="14"/>
                <w:b w:val="1"/>
                <w:bCs w:val="1"/>
                <w:color w:val="FFFFFF"/>
              </w:rPr>
              <w:t>Ended March 31, 2025</w:t>
            </w:r>
          </w:p>
        </w:tc>
        <w:tc>
          <w:tcPr>
            <w:tcW w:w="1720" w:type="dxa"/>
            <w:vAlign w:val="bottom"/>
            <w:gridSpan w:val="2"/>
            <w:shd w:val="clear" w:color="auto" w:fill="3E8EDE"/>
          </w:tcPr>
          <w:p>
            <w:pPr>
              <w:jc w:val="right"/>
              <w:ind w:right="299"/>
              <w:spacing w:after="0"/>
              <w:rPr>
                <w:sz w:val="20"/>
                <w:szCs w:val="20"/>
                <w:color w:val="auto"/>
              </w:rPr>
            </w:pPr>
            <w:r>
              <w:rPr>
                <w:rFonts w:ascii="Arial" w:cs="Arial" w:eastAsia="Arial" w:hAnsi="Arial"/>
                <w:sz w:val="14"/>
                <w:szCs w:val="14"/>
                <w:b w:val="1"/>
                <w:bCs w:val="1"/>
                <w:color w:val="FFFFFF"/>
              </w:rPr>
              <w:t>0% Threshold</w:t>
            </w:r>
          </w:p>
        </w:tc>
        <w:tc>
          <w:tcPr>
            <w:tcW w:w="1560" w:type="dxa"/>
            <w:vAlign w:val="bottom"/>
            <w:gridSpan w:val="2"/>
            <w:shd w:val="clear" w:color="auto" w:fill="3E8EDE"/>
          </w:tcPr>
          <w:p>
            <w:pPr>
              <w:jc w:val="right"/>
              <w:ind w:right="294"/>
              <w:spacing w:after="0"/>
              <w:rPr>
                <w:sz w:val="20"/>
                <w:szCs w:val="20"/>
                <w:color w:val="auto"/>
              </w:rPr>
            </w:pPr>
            <w:r>
              <w:rPr>
                <w:rFonts w:ascii="Arial" w:cs="Arial" w:eastAsia="Arial" w:hAnsi="Arial"/>
                <w:sz w:val="14"/>
                <w:szCs w:val="14"/>
                <w:b w:val="1"/>
                <w:bCs w:val="1"/>
                <w:color w:val="FFFFFF"/>
              </w:rPr>
              <w:t>100% Target</w:t>
            </w:r>
          </w:p>
        </w:tc>
        <w:tc>
          <w:tcPr>
            <w:tcW w:w="1720" w:type="dxa"/>
            <w:vAlign w:val="bottom"/>
            <w:shd w:val="clear" w:color="auto" w:fill="3E8EDE"/>
          </w:tcPr>
          <w:p>
            <w:pPr>
              <w:jc w:val="center"/>
              <w:spacing w:after="0"/>
              <w:rPr>
                <w:sz w:val="20"/>
                <w:szCs w:val="20"/>
                <w:color w:val="auto"/>
              </w:rPr>
            </w:pPr>
            <w:r>
              <w:rPr>
                <w:rFonts w:ascii="Arial" w:cs="Arial" w:eastAsia="Arial" w:hAnsi="Arial"/>
                <w:sz w:val="14"/>
                <w:szCs w:val="14"/>
                <w:b w:val="1"/>
                <w:bCs w:val="1"/>
                <w:color w:val="FFFFFF"/>
                <w:w w:val="97"/>
              </w:rPr>
              <w:t>200% Maximum</w:t>
            </w:r>
          </w:p>
        </w:tc>
      </w:tr>
      <w:tr>
        <w:trPr>
          <w:trHeight w:val="274"/>
        </w:trPr>
        <w:tc>
          <w:tcPr>
            <w:tcW w:w="3000" w:type="dxa"/>
            <w:vAlign w:val="bottom"/>
            <w:shd w:val="clear" w:color="auto" w:fill="E2EEFA"/>
          </w:tcPr>
          <w:p>
            <w:pPr>
              <w:spacing w:after="0"/>
              <w:rPr>
                <w:sz w:val="20"/>
                <w:szCs w:val="20"/>
                <w:color w:val="auto"/>
              </w:rPr>
            </w:pPr>
            <w:r>
              <w:rPr>
                <w:rFonts w:ascii="Arial" w:cs="Arial" w:eastAsia="Arial" w:hAnsi="Arial"/>
                <w:sz w:val="17"/>
                <w:szCs w:val="17"/>
                <w:color w:val="auto"/>
              </w:rPr>
              <w:t> Adjusted EBIT</w:t>
            </w:r>
          </w:p>
        </w:tc>
        <w:tc>
          <w:tcPr>
            <w:tcW w:w="11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E2EEFA"/>
          </w:tcPr>
          <w:p>
            <w:pPr>
              <w:jc w:val="right"/>
              <w:ind w:right="794"/>
              <w:spacing w:after="0"/>
              <w:rPr>
                <w:sz w:val="20"/>
                <w:szCs w:val="20"/>
                <w:color w:val="auto"/>
              </w:rPr>
            </w:pPr>
            <w:r>
              <w:rPr>
                <w:rFonts w:ascii="Arial" w:cs="Arial" w:eastAsia="Arial" w:hAnsi="Arial"/>
                <w:sz w:val="17"/>
                <w:szCs w:val="17"/>
                <w:color w:val="auto"/>
                <w:w w:val="98"/>
              </w:rPr>
              <w:t>1,286.6</w:t>
            </w:r>
          </w:p>
        </w:tc>
        <w:tc>
          <w:tcPr>
            <w:tcW w:w="6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E2EEFA"/>
          </w:tcPr>
          <w:p>
            <w:pPr>
              <w:jc w:val="right"/>
              <w:ind w:right="419"/>
              <w:spacing w:after="0"/>
              <w:rPr>
                <w:sz w:val="20"/>
                <w:szCs w:val="20"/>
                <w:color w:val="auto"/>
              </w:rPr>
            </w:pPr>
            <w:r>
              <w:rPr>
                <w:rFonts w:ascii="Arial" w:cs="Arial" w:eastAsia="Arial" w:hAnsi="Arial"/>
                <w:sz w:val="17"/>
                <w:szCs w:val="17"/>
                <w:color w:val="auto"/>
                <w:w w:val="98"/>
              </w:rPr>
              <w:t>1,167.3</w:t>
            </w:r>
          </w:p>
        </w:tc>
        <w:tc>
          <w:tcPr>
            <w:tcW w:w="5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E2EEFA"/>
          </w:tcPr>
          <w:p>
            <w:pPr>
              <w:jc w:val="right"/>
              <w:ind w:right="354"/>
              <w:spacing w:after="0"/>
              <w:rPr>
                <w:sz w:val="20"/>
                <w:szCs w:val="20"/>
                <w:color w:val="auto"/>
              </w:rPr>
            </w:pPr>
            <w:r>
              <w:rPr>
                <w:rFonts w:ascii="Arial" w:cs="Arial" w:eastAsia="Arial" w:hAnsi="Arial"/>
                <w:sz w:val="17"/>
                <w:szCs w:val="17"/>
                <w:color w:val="auto"/>
                <w:w w:val="98"/>
              </w:rPr>
              <w:t>1,373.3</w:t>
            </w:r>
          </w:p>
        </w:tc>
        <w:tc>
          <w:tcPr>
            <w:tcW w:w="1720" w:type="dxa"/>
            <w:vAlign w:val="bottom"/>
            <w:shd w:val="clear" w:color="auto" w:fill="E2EEFA"/>
          </w:tcPr>
          <w:p>
            <w:pPr>
              <w:jc w:val="center"/>
              <w:spacing w:after="0"/>
              <w:rPr>
                <w:sz w:val="20"/>
                <w:szCs w:val="20"/>
                <w:color w:val="auto"/>
              </w:rPr>
            </w:pPr>
            <w:r>
              <w:rPr>
                <w:rFonts w:ascii="Arial" w:cs="Arial" w:eastAsia="Arial" w:hAnsi="Arial"/>
                <w:sz w:val="17"/>
                <w:szCs w:val="17"/>
                <w:color w:val="auto"/>
              </w:rPr>
              <w:t>$1,510.6</w:t>
            </w:r>
          </w:p>
        </w:tc>
      </w:tr>
      <w:tr>
        <w:trPr>
          <w:trHeight w:val="76"/>
        </w:trPr>
        <w:tc>
          <w:tcPr>
            <w:tcW w:w="3000" w:type="dxa"/>
            <w:vAlign w:val="bottom"/>
            <w:tcBorders>
              <w:bottom w:val="single" w:sz="8" w:color="3E8EDE"/>
            </w:tcBorders>
            <w:shd w:val="clear" w:color="auto" w:fill="E2EEFA"/>
          </w:tcPr>
          <w:p>
            <w:pPr>
              <w:spacing w:after="0"/>
              <w:rPr>
                <w:sz w:val="6"/>
                <w:szCs w:val="6"/>
                <w:color w:val="auto"/>
              </w:rPr>
            </w:pPr>
          </w:p>
        </w:tc>
        <w:tc>
          <w:tcPr>
            <w:tcW w:w="1100" w:type="dxa"/>
            <w:vAlign w:val="bottom"/>
            <w:tcBorders>
              <w:bottom w:val="single" w:sz="8" w:color="3E8EDE"/>
            </w:tcBorders>
            <w:shd w:val="clear" w:color="auto" w:fill="E2EEFA"/>
          </w:tcPr>
          <w:p>
            <w:pPr>
              <w:spacing w:after="0"/>
              <w:rPr>
                <w:sz w:val="6"/>
                <w:szCs w:val="6"/>
                <w:color w:val="auto"/>
              </w:rPr>
            </w:pPr>
          </w:p>
        </w:tc>
        <w:tc>
          <w:tcPr>
            <w:tcW w:w="1460" w:type="dxa"/>
            <w:vAlign w:val="bottom"/>
            <w:tcBorders>
              <w:bottom w:val="single" w:sz="8" w:color="3E8EDE"/>
            </w:tcBorders>
            <w:shd w:val="clear" w:color="auto" w:fill="E2EEFA"/>
          </w:tcPr>
          <w:p>
            <w:pPr>
              <w:spacing w:after="0"/>
              <w:rPr>
                <w:sz w:val="6"/>
                <w:szCs w:val="6"/>
                <w:color w:val="auto"/>
              </w:rPr>
            </w:pPr>
          </w:p>
        </w:tc>
        <w:tc>
          <w:tcPr>
            <w:tcW w:w="640" w:type="dxa"/>
            <w:vAlign w:val="bottom"/>
            <w:tcBorders>
              <w:bottom w:val="single" w:sz="8" w:color="3E8EDE"/>
            </w:tcBorders>
            <w:shd w:val="clear" w:color="auto" w:fill="E2EEFA"/>
          </w:tcPr>
          <w:p>
            <w:pPr>
              <w:spacing w:after="0"/>
              <w:rPr>
                <w:sz w:val="6"/>
                <w:szCs w:val="6"/>
                <w:color w:val="auto"/>
              </w:rPr>
            </w:pPr>
          </w:p>
        </w:tc>
        <w:tc>
          <w:tcPr>
            <w:tcW w:w="1080" w:type="dxa"/>
            <w:vAlign w:val="bottom"/>
            <w:tcBorders>
              <w:bottom w:val="single" w:sz="8" w:color="3E8EDE"/>
            </w:tcBorders>
            <w:shd w:val="clear" w:color="auto" w:fill="E2EEFA"/>
          </w:tcPr>
          <w:p>
            <w:pPr>
              <w:spacing w:after="0"/>
              <w:rPr>
                <w:sz w:val="6"/>
                <w:szCs w:val="6"/>
                <w:color w:val="auto"/>
              </w:rPr>
            </w:pPr>
          </w:p>
        </w:tc>
        <w:tc>
          <w:tcPr>
            <w:tcW w:w="540" w:type="dxa"/>
            <w:vAlign w:val="bottom"/>
            <w:tcBorders>
              <w:bottom w:val="single" w:sz="8" w:color="3E8EDE"/>
            </w:tcBorders>
            <w:shd w:val="clear" w:color="auto" w:fill="E2EEFA"/>
          </w:tcPr>
          <w:p>
            <w:pPr>
              <w:spacing w:after="0"/>
              <w:rPr>
                <w:sz w:val="6"/>
                <w:szCs w:val="6"/>
                <w:color w:val="auto"/>
              </w:rPr>
            </w:pPr>
          </w:p>
        </w:tc>
        <w:tc>
          <w:tcPr>
            <w:tcW w:w="1020" w:type="dxa"/>
            <w:vAlign w:val="bottom"/>
            <w:tcBorders>
              <w:bottom w:val="single" w:sz="8" w:color="3E8EDE"/>
            </w:tcBorders>
            <w:shd w:val="clear" w:color="auto" w:fill="E2EEFA"/>
          </w:tcPr>
          <w:p>
            <w:pPr>
              <w:spacing w:after="0"/>
              <w:rPr>
                <w:sz w:val="6"/>
                <w:szCs w:val="6"/>
                <w:color w:val="auto"/>
              </w:rPr>
            </w:pPr>
          </w:p>
        </w:tc>
        <w:tc>
          <w:tcPr>
            <w:tcW w:w="1720" w:type="dxa"/>
            <w:vAlign w:val="bottom"/>
            <w:tcBorders>
              <w:bottom w:val="single" w:sz="8" w:color="3E8EDE"/>
            </w:tcBorders>
            <w:shd w:val="clear" w:color="auto" w:fill="E2EEFA"/>
          </w:tcPr>
          <w:p>
            <w:pPr>
              <w:spacing w:after="0"/>
              <w:rPr>
                <w:sz w:val="6"/>
                <w:szCs w:val="6"/>
                <w:color w:val="auto"/>
              </w:rPr>
            </w:pPr>
          </w:p>
        </w:tc>
      </w:tr>
      <w:tr>
        <w:trPr>
          <w:trHeight w:val="254"/>
        </w:trPr>
        <w:tc>
          <w:tcPr>
            <w:tcW w:w="3000" w:type="dxa"/>
            <w:vAlign w:val="bottom"/>
          </w:tcPr>
          <w:p>
            <w:pPr>
              <w:spacing w:after="0"/>
              <w:rPr>
                <w:sz w:val="20"/>
                <w:szCs w:val="20"/>
                <w:color w:val="auto"/>
              </w:rPr>
            </w:pPr>
            <w:r>
              <w:rPr>
                <w:rFonts w:ascii="Arial" w:cs="Arial" w:eastAsia="Arial" w:hAnsi="Arial"/>
                <w:sz w:val="17"/>
                <w:szCs w:val="17"/>
                <w:color w:val="auto"/>
              </w:rPr>
              <w:t> Adjusted FCF</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794"/>
              <w:spacing w:after="0"/>
              <w:rPr>
                <w:sz w:val="20"/>
                <w:szCs w:val="20"/>
                <w:color w:val="auto"/>
              </w:rPr>
            </w:pPr>
            <w:r>
              <w:rPr>
                <w:rFonts w:ascii="Arial" w:cs="Arial" w:eastAsia="Arial" w:hAnsi="Arial"/>
                <w:sz w:val="17"/>
                <w:szCs w:val="17"/>
                <w:color w:val="auto"/>
              </w:rPr>
              <w:t>832.9</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419"/>
              <w:spacing w:after="0"/>
              <w:rPr>
                <w:sz w:val="20"/>
                <w:szCs w:val="20"/>
                <w:color w:val="auto"/>
              </w:rPr>
            </w:pPr>
            <w:r>
              <w:rPr>
                <w:rFonts w:ascii="Arial" w:cs="Arial" w:eastAsia="Arial" w:hAnsi="Arial"/>
                <w:sz w:val="17"/>
                <w:szCs w:val="17"/>
                <w:color w:val="auto"/>
              </w:rPr>
              <w:t>626.8</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54"/>
              <w:spacing w:after="0"/>
              <w:rPr>
                <w:sz w:val="20"/>
                <w:szCs w:val="20"/>
                <w:color w:val="auto"/>
              </w:rPr>
            </w:pPr>
            <w:r>
              <w:rPr>
                <w:rFonts w:ascii="Arial" w:cs="Arial" w:eastAsia="Arial" w:hAnsi="Arial"/>
                <w:sz w:val="17"/>
                <w:szCs w:val="17"/>
                <w:color w:val="auto"/>
              </w:rPr>
              <w:t>835.7</w:t>
            </w:r>
          </w:p>
        </w:tc>
        <w:tc>
          <w:tcPr>
            <w:tcW w:w="1720" w:type="dxa"/>
            <w:vAlign w:val="bottom"/>
          </w:tcPr>
          <w:p>
            <w:pPr>
              <w:jc w:val="center"/>
              <w:spacing w:after="0"/>
              <w:rPr>
                <w:sz w:val="20"/>
                <w:szCs w:val="20"/>
                <w:color w:val="auto"/>
              </w:rPr>
            </w:pPr>
            <w:r>
              <w:rPr>
                <w:rFonts w:ascii="Arial" w:cs="Arial" w:eastAsia="Arial" w:hAnsi="Arial"/>
                <w:sz w:val="17"/>
                <w:szCs w:val="17"/>
                <w:color w:val="auto"/>
              </w:rPr>
              <w:t>$1,044.6</w:t>
            </w:r>
          </w:p>
        </w:tc>
      </w:tr>
      <w:tr>
        <w:trPr>
          <w:trHeight w:val="76"/>
        </w:trPr>
        <w:tc>
          <w:tcPr>
            <w:tcW w:w="3000" w:type="dxa"/>
            <w:vAlign w:val="bottom"/>
            <w:tcBorders>
              <w:bottom w:val="single" w:sz="8" w:color="3E8EDE"/>
            </w:tcBorders>
          </w:tcPr>
          <w:p>
            <w:pPr>
              <w:spacing w:after="0"/>
              <w:rPr>
                <w:sz w:val="6"/>
                <w:szCs w:val="6"/>
                <w:color w:val="auto"/>
              </w:rPr>
            </w:pPr>
          </w:p>
        </w:tc>
        <w:tc>
          <w:tcPr>
            <w:tcW w:w="1100" w:type="dxa"/>
            <w:vAlign w:val="bottom"/>
            <w:tcBorders>
              <w:bottom w:val="single" w:sz="8" w:color="3E8EDE"/>
            </w:tcBorders>
          </w:tcPr>
          <w:p>
            <w:pPr>
              <w:spacing w:after="0"/>
              <w:rPr>
                <w:sz w:val="6"/>
                <w:szCs w:val="6"/>
                <w:color w:val="auto"/>
              </w:rPr>
            </w:pPr>
          </w:p>
        </w:tc>
        <w:tc>
          <w:tcPr>
            <w:tcW w:w="1460" w:type="dxa"/>
            <w:vAlign w:val="bottom"/>
            <w:tcBorders>
              <w:bottom w:val="single" w:sz="8" w:color="3E8EDE"/>
            </w:tcBorders>
          </w:tcPr>
          <w:p>
            <w:pPr>
              <w:spacing w:after="0"/>
              <w:rPr>
                <w:sz w:val="6"/>
                <w:szCs w:val="6"/>
                <w:color w:val="auto"/>
              </w:rPr>
            </w:pPr>
          </w:p>
        </w:tc>
        <w:tc>
          <w:tcPr>
            <w:tcW w:w="640" w:type="dxa"/>
            <w:vAlign w:val="bottom"/>
            <w:tcBorders>
              <w:bottom w:val="single" w:sz="8" w:color="3E8EDE"/>
            </w:tcBorders>
          </w:tcPr>
          <w:p>
            <w:pPr>
              <w:spacing w:after="0"/>
              <w:rPr>
                <w:sz w:val="6"/>
                <w:szCs w:val="6"/>
                <w:color w:val="auto"/>
              </w:rPr>
            </w:pPr>
          </w:p>
        </w:tc>
        <w:tc>
          <w:tcPr>
            <w:tcW w:w="1080" w:type="dxa"/>
            <w:vAlign w:val="bottom"/>
            <w:tcBorders>
              <w:bottom w:val="single" w:sz="8" w:color="3E8EDE"/>
            </w:tcBorders>
          </w:tcPr>
          <w:p>
            <w:pPr>
              <w:spacing w:after="0"/>
              <w:rPr>
                <w:sz w:val="6"/>
                <w:szCs w:val="6"/>
                <w:color w:val="auto"/>
              </w:rPr>
            </w:pPr>
          </w:p>
        </w:tc>
        <w:tc>
          <w:tcPr>
            <w:tcW w:w="540" w:type="dxa"/>
            <w:vAlign w:val="bottom"/>
            <w:tcBorders>
              <w:bottom w:val="single" w:sz="8" w:color="3E8EDE"/>
            </w:tcBorders>
          </w:tcPr>
          <w:p>
            <w:pPr>
              <w:spacing w:after="0"/>
              <w:rPr>
                <w:sz w:val="6"/>
                <w:szCs w:val="6"/>
                <w:color w:val="auto"/>
              </w:rPr>
            </w:pPr>
          </w:p>
        </w:tc>
        <w:tc>
          <w:tcPr>
            <w:tcW w:w="1020" w:type="dxa"/>
            <w:vAlign w:val="bottom"/>
            <w:tcBorders>
              <w:bottom w:val="single" w:sz="8" w:color="3E8EDE"/>
            </w:tcBorders>
          </w:tcPr>
          <w:p>
            <w:pPr>
              <w:spacing w:after="0"/>
              <w:rPr>
                <w:sz w:val="6"/>
                <w:szCs w:val="6"/>
                <w:color w:val="auto"/>
              </w:rPr>
            </w:pPr>
          </w:p>
        </w:tc>
        <w:tc>
          <w:tcPr>
            <w:tcW w:w="1720" w:type="dxa"/>
            <w:vAlign w:val="bottom"/>
            <w:tcBorders>
              <w:bottom w:val="single" w:sz="8" w:color="3E8EDE"/>
            </w:tcBorders>
          </w:tcPr>
          <w:p>
            <w:pPr>
              <w:spacing w:after="0"/>
              <w:rPr>
                <w:sz w:val="6"/>
                <w:szCs w:val="6"/>
                <w:color w:val="auto"/>
              </w:rPr>
            </w:pPr>
          </w:p>
        </w:tc>
      </w:tr>
    </w:tbl>
    <w:p>
      <w:pPr>
        <w:spacing w:after="0" w:line="186" w:lineRule="exact"/>
        <w:rPr>
          <w:sz w:val="20"/>
          <w:szCs w:val="20"/>
          <w:color w:val="auto"/>
        </w:rPr>
      </w:pPr>
    </w:p>
    <w:p>
      <w:pPr>
        <w:ind w:left="340" w:right="80"/>
        <w:spacing w:after="0" w:line="235" w:lineRule="auto"/>
        <w:rPr>
          <w:sz w:val="20"/>
          <w:szCs w:val="20"/>
          <w:color w:val="auto"/>
        </w:rPr>
      </w:pPr>
      <w:r>
        <w:rPr>
          <w:rFonts w:ascii="Arial" w:cs="Arial" w:eastAsia="Arial" w:hAnsi="Arial"/>
          <w:sz w:val="19"/>
          <w:szCs w:val="19"/>
          <w:color w:val="auto"/>
        </w:rPr>
        <w:t>Actual financial performance against Plan criteria for fiscal year 2026 was EBIT (income from operations) of $1,101.8 million on a GAAP basis and free cash flow of $982.9. Actual financial performance against the MICP criteria for fiscal year 2026, as such criteria were adjusted for items not representative of ongoing operations discussed above, was Adjusted EBIT of $1,381.9 million and Adjusted FCF of $1,006.2 million. This performance resulted in a weighted aggregate performance achievement of 125.1% against targeted Plan criteria for the year. The following table shows the financial metrics for the year and Plan financial attainment percentages for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135890</wp:posOffset>
            </wp:positionV>
            <wp:extent cx="6710045" cy="526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10045" cy="526415"/>
                    </a:xfrm>
                    <a:prstGeom prst="rect">
                      <a:avLst/>
                    </a:prstGeom>
                    <a:noFill/>
                  </pic:spPr>
                </pic:pic>
              </a:graphicData>
            </a:graphic>
          </wp:anchor>
        </w:drawing>
      </w:r>
    </w:p>
    <w:p>
      <w:pPr>
        <w:spacing w:after="0" w:line="211"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FFFFFF"/>
        </w:rPr>
        <w:t>Year Ended March 31, 2026</w:t>
      </w:r>
    </w:p>
    <w:p>
      <w:pPr>
        <w:spacing w:after="0" w:line="48" w:lineRule="exact"/>
        <w:rPr>
          <w:sz w:val="20"/>
          <w:szCs w:val="20"/>
          <w:color w:val="auto"/>
        </w:rPr>
      </w:pPr>
    </w:p>
    <w:tbl>
      <w:tblPr>
        <w:tblLayout w:type="fixed"/>
        <w:tblInd w:w="340" w:type="dxa"/>
        <w:tblCellMar>
          <w:top w:w="0" w:type="dxa"/>
          <w:left w:w="0" w:type="dxa"/>
          <w:bottom w:w="0" w:type="dxa"/>
          <w:right w:w="0" w:type="dxa"/>
        </w:tblCellMar>
      </w:tblPr>
      <w:tr>
        <w:trPr>
          <w:trHeight w:val="34"/>
        </w:trPr>
        <w:tc>
          <w:tcPr>
            <w:tcW w:w="2080" w:type="dxa"/>
            <w:vAlign w:val="bottom"/>
            <w:shd w:val="clear" w:color="auto" w:fill="3E8EDE"/>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46"/>
        </w:trPr>
        <w:tc>
          <w:tcPr>
            <w:tcW w:w="2080" w:type="dxa"/>
            <w:vAlign w:val="bottom"/>
            <w:shd w:val="clear" w:color="auto" w:fill="3E8EDE"/>
          </w:tcPr>
          <w:p>
            <w:pPr>
              <w:spacing w:after="0"/>
              <w:rPr>
                <w:sz w:val="12"/>
                <w:szCs w:val="12"/>
                <w:color w:val="auto"/>
              </w:rPr>
            </w:pPr>
          </w:p>
        </w:tc>
        <w:tc>
          <w:tcPr>
            <w:tcW w:w="480" w:type="dxa"/>
            <w:vAlign w:val="bottom"/>
            <w:shd w:val="clear" w:color="auto" w:fill="3E8EDE"/>
          </w:tcPr>
          <w:p>
            <w:pPr>
              <w:spacing w:after="0"/>
              <w:rPr>
                <w:sz w:val="12"/>
                <w:szCs w:val="12"/>
                <w:color w:val="auto"/>
              </w:rPr>
            </w:pPr>
          </w:p>
        </w:tc>
        <w:tc>
          <w:tcPr>
            <w:tcW w:w="780" w:type="dxa"/>
            <w:vAlign w:val="bottom"/>
            <w:shd w:val="clear" w:color="auto" w:fill="3E8EDE"/>
          </w:tcPr>
          <w:p>
            <w:pPr>
              <w:spacing w:after="0"/>
              <w:rPr>
                <w:sz w:val="12"/>
                <w:szCs w:val="12"/>
                <w:color w:val="auto"/>
              </w:rPr>
            </w:pPr>
          </w:p>
        </w:tc>
        <w:tc>
          <w:tcPr>
            <w:tcW w:w="300" w:type="dxa"/>
            <w:vAlign w:val="bottom"/>
            <w:shd w:val="clear" w:color="auto" w:fill="3E8EDE"/>
          </w:tcPr>
          <w:p>
            <w:pPr>
              <w:spacing w:after="0"/>
              <w:rPr>
                <w:sz w:val="12"/>
                <w:szCs w:val="12"/>
                <w:color w:val="auto"/>
              </w:rPr>
            </w:pPr>
          </w:p>
        </w:tc>
        <w:tc>
          <w:tcPr>
            <w:tcW w:w="760" w:type="dxa"/>
            <w:vAlign w:val="bottom"/>
            <w:shd w:val="clear" w:color="auto" w:fill="3E8EDE"/>
          </w:tcPr>
          <w:p>
            <w:pPr>
              <w:spacing w:after="0"/>
              <w:rPr>
                <w:sz w:val="12"/>
                <w:szCs w:val="12"/>
                <w:color w:val="auto"/>
              </w:rPr>
            </w:pPr>
          </w:p>
        </w:tc>
        <w:tc>
          <w:tcPr>
            <w:tcW w:w="1160" w:type="dxa"/>
            <w:vAlign w:val="bottom"/>
            <w:shd w:val="clear" w:color="auto" w:fill="3E8EDE"/>
          </w:tcPr>
          <w:p>
            <w:pPr>
              <w:spacing w:after="0"/>
              <w:rPr>
                <w:sz w:val="12"/>
                <w:szCs w:val="12"/>
                <w:color w:val="auto"/>
              </w:rPr>
            </w:pPr>
          </w:p>
        </w:tc>
        <w:tc>
          <w:tcPr>
            <w:tcW w:w="1260" w:type="dxa"/>
            <w:vAlign w:val="bottom"/>
            <w:shd w:val="clear" w:color="auto" w:fill="3E8EDE"/>
          </w:tcPr>
          <w:p>
            <w:pPr>
              <w:spacing w:after="0"/>
              <w:rPr>
                <w:sz w:val="12"/>
                <w:szCs w:val="12"/>
                <w:color w:val="auto"/>
              </w:rPr>
            </w:pPr>
          </w:p>
        </w:tc>
        <w:tc>
          <w:tcPr>
            <w:tcW w:w="1260" w:type="dxa"/>
            <w:vAlign w:val="bottom"/>
            <w:shd w:val="clear" w:color="auto" w:fill="3E8EDE"/>
          </w:tcPr>
          <w:p>
            <w:pPr>
              <w:jc w:val="center"/>
              <w:spacing w:after="0" w:line="146" w:lineRule="exact"/>
              <w:rPr>
                <w:sz w:val="20"/>
                <w:szCs w:val="20"/>
                <w:color w:val="auto"/>
              </w:rPr>
            </w:pPr>
            <w:r>
              <w:rPr>
                <w:rFonts w:ascii="Arial" w:cs="Arial" w:eastAsia="Arial" w:hAnsi="Arial"/>
                <w:sz w:val="14"/>
                <w:szCs w:val="14"/>
                <w:b w:val="1"/>
                <w:bCs w:val="1"/>
                <w:color w:val="FFFFFF"/>
                <w:w w:val="94"/>
              </w:rPr>
              <w:t>Twelve</w:t>
            </w:r>
          </w:p>
        </w:tc>
        <w:tc>
          <w:tcPr>
            <w:tcW w:w="1260" w:type="dxa"/>
            <w:vAlign w:val="bottom"/>
            <w:shd w:val="clear" w:color="auto" w:fill="3E8EDE"/>
          </w:tcPr>
          <w:p>
            <w:pPr>
              <w:spacing w:after="0"/>
              <w:rPr>
                <w:sz w:val="12"/>
                <w:szCs w:val="12"/>
                <w:color w:val="auto"/>
              </w:rPr>
            </w:pPr>
          </w:p>
        </w:tc>
        <w:tc>
          <w:tcPr>
            <w:tcW w:w="1220" w:type="dxa"/>
            <w:vAlign w:val="bottom"/>
            <w:shd w:val="clear" w:color="auto" w:fill="3E8EDE"/>
          </w:tcPr>
          <w:p>
            <w:pPr>
              <w:jc w:val="right"/>
              <w:ind w:right="162"/>
              <w:spacing w:after="0" w:line="146" w:lineRule="exact"/>
              <w:rPr>
                <w:sz w:val="20"/>
                <w:szCs w:val="20"/>
                <w:color w:val="auto"/>
              </w:rPr>
            </w:pPr>
            <w:r>
              <w:rPr>
                <w:rFonts w:ascii="Arial" w:cs="Arial" w:eastAsia="Arial" w:hAnsi="Arial"/>
                <w:sz w:val="14"/>
                <w:szCs w:val="14"/>
                <w:b w:val="1"/>
                <w:bCs w:val="1"/>
                <w:color w:val="FFFFFF"/>
              </w:rPr>
              <w:t>Weighting</w:t>
            </w:r>
          </w:p>
        </w:tc>
      </w:tr>
      <w:tr>
        <w:trPr>
          <w:trHeight w:val="155"/>
        </w:trPr>
        <w:tc>
          <w:tcPr>
            <w:tcW w:w="2080" w:type="dxa"/>
            <w:vAlign w:val="bottom"/>
            <w:shd w:val="clear" w:color="auto" w:fill="3E8EDE"/>
          </w:tcPr>
          <w:p>
            <w:pPr>
              <w:spacing w:after="0"/>
              <w:rPr>
                <w:sz w:val="13"/>
                <w:szCs w:val="13"/>
                <w:color w:val="auto"/>
              </w:rPr>
            </w:pPr>
          </w:p>
        </w:tc>
        <w:tc>
          <w:tcPr>
            <w:tcW w:w="480" w:type="dxa"/>
            <w:vAlign w:val="bottom"/>
            <w:shd w:val="clear" w:color="auto" w:fill="3E8EDE"/>
          </w:tcPr>
          <w:p>
            <w:pPr>
              <w:spacing w:after="0"/>
              <w:rPr>
                <w:sz w:val="13"/>
                <w:szCs w:val="13"/>
                <w:color w:val="auto"/>
              </w:rPr>
            </w:pPr>
          </w:p>
        </w:tc>
        <w:tc>
          <w:tcPr>
            <w:tcW w:w="780" w:type="dxa"/>
            <w:vAlign w:val="bottom"/>
            <w:shd w:val="clear" w:color="auto" w:fill="3E8EDE"/>
          </w:tcPr>
          <w:p>
            <w:pPr>
              <w:jc w:val="right"/>
              <w:ind w:right="359"/>
              <w:spacing w:after="0" w:line="155" w:lineRule="exact"/>
              <w:rPr>
                <w:sz w:val="20"/>
                <w:szCs w:val="20"/>
                <w:color w:val="auto"/>
              </w:rPr>
            </w:pPr>
            <w:r>
              <w:rPr>
                <w:rFonts w:ascii="Arial" w:cs="Arial" w:eastAsia="Arial" w:hAnsi="Arial"/>
                <w:sz w:val="14"/>
                <w:szCs w:val="14"/>
                <w:b w:val="1"/>
                <w:bCs w:val="1"/>
                <w:color w:val="FFFFFF"/>
              </w:rPr>
              <w:t>0%</w:t>
            </w:r>
          </w:p>
        </w:tc>
        <w:tc>
          <w:tcPr>
            <w:tcW w:w="300" w:type="dxa"/>
            <w:vAlign w:val="bottom"/>
            <w:shd w:val="clear" w:color="auto" w:fill="3E8EDE"/>
          </w:tcPr>
          <w:p>
            <w:pPr>
              <w:spacing w:after="0"/>
              <w:rPr>
                <w:sz w:val="13"/>
                <w:szCs w:val="13"/>
                <w:color w:val="auto"/>
              </w:rPr>
            </w:pPr>
          </w:p>
        </w:tc>
        <w:tc>
          <w:tcPr>
            <w:tcW w:w="760" w:type="dxa"/>
            <w:vAlign w:val="bottom"/>
            <w:shd w:val="clear" w:color="auto" w:fill="3E8EDE"/>
          </w:tcPr>
          <w:p>
            <w:pPr>
              <w:jc w:val="right"/>
              <w:ind w:right="279"/>
              <w:spacing w:after="0" w:line="155" w:lineRule="exact"/>
              <w:rPr>
                <w:sz w:val="20"/>
                <w:szCs w:val="20"/>
                <w:color w:val="auto"/>
              </w:rPr>
            </w:pPr>
            <w:r>
              <w:rPr>
                <w:rFonts w:ascii="Arial" w:cs="Arial" w:eastAsia="Arial" w:hAnsi="Arial"/>
                <w:sz w:val="14"/>
                <w:szCs w:val="14"/>
                <w:b w:val="1"/>
                <w:bCs w:val="1"/>
                <w:color w:val="FFFFFF"/>
              </w:rPr>
              <w:t>100%</w:t>
            </w:r>
          </w:p>
        </w:tc>
        <w:tc>
          <w:tcPr>
            <w:tcW w:w="1160" w:type="dxa"/>
            <w:vAlign w:val="bottom"/>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4"/>
              </w:rPr>
              <w:t>200%</w:t>
            </w:r>
          </w:p>
        </w:tc>
        <w:tc>
          <w:tcPr>
            <w:tcW w:w="1260" w:type="dxa"/>
            <w:vAlign w:val="bottom"/>
            <w:shd w:val="clear" w:color="auto" w:fill="3E8EDE"/>
          </w:tcPr>
          <w:p>
            <w:pPr>
              <w:spacing w:after="0"/>
              <w:rPr>
                <w:sz w:val="13"/>
                <w:szCs w:val="13"/>
                <w:color w:val="auto"/>
              </w:rPr>
            </w:pPr>
          </w:p>
        </w:tc>
        <w:tc>
          <w:tcPr>
            <w:tcW w:w="1260" w:type="dxa"/>
            <w:vAlign w:val="bottom"/>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6"/>
              </w:rPr>
              <w:t>Months</w:t>
            </w:r>
          </w:p>
        </w:tc>
        <w:tc>
          <w:tcPr>
            <w:tcW w:w="1260" w:type="dxa"/>
            <w:vAlign w:val="bottom"/>
            <w:shd w:val="clear" w:color="auto" w:fill="3E8EDE"/>
          </w:tcPr>
          <w:p>
            <w:pPr>
              <w:jc w:val="right"/>
              <w:ind w:right="142"/>
              <w:spacing w:after="0" w:line="155" w:lineRule="exact"/>
              <w:rPr>
                <w:sz w:val="20"/>
                <w:szCs w:val="20"/>
                <w:color w:val="auto"/>
              </w:rPr>
            </w:pPr>
            <w:r>
              <w:rPr>
                <w:rFonts w:ascii="Arial" w:cs="Arial" w:eastAsia="Arial" w:hAnsi="Arial"/>
                <w:sz w:val="14"/>
                <w:szCs w:val="14"/>
                <w:b w:val="1"/>
                <w:bCs w:val="1"/>
                <w:color w:val="FFFFFF"/>
              </w:rPr>
              <w:t>  Attainment</w:t>
            </w:r>
          </w:p>
        </w:tc>
        <w:tc>
          <w:tcPr>
            <w:tcW w:w="1220" w:type="dxa"/>
            <w:vAlign w:val="bottom"/>
            <w:shd w:val="clear" w:color="auto" w:fill="3E8EDE"/>
          </w:tcPr>
          <w:p>
            <w:pPr>
              <w:jc w:val="right"/>
              <w:ind w:right="142"/>
              <w:spacing w:after="0" w:line="155" w:lineRule="exact"/>
              <w:rPr>
                <w:sz w:val="20"/>
                <w:szCs w:val="20"/>
                <w:color w:val="auto"/>
              </w:rPr>
            </w:pPr>
            <w:r>
              <w:rPr>
                <w:rFonts w:ascii="Arial" w:cs="Arial" w:eastAsia="Arial" w:hAnsi="Arial"/>
                <w:sz w:val="14"/>
                <w:szCs w:val="14"/>
                <w:b w:val="1"/>
                <w:bCs w:val="1"/>
                <w:color w:val="FFFFFF"/>
              </w:rPr>
              <w:t>  Attainment</w:t>
            </w:r>
          </w:p>
        </w:tc>
      </w:tr>
      <w:tr>
        <w:trPr>
          <w:trHeight w:val="189"/>
        </w:trPr>
        <w:tc>
          <w:tcPr>
            <w:tcW w:w="2080" w:type="dxa"/>
            <w:vAlign w:val="bottom"/>
            <w:shd w:val="clear" w:color="auto" w:fill="3E8EDE"/>
          </w:tcPr>
          <w:p>
            <w:pPr>
              <w:spacing w:after="0"/>
              <w:rPr>
                <w:sz w:val="16"/>
                <w:szCs w:val="16"/>
                <w:color w:val="auto"/>
              </w:rPr>
            </w:pPr>
          </w:p>
        </w:tc>
        <w:tc>
          <w:tcPr>
            <w:tcW w:w="1260" w:type="dxa"/>
            <w:vAlign w:val="bottom"/>
            <w:gridSpan w:val="2"/>
            <w:shd w:val="clear" w:color="auto" w:fill="3E8EDE"/>
          </w:tcPr>
          <w:p>
            <w:pPr>
              <w:jc w:val="right"/>
              <w:ind w:right="119"/>
              <w:spacing w:after="0"/>
              <w:rPr>
                <w:sz w:val="20"/>
                <w:szCs w:val="20"/>
                <w:color w:val="auto"/>
              </w:rPr>
            </w:pPr>
            <w:r>
              <w:rPr>
                <w:rFonts w:ascii="Arial" w:cs="Arial" w:eastAsia="Arial" w:hAnsi="Arial"/>
                <w:sz w:val="14"/>
                <w:szCs w:val="14"/>
                <w:b w:val="1"/>
                <w:bCs w:val="1"/>
                <w:color w:val="FFFFFF"/>
              </w:rPr>
              <w:t>  Threshold</w:t>
            </w:r>
          </w:p>
        </w:tc>
        <w:tc>
          <w:tcPr>
            <w:tcW w:w="1060" w:type="dxa"/>
            <w:vAlign w:val="bottom"/>
            <w:gridSpan w:val="2"/>
            <w:shd w:val="clear" w:color="auto" w:fill="3E8EDE"/>
          </w:tcPr>
          <w:p>
            <w:pPr>
              <w:jc w:val="right"/>
              <w:ind w:right="239"/>
              <w:spacing w:after="0"/>
              <w:rPr>
                <w:sz w:val="20"/>
                <w:szCs w:val="20"/>
                <w:color w:val="auto"/>
              </w:rPr>
            </w:pPr>
            <w:r>
              <w:rPr>
                <w:rFonts w:ascii="Arial" w:cs="Arial" w:eastAsia="Arial" w:hAnsi="Arial"/>
                <w:sz w:val="14"/>
                <w:szCs w:val="14"/>
                <w:b w:val="1"/>
                <w:bCs w:val="1"/>
                <w:color w:val="FFFFFF"/>
              </w:rPr>
              <w:t>  Target</w:t>
            </w:r>
          </w:p>
        </w:tc>
        <w:tc>
          <w:tcPr>
            <w:tcW w:w="1160" w:type="dxa"/>
            <w:vAlign w:val="bottom"/>
            <w:shd w:val="clear" w:color="auto" w:fill="3E8EDE"/>
          </w:tcPr>
          <w:p>
            <w:pPr>
              <w:jc w:val="center"/>
              <w:ind w:right="22"/>
              <w:spacing w:after="0"/>
              <w:rPr>
                <w:sz w:val="20"/>
                <w:szCs w:val="20"/>
                <w:color w:val="auto"/>
              </w:rPr>
            </w:pPr>
            <w:r>
              <w:rPr>
                <w:rFonts w:ascii="Arial" w:cs="Arial" w:eastAsia="Arial" w:hAnsi="Arial"/>
                <w:sz w:val="14"/>
                <w:szCs w:val="14"/>
                <w:b w:val="1"/>
                <w:bCs w:val="1"/>
                <w:color w:val="FFFFFF"/>
                <w:w w:val="98"/>
              </w:rPr>
              <w:t xml:space="preserve">  Maximum </w:t>
            </w:r>
          </w:p>
        </w:tc>
        <w:tc>
          <w:tcPr>
            <w:tcW w:w="1260" w:type="dxa"/>
            <w:vAlign w:val="bottom"/>
            <w:shd w:val="clear" w:color="auto" w:fill="3E8EDE"/>
          </w:tcPr>
          <w:p>
            <w:pPr>
              <w:jc w:val="right"/>
              <w:ind w:right="199"/>
              <w:spacing w:after="0"/>
              <w:rPr>
                <w:sz w:val="20"/>
                <w:szCs w:val="20"/>
                <w:color w:val="auto"/>
              </w:rPr>
            </w:pPr>
            <w:r>
              <w:rPr>
                <w:rFonts w:ascii="Arial" w:cs="Arial" w:eastAsia="Arial" w:hAnsi="Arial"/>
                <w:sz w:val="14"/>
                <w:szCs w:val="14"/>
                <w:b w:val="1"/>
                <w:bCs w:val="1"/>
                <w:color w:val="FFFFFF"/>
              </w:rPr>
              <w:t>  Weighting</w:t>
            </w:r>
          </w:p>
        </w:tc>
        <w:tc>
          <w:tcPr>
            <w:tcW w:w="1260" w:type="dxa"/>
            <w:vAlign w:val="bottom"/>
            <w:shd w:val="clear" w:color="auto" w:fill="3E8EDE"/>
          </w:tcPr>
          <w:p>
            <w:pPr>
              <w:ind w:left="280"/>
              <w:spacing w:after="0"/>
              <w:rPr>
                <w:sz w:val="20"/>
                <w:szCs w:val="20"/>
                <w:color w:val="auto"/>
              </w:rPr>
            </w:pPr>
            <w:r>
              <w:rPr>
                <w:rFonts w:ascii="Arial" w:cs="Arial" w:eastAsia="Arial" w:hAnsi="Arial"/>
                <w:sz w:val="14"/>
                <w:szCs w:val="14"/>
                <w:b w:val="1"/>
                <w:bCs w:val="1"/>
                <w:color w:val="FFFFFF"/>
              </w:rPr>
              <w:t>  Adjusted</w:t>
            </w:r>
          </w:p>
        </w:tc>
        <w:tc>
          <w:tcPr>
            <w:tcW w:w="1260" w:type="dxa"/>
            <w:vAlign w:val="bottom"/>
            <w:shd w:val="clear" w:color="auto" w:fill="3E8EDE"/>
          </w:tcPr>
          <w:p>
            <w:pPr>
              <w:jc w:val="right"/>
              <w:ind w:right="442"/>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3E8EDE"/>
          </w:tcPr>
          <w:p>
            <w:pPr>
              <w:jc w:val="right"/>
              <w:ind w:right="442"/>
              <w:spacing w:after="0"/>
              <w:rPr>
                <w:sz w:val="20"/>
                <w:szCs w:val="20"/>
                <w:color w:val="auto"/>
              </w:rPr>
            </w:pPr>
            <w:r>
              <w:rPr>
                <w:rFonts w:ascii="Arial" w:cs="Arial" w:eastAsia="Arial" w:hAnsi="Arial"/>
                <w:sz w:val="14"/>
                <w:szCs w:val="14"/>
                <w:b w:val="1"/>
                <w:bCs w:val="1"/>
                <w:color w:val="FFFFFF"/>
              </w:rPr>
              <w:t>%</w:t>
            </w:r>
          </w:p>
        </w:tc>
      </w:tr>
      <w:tr>
        <w:trPr>
          <w:trHeight w:val="67"/>
        </w:trPr>
        <w:tc>
          <w:tcPr>
            <w:tcW w:w="2080" w:type="dxa"/>
            <w:vAlign w:val="bottom"/>
            <w:shd w:val="clear" w:color="auto" w:fill="3E8EDE"/>
          </w:tcPr>
          <w:p>
            <w:pPr>
              <w:spacing w:after="0"/>
              <w:rPr>
                <w:sz w:val="5"/>
                <w:szCs w:val="5"/>
                <w:color w:val="auto"/>
              </w:rPr>
            </w:pPr>
          </w:p>
        </w:tc>
        <w:tc>
          <w:tcPr>
            <w:tcW w:w="480" w:type="dxa"/>
            <w:vAlign w:val="bottom"/>
            <w:shd w:val="clear" w:color="auto" w:fill="3E8EDE"/>
          </w:tcPr>
          <w:p>
            <w:pPr>
              <w:spacing w:after="0"/>
              <w:rPr>
                <w:sz w:val="5"/>
                <w:szCs w:val="5"/>
                <w:color w:val="auto"/>
              </w:rPr>
            </w:pPr>
          </w:p>
        </w:tc>
        <w:tc>
          <w:tcPr>
            <w:tcW w:w="780" w:type="dxa"/>
            <w:vAlign w:val="bottom"/>
            <w:shd w:val="clear" w:color="auto" w:fill="3E8EDE"/>
          </w:tcPr>
          <w:p>
            <w:pPr>
              <w:spacing w:after="0"/>
              <w:rPr>
                <w:sz w:val="5"/>
                <w:szCs w:val="5"/>
                <w:color w:val="auto"/>
              </w:rPr>
            </w:pPr>
          </w:p>
        </w:tc>
        <w:tc>
          <w:tcPr>
            <w:tcW w:w="300" w:type="dxa"/>
            <w:vAlign w:val="bottom"/>
            <w:shd w:val="clear" w:color="auto" w:fill="3E8EDE"/>
          </w:tcPr>
          <w:p>
            <w:pPr>
              <w:spacing w:after="0"/>
              <w:rPr>
                <w:sz w:val="5"/>
                <w:szCs w:val="5"/>
                <w:color w:val="auto"/>
              </w:rPr>
            </w:pPr>
          </w:p>
        </w:tc>
        <w:tc>
          <w:tcPr>
            <w:tcW w:w="760" w:type="dxa"/>
            <w:vAlign w:val="bottom"/>
            <w:shd w:val="clear" w:color="auto" w:fill="3E8EDE"/>
          </w:tcPr>
          <w:p>
            <w:pPr>
              <w:spacing w:after="0"/>
              <w:rPr>
                <w:sz w:val="5"/>
                <w:szCs w:val="5"/>
                <w:color w:val="auto"/>
              </w:rPr>
            </w:pPr>
          </w:p>
        </w:tc>
        <w:tc>
          <w:tcPr>
            <w:tcW w:w="1160" w:type="dxa"/>
            <w:vAlign w:val="bottom"/>
            <w:shd w:val="clear" w:color="auto" w:fill="3E8EDE"/>
          </w:tcPr>
          <w:p>
            <w:pPr>
              <w:spacing w:after="0"/>
              <w:rPr>
                <w:sz w:val="5"/>
                <w:szCs w:val="5"/>
                <w:color w:val="auto"/>
              </w:rPr>
            </w:pPr>
          </w:p>
        </w:tc>
        <w:tc>
          <w:tcPr>
            <w:tcW w:w="1260" w:type="dxa"/>
            <w:vAlign w:val="bottom"/>
            <w:shd w:val="clear" w:color="auto" w:fill="3E8EDE"/>
          </w:tcPr>
          <w:p>
            <w:pPr>
              <w:spacing w:after="0"/>
              <w:rPr>
                <w:sz w:val="5"/>
                <w:szCs w:val="5"/>
                <w:color w:val="auto"/>
              </w:rPr>
            </w:pPr>
          </w:p>
        </w:tc>
        <w:tc>
          <w:tcPr>
            <w:tcW w:w="1260" w:type="dxa"/>
            <w:vAlign w:val="bottom"/>
            <w:shd w:val="clear" w:color="auto" w:fill="3E8EDE"/>
          </w:tcPr>
          <w:p>
            <w:pPr>
              <w:spacing w:after="0"/>
              <w:rPr>
                <w:sz w:val="5"/>
                <w:szCs w:val="5"/>
                <w:color w:val="auto"/>
              </w:rPr>
            </w:pPr>
          </w:p>
        </w:tc>
        <w:tc>
          <w:tcPr>
            <w:tcW w:w="1260" w:type="dxa"/>
            <w:vAlign w:val="bottom"/>
            <w:shd w:val="clear" w:color="auto" w:fill="3E8EDE"/>
          </w:tcPr>
          <w:p>
            <w:pPr>
              <w:spacing w:after="0"/>
              <w:rPr>
                <w:sz w:val="5"/>
                <w:szCs w:val="5"/>
                <w:color w:val="auto"/>
              </w:rPr>
            </w:pPr>
          </w:p>
        </w:tc>
        <w:tc>
          <w:tcPr>
            <w:tcW w:w="1220" w:type="dxa"/>
            <w:vAlign w:val="bottom"/>
            <w:shd w:val="clear" w:color="auto" w:fill="3E8EDE"/>
          </w:tcPr>
          <w:p>
            <w:pPr>
              <w:spacing w:after="0"/>
              <w:rPr>
                <w:sz w:val="5"/>
                <w:szCs w:val="5"/>
                <w:color w:val="auto"/>
              </w:rPr>
            </w:pPr>
          </w:p>
        </w:tc>
      </w:tr>
      <w:tr>
        <w:trPr>
          <w:trHeight w:val="274"/>
        </w:trPr>
        <w:tc>
          <w:tcPr>
            <w:tcW w:w="2080" w:type="dxa"/>
            <w:vAlign w:val="bottom"/>
            <w:shd w:val="clear" w:color="auto" w:fill="E2EEFA"/>
          </w:tcPr>
          <w:p>
            <w:pPr>
              <w:spacing w:after="0"/>
              <w:rPr>
                <w:sz w:val="20"/>
                <w:szCs w:val="20"/>
                <w:color w:val="auto"/>
              </w:rPr>
            </w:pPr>
            <w:r>
              <w:rPr>
                <w:rFonts w:ascii="Arial" w:cs="Arial" w:eastAsia="Arial" w:hAnsi="Arial"/>
                <w:sz w:val="17"/>
                <w:szCs w:val="17"/>
                <w:color w:val="auto"/>
              </w:rPr>
              <w:t> Adjusted EBIT</w:t>
            </w:r>
          </w:p>
        </w:tc>
        <w:tc>
          <w:tcPr>
            <w:tcW w:w="48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2EEFA"/>
          </w:tcPr>
          <w:p>
            <w:pPr>
              <w:jc w:val="right"/>
              <w:ind w:right="119"/>
              <w:spacing w:after="0"/>
              <w:rPr>
                <w:sz w:val="20"/>
                <w:szCs w:val="20"/>
                <w:color w:val="auto"/>
              </w:rPr>
            </w:pPr>
            <w:r>
              <w:rPr>
                <w:rFonts w:ascii="Arial" w:cs="Arial" w:eastAsia="Arial" w:hAnsi="Arial"/>
                <w:sz w:val="17"/>
                <w:szCs w:val="17"/>
                <w:color w:val="auto"/>
                <w:w w:val="98"/>
              </w:rPr>
              <w:t>1,167.3</w:t>
            </w:r>
          </w:p>
        </w:tc>
        <w:tc>
          <w:tcPr>
            <w:tcW w:w="3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2EEFA"/>
          </w:tcPr>
          <w:p>
            <w:pPr>
              <w:jc w:val="right"/>
              <w:ind w:right="99"/>
              <w:spacing w:after="0"/>
              <w:rPr>
                <w:sz w:val="20"/>
                <w:szCs w:val="20"/>
                <w:color w:val="auto"/>
              </w:rPr>
            </w:pPr>
            <w:r>
              <w:rPr>
                <w:rFonts w:ascii="Arial" w:cs="Arial" w:eastAsia="Arial" w:hAnsi="Arial"/>
                <w:sz w:val="17"/>
                <w:szCs w:val="17"/>
                <w:color w:val="auto"/>
                <w:w w:val="98"/>
              </w:rPr>
              <w:t>1,373.3</w:t>
            </w:r>
          </w:p>
        </w:tc>
        <w:tc>
          <w:tcPr>
            <w:tcW w:w="1160" w:type="dxa"/>
            <w:vAlign w:val="bottom"/>
            <w:shd w:val="clear" w:color="auto" w:fill="E2EEFA"/>
          </w:tcPr>
          <w:p>
            <w:pPr>
              <w:jc w:val="center"/>
              <w:spacing w:after="0"/>
              <w:rPr>
                <w:sz w:val="20"/>
                <w:szCs w:val="20"/>
                <w:color w:val="auto"/>
              </w:rPr>
            </w:pPr>
            <w:r>
              <w:rPr>
                <w:rFonts w:ascii="Arial" w:cs="Arial" w:eastAsia="Arial" w:hAnsi="Arial"/>
                <w:sz w:val="17"/>
                <w:szCs w:val="17"/>
                <w:color w:val="auto"/>
              </w:rPr>
              <w:t>$1,510.6</w:t>
            </w:r>
          </w:p>
        </w:tc>
        <w:tc>
          <w:tcPr>
            <w:tcW w:w="1260" w:type="dxa"/>
            <w:vAlign w:val="bottom"/>
            <w:shd w:val="clear" w:color="auto" w:fill="E2EEFA"/>
          </w:tcPr>
          <w:p>
            <w:pPr>
              <w:jc w:val="right"/>
              <w:ind w:right="339"/>
              <w:spacing w:after="0"/>
              <w:rPr>
                <w:sz w:val="20"/>
                <w:szCs w:val="20"/>
                <w:color w:val="auto"/>
              </w:rPr>
            </w:pPr>
            <w:r>
              <w:rPr>
                <w:rFonts w:ascii="Arial" w:cs="Arial" w:eastAsia="Arial" w:hAnsi="Arial"/>
                <w:sz w:val="17"/>
                <w:szCs w:val="17"/>
                <w:color w:val="auto"/>
              </w:rPr>
              <w:t>75%</w:t>
            </w:r>
          </w:p>
        </w:tc>
        <w:tc>
          <w:tcPr>
            <w:tcW w:w="1260" w:type="dxa"/>
            <w:vAlign w:val="bottom"/>
            <w:shd w:val="clear" w:color="auto" w:fill="E2EEFA"/>
          </w:tcPr>
          <w:p>
            <w:pPr>
              <w:jc w:val="center"/>
              <w:spacing w:after="0"/>
              <w:rPr>
                <w:sz w:val="20"/>
                <w:szCs w:val="20"/>
                <w:color w:val="auto"/>
              </w:rPr>
            </w:pPr>
            <w:r>
              <w:rPr>
                <w:rFonts w:ascii="Arial" w:cs="Arial" w:eastAsia="Arial" w:hAnsi="Arial"/>
                <w:sz w:val="17"/>
                <w:szCs w:val="17"/>
                <w:color w:val="auto"/>
              </w:rPr>
              <w:t>$1,381.9</w:t>
            </w:r>
          </w:p>
        </w:tc>
        <w:tc>
          <w:tcPr>
            <w:tcW w:w="1260" w:type="dxa"/>
            <w:vAlign w:val="bottom"/>
            <w:shd w:val="clear" w:color="auto" w:fill="E2EEFA"/>
          </w:tcPr>
          <w:p>
            <w:pPr>
              <w:jc w:val="right"/>
              <w:ind w:right="242"/>
              <w:spacing w:after="0"/>
              <w:rPr>
                <w:sz w:val="20"/>
                <w:szCs w:val="20"/>
                <w:color w:val="auto"/>
              </w:rPr>
            </w:pPr>
            <w:r>
              <w:rPr>
                <w:rFonts w:ascii="Arial" w:cs="Arial" w:eastAsia="Arial" w:hAnsi="Arial"/>
                <w:sz w:val="17"/>
                <w:szCs w:val="17"/>
                <w:color w:val="auto"/>
              </w:rPr>
              <w:t>106.3</w:t>
            </w:r>
          </w:p>
        </w:tc>
        <w:tc>
          <w:tcPr>
            <w:tcW w:w="1220" w:type="dxa"/>
            <w:vAlign w:val="bottom"/>
            <w:shd w:val="clear" w:color="auto" w:fill="E2EEFA"/>
          </w:tcPr>
          <w:p>
            <w:pPr>
              <w:jc w:val="right"/>
              <w:ind w:right="242"/>
              <w:spacing w:after="0"/>
              <w:rPr>
                <w:sz w:val="20"/>
                <w:szCs w:val="20"/>
                <w:color w:val="auto"/>
              </w:rPr>
            </w:pPr>
            <w:r>
              <w:rPr>
                <w:rFonts w:ascii="Arial" w:cs="Arial" w:eastAsia="Arial" w:hAnsi="Arial"/>
                <w:sz w:val="17"/>
                <w:szCs w:val="17"/>
                <w:color w:val="auto"/>
              </w:rPr>
              <w:t>79.7</w:t>
            </w:r>
          </w:p>
        </w:tc>
      </w:tr>
      <w:tr>
        <w:trPr>
          <w:trHeight w:val="76"/>
        </w:trPr>
        <w:tc>
          <w:tcPr>
            <w:tcW w:w="2080" w:type="dxa"/>
            <w:vAlign w:val="bottom"/>
            <w:shd w:val="clear" w:color="auto" w:fill="E2EEFA"/>
          </w:tcPr>
          <w:p>
            <w:pPr>
              <w:spacing w:after="0"/>
              <w:rPr>
                <w:sz w:val="6"/>
                <w:szCs w:val="6"/>
                <w:color w:val="auto"/>
              </w:rPr>
            </w:pPr>
          </w:p>
        </w:tc>
        <w:tc>
          <w:tcPr>
            <w:tcW w:w="480" w:type="dxa"/>
            <w:vAlign w:val="bottom"/>
            <w:shd w:val="clear" w:color="auto" w:fill="E2EEFA"/>
          </w:tcPr>
          <w:p>
            <w:pPr>
              <w:spacing w:after="0"/>
              <w:rPr>
                <w:sz w:val="6"/>
                <w:szCs w:val="6"/>
                <w:color w:val="auto"/>
              </w:rPr>
            </w:pPr>
          </w:p>
        </w:tc>
        <w:tc>
          <w:tcPr>
            <w:tcW w:w="780" w:type="dxa"/>
            <w:vAlign w:val="bottom"/>
            <w:shd w:val="clear" w:color="auto" w:fill="E2EEFA"/>
          </w:tcPr>
          <w:p>
            <w:pPr>
              <w:spacing w:after="0"/>
              <w:rPr>
                <w:sz w:val="6"/>
                <w:szCs w:val="6"/>
                <w:color w:val="auto"/>
              </w:rPr>
            </w:pPr>
          </w:p>
        </w:tc>
        <w:tc>
          <w:tcPr>
            <w:tcW w:w="300" w:type="dxa"/>
            <w:vAlign w:val="bottom"/>
            <w:shd w:val="clear" w:color="auto" w:fill="E2EEFA"/>
          </w:tcPr>
          <w:p>
            <w:pPr>
              <w:spacing w:after="0"/>
              <w:rPr>
                <w:sz w:val="6"/>
                <w:szCs w:val="6"/>
                <w:color w:val="auto"/>
              </w:rPr>
            </w:pPr>
          </w:p>
        </w:tc>
        <w:tc>
          <w:tcPr>
            <w:tcW w:w="760" w:type="dxa"/>
            <w:vAlign w:val="bottom"/>
            <w:shd w:val="clear" w:color="auto" w:fill="E2EEFA"/>
          </w:tcPr>
          <w:p>
            <w:pPr>
              <w:spacing w:after="0"/>
              <w:rPr>
                <w:sz w:val="6"/>
                <w:szCs w:val="6"/>
                <w:color w:val="auto"/>
              </w:rPr>
            </w:pPr>
          </w:p>
        </w:tc>
        <w:tc>
          <w:tcPr>
            <w:tcW w:w="1160" w:type="dxa"/>
            <w:vAlign w:val="bottom"/>
            <w:shd w:val="clear" w:color="auto" w:fill="E2EEFA"/>
          </w:tcPr>
          <w:p>
            <w:pPr>
              <w:spacing w:after="0"/>
              <w:rPr>
                <w:sz w:val="6"/>
                <w:szCs w:val="6"/>
                <w:color w:val="auto"/>
              </w:rPr>
            </w:pPr>
          </w:p>
        </w:tc>
        <w:tc>
          <w:tcPr>
            <w:tcW w:w="1260" w:type="dxa"/>
            <w:vAlign w:val="bottom"/>
            <w:shd w:val="clear" w:color="auto" w:fill="E2EEFA"/>
          </w:tcPr>
          <w:p>
            <w:pPr>
              <w:spacing w:after="0"/>
              <w:rPr>
                <w:sz w:val="6"/>
                <w:szCs w:val="6"/>
                <w:color w:val="auto"/>
              </w:rPr>
            </w:pPr>
          </w:p>
        </w:tc>
        <w:tc>
          <w:tcPr>
            <w:tcW w:w="1260" w:type="dxa"/>
            <w:vAlign w:val="bottom"/>
            <w:shd w:val="clear" w:color="auto" w:fill="E2EEFA"/>
          </w:tcPr>
          <w:p>
            <w:pPr>
              <w:spacing w:after="0"/>
              <w:rPr>
                <w:sz w:val="6"/>
                <w:szCs w:val="6"/>
                <w:color w:val="auto"/>
              </w:rPr>
            </w:pPr>
          </w:p>
        </w:tc>
        <w:tc>
          <w:tcPr>
            <w:tcW w:w="1260" w:type="dxa"/>
            <w:vAlign w:val="bottom"/>
            <w:shd w:val="clear" w:color="auto" w:fill="E2EEFA"/>
          </w:tcPr>
          <w:p>
            <w:pPr>
              <w:spacing w:after="0"/>
              <w:rPr>
                <w:sz w:val="6"/>
                <w:szCs w:val="6"/>
                <w:color w:val="auto"/>
              </w:rPr>
            </w:pPr>
          </w:p>
        </w:tc>
        <w:tc>
          <w:tcPr>
            <w:tcW w:w="1220" w:type="dxa"/>
            <w:vAlign w:val="bottom"/>
            <w:shd w:val="clear" w:color="auto" w:fill="E2EEFA"/>
          </w:tcPr>
          <w:p>
            <w:pPr>
              <w:spacing w:after="0"/>
              <w:rPr>
                <w:sz w:val="6"/>
                <w:szCs w:val="6"/>
                <w:color w:val="auto"/>
              </w:rPr>
            </w:pPr>
          </w:p>
        </w:tc>
      </w:tr>
      <w:tr>
        <w:trPr>
          <w:trHeight w:val="274"/>
        </w:trPr>
        <w:tc>
          <w:tcPr>
            <w:tcW w:w="2080" w:type="dxa"/>
            <w:vAlign w:val="bottom"/>
          </w:tcPr>
          <w:p>
            <w:pPr>
              <w:spacing w:after="0"/>
              <w:rPr>
                <w:sz w:val="20"/>
                <w:szCs w:val="20"/>
                <w:color w:val="auto"/>
              </w:rPr>
            </w:pPr>
            <w:r>
              <w:rPr>
                <w:rFonts w:ascii="Arial" w:cs="Arial" w:eastAsia="Arial" w:hAnsi="Arial"/>
                <w:sz w:val="17"/>
                <w:szCs w:val="17"/>
                <w:color w:val="auto"/>
              </w:rPr>
              <w:t> Adjusted FCF</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19"/>
              <w:spacing w:after="0"/>
              <w:rPr>
                <w:sz w:val="20"/>
                <w:szCs w:val="20"/>
                <w:color w:val="auto"/>
              </w:rPr>
            </w:pPr>
            <w:r>
              <w:rPr>
                <w:rFonts w:ascii="Arial" w:cs="Arial" w:eastAsia="Arial" w:hAnsi="Arial"/>
                <w:sz w:val="17"/>
                <w:szCs w:val="17"/>
                <w:color w:val="auto"/>
              </w:rPr>
              <w:t>626.8</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9"/>
              <w:spacing w:after="0"/>
              <w:rPr>
                <w:sz w:val="20"/>
                <w:szCs w:val="20"/>
                <w:color w:val="auto"/>
              </w:rPr>
            </w:pPr>
            <w:r>
              <w:rPr>
                <w:rFonts w:ascii="Arial" w:cs="Arial" w:eastAsia="Arial" w:hAnsi="Arial"/>
                <w:sz w:val="17"/>
                <w:szCs w:val="17"/>
                <w:color w:val="auto"/>
              </w:rPr>
              <w:t>835.7</w:t>
            </w:r>
          </w:p>
        </w:tc>
        <w:tc>
          <w:tcPr>
            <w:tcW w:w="1160" w:type="dxa"/>
            <w:vAlign w:val="bottom"/>
          </w:tcPr>
          <w:p>
            <w:pPr>
              <w:jc w:val="center"/>
              <w:spacing w:after="0"/>
              <w:rPr>
                <w:sz w:val="20"/>
                <w:szCs w:val="20"/>
                <w:color w:val="auto"/>
              </w:rPr>
            </w:pPr>
            <w:r>
              <w:rPr>
                <w:rFonts w:ascii="Arial" w:cs="Arial" w:eastAsia="Arial" w:hAnsi="Arial"/>
                <w:sz w:val="17"/>
                <w:szCs w:val="17"/>
                <w:color w:val="auto"/>
              </w:rPr>
              <w:t>$1,044.6</w:t>
            </w:r>
          </w:p>
        </w:tc>
        <w:tc>
          <w:tcPr>
            <w:tcW w:w="1260" w:type="dxa"/>
            <w:vAlign w:val="bottom"/>
          </w:tcPr>
          <w:p>
            <w:pPr>
              <w:jc w:val="right"/>
              <w:ind w:right="339"/>
              <w:spacing w:after="0"/>
              <w:rPr>
                <w:sz w:val="20"/>
                <w:szCs w:val="20"/>
                <w:color w:val="auto"/>
              </w:rPr>
            </w:pPr>
            <w:r>
              <w:rPr>
                <w:rFonts w:ascii="Arial" w:cs="Arial" w:eastAsia="Arial" w:hAnsi="Arial"/>
                <w:sz w:val="17"/>
                <w:szCs w:val="17"/>
                <w:color w:val="auto"/>
              </w:rPr>
              <w:t>25%</w:t>
            </w:r>
          </w:p>
        </w:tc>
        <w:tc>
          <w:tcPr>
            <w:tcW w:w="1260" w:type="dxa"/>
            <w:vAlign w:val="bottom"/>
          </w:tcPr>
          <w:p>
            <w:pPr>
              <w:jc w:val="center"/>
              <w:spacing w:after="0"/>
              <w:rPr>
                <w:sz w:val="20"/>
                <w:szCs w:val="20"/>
                <w:color w:val="auto"/>
              </w:rPr>
            </w:pPr>
            <w:r>
              <w:rPr>
                <w:rFonts w:ascii="Arial" w:cs="Arial" w:eastAsia="Arial" w:hAnsi="Arial"/>
                <w:sz w:val="17"/>
                <w:szCs w:val="17"/>
                <w:color w:val="auto"/>
              </w:rPr>
              <w:t>$1,006.2</w:t>
            </w:r>
          </w:p>
        </w:tc>
        <w:tc>
          <w:tcPr>
            <w:tcW w:w="1260" w:type="dxa"/>
            <w:vAlign w:val="bottom"/>
          </w:tcPr>
          <w:p>
            <w:pPr>
              <w:jc w:val="right"/>
              <w:ind w:right="242"/>
              <w:spacing w:after="0"/>
              <w:rPr>
                <w:sz w:val="20"/>
                <w:szCs w:val="20"/>
                <w:color w:val="auto"/>
              </w:rPr>
            </w:pPr>
            <w:r>
              <w:rPr>
                <w:rFonts w:ascii="Arial" w:cs="Arial" w:eastAsia="Arial" w:hAnsi="Arial"/>
                <w:sz w:val="17"/>
                <w:szCs w:val="17"/>
                <w:color w:val="auto"/>
              </w:rPr>
              <w:t>181.6</w:t>
            </w:r>
          </w:p>
        </w:tc>
        <w:tc>
          <w:tcPr>
            <w:tcW w:w="1220" w:type="dxa"/>
            <w:vAlign w:val="bottom"/>
          </w:tcPr>
          <w:p>
            <w:pPr>
              <w:jc w:val="right"/>
              <w:ind w:right="242"/>
              <w:spacing w:after="0"/>
              <w:rPr>
                <w:sz w:val="20"/>
                <w:szCs w:val="20"/>
                <w:color w:val="auto"/>
              </w:rPr>
            </w:pPr>
            <w:r>
              <w:rPr>
                <w:rFonts w:ascii="Arial" w:cs="Arial" w:eastAsia="Arial" w:hAnsi="Arial"/>
                <w:sz w:val="17"/>
                <w:szCs w:val="17"/>
                <w:color w:val="auto"/>
              </w:rPr>
              <w:t>45.4</w:t>
            </w:r>
          </w:p>
        </w:tc>
      </w:tr>
      <w:tr>
        <w:trPr>
          <w:trHeight w:val="76"/>
        </w:trPr>
        <w:tc>
          <w:tcPr>
            <w:tcW w:w="2080" w:type="dxa"/>
            <w:vAlign w:val="bottom"/>
            <w:tcBorders>
              <w:bottom w:val="single" w:sz="8" w:color="3E8EDE"/>
            </w:tcBorders>
          </w:tcPr>
          <w:p>
            <w:pPr>
              <w:spacing w:after="0"/>
              <w:rPr>
                <w:sz w:val="6"/>
                <w:szCs w:val="6"/>
                <w:color w:val="auto"/>
              </w:rPr>
            </w:pPr>
          </w:p>
        </w:tc>
        <w:tc>
          <w:tcPr>
            <w:tcW w:w="480" w:type="dxa"/>
            <w:vAlign w:val="bottom"/>
            <w:tcBorders>
              <w:bottom w:val="single" w:sz="8" w:color="3E8EDE"/>
            </w:tcBorders>
          </w:tcPr>
          <w:p>
            <w:pPr>
              <w:spacing w:after="0"/>
              <w:rPr>
                <w:sz w:val="6"/>
                <w:szCs w:val="6"/>
                <w:color w:val="auto"/>
              </w:rPr>
            </w:pPr>
          </w:p>
        </w:tc>
        <w:tc>
          <w:tcPr>
            <w:tcW w:w="780" w:type="dxa"/>
            <w:vAlign w:val="bottom"/>
            <w:tcBorders>
              <w:bottom w:val="single" w:sz="8" w:color="3E8EDE"/>
            </w:tcBorders>
          </w:tcPr>
          <w:p>
            <w:pPr>
              <w:spacing w:after="0"/>
              <w:rPr>
                <w:sz w:val="6"/>
                <w:szCs w:val="6"/>
                <w:color w:val="auto"/>
              </w:rPr>
            </w:pPr>
          </w:p>
        </w:tc>
        <w:tc>
          <w:tcPr>
            <w:tcW w:w="300" w:type="dxa"/>
            <w:vAlign w:val="bottom"/>
            <w:tcBorders>
              <w:bottom w:val="single" w:sz="8" w:color="3E8EDE"/>
            </w:tcBorders>
          </w:tcPr>
          <w:p>
            <w:pPr>
              <w:spacing w:after="0"/>
              <w:rPr>
                <w:sz w:val="6"/>
                <w:szCs w:val="6"/>
                <w:color w:val="auto"/>
              </w:rPr>
            </w:pPr>
          </w:p>
        </w:tc>
        <w:tc>
          <w:tcPr>
            <w:tcW w:w="760" w:type="dxa"/>
            <w:vAlign w:val="bottom"/>
            <w:tcBorders>
              <w:bottom w:val="single" w:sz="8" w:color="3E8EDE"/>
            </w:tcBorders>
          </w:tcPr>
          <w:p>
            <w:pPr>
              <w:spacing w:after="0"/>
              <w:rPr>
                <w:sz w:val="6"/>
                <w:szCs w:val="6"/>
                <w:color w:val="auto"/>
              </w:rPr>
            </w:pPr>
          </w:p>
        </w:tc>
        <w:tc>
          <w:tcPr>
            <w:tcW w:w="1160" w:type="dxa"/>
            <w:vAlign w:val="bottom"/>
            <w:tcBorders>
              <w:bottom w:val="single" w:sz="8" w:color="3E8EDE"/>
            </w:tcBorders>
          </w:tcPr>
          <w:p>
            <w:pPr>
              <w:spacing w:after="0"/>
              <w:rPr>
                <w:sz w:val="6"/>
                <w:szCs w:val="6"/>
                <w:color w:val="auto"/>
              </w:rPr>
            </w:pPr>
          </w:p>
        </w:tc>
        <w:tc>
          <w:tcPr>
            <w:tcW w:w="1260" w:type="dxa"/>
            <w:vAlign w:val="bottom"/>
            <w:tcBorders>
              <w:bottom w:val="single" w:sz="8" w:color="3E8EDE"/>
            </w:tcBorders>
          </w:tcPr>
          <w:p>
            <w:pPr>
              <w:spacing w:after="0"/>
              <w:rPr>
                <w:sz w:val="6"/>
                <w:szCs w:val="6"/>
                <w:color w:val="auto"/>
              </w:rPr>
            </w:pPr>
          </w:p>
        </w:tc>
        <w:tc>
          <w:tcPr>
            <w:tcW w:w="1260" w:type="dxa"/>
            <w:vAlign w:val="bottom"/>
            <w:tcBorders>
              <w:bottom w:val="single" w:sz="8" w:color="3E8EDE"/>
            </w:tcBorders>
          </w:tcPr>
          <w:p>
            <w:pPr>
              <w:spacing w:after="0"/>
              <w:rPr>
                <w:sz w:val="6"/>
                <w:szCs w:val="6"/>
                <w:color w:val="auto"/>
              </w:rPr>
            </w:pPr>
          </w:p>
        </w:tc>
        <w:tc>
          <w:tcPr>
            <w:tcW w:w="1260" w:type="dxa"/>
            <w:vAlign w:val="bottom"/>
            <w:tcBorders>
              <w:bottom w:val="single" w:sz="8" w:color="3E8EDE"/>
            </w:tcBorders>
          </w:tcPr>
          <w:p>
            <w:pPr>
              <w:spacing w:after="0"/>
              <w:rPr>
                <w:sz w:val="6"/>
                <w:szCs w:val="6"/>
                <w:color w:val="auto"/>
              </w:rPr>
            </w:pPr>
          </w:p>
        </w:tc>
        <w:tc>
          <w:tcPr>
            <w:tcW w:w="1220" w:type="dxa"/>
            <w:vAlign w:val="bottom"/>
            <w:tcBorders>
              <w:bottom w:val="single" w:sz="8" w:color="3E8EDE"/>
            </w:tcBorders>
          </w:tcPr>
          <w:p>
            <w:pPr>
              <w:spacing w:after="0"/>
              <w:rPr>
                <w:sz w:val="6"/>
                <w:szCs w:val="6"/>
                <w:color w:val="auto"/>
              </w:rPr>
            </w:pPr>
          </w:p>
        </w:tc>
      </w:tr>
      <w:tr>
        <w:trPr>
          <w:trHeight w:val="254"/>
        </w:trPr>
        <w:tc>
          <w:tcPr>
            <w:tcW w:w="2080" w:type="dxa"/>
            <w:vAlign w:val="bottom"/>
            <w:shd w:val="clear" w:color="auto" w:fill="E2EEFA"/>
          </w:tcPr>
          <w:p>
            <w:pPr>
              <w:spacing w:after="0"/>
              <w:rPr>
                <w:sz w:val="20"/>
                <w:szCs w:val="20"/>
                <w:color w:val="auto"/>
              </w:rPr>
            </w:pPr>
            <w:r>
              <w:rPr>
                <w:rFonts w:ascii="Arial" w:cs="Arial" w:eastAsia="Arial" w:hAnsi="Arial"/>
                <w:sz w:val="17"/>
                <w:szCs w:val="17"/>
                <w:color w:val="auto"/>
              </w:rPr>
              <w:t> Total</w:t>
            </w:r>
          </w:p>
        </w:tc>
        <w:tc>
          <w:tcPr>
            <w:tcW w:w="480" w:type="dxa"/>
            <w:vAlign w:val="bottom"/>
            <w:shd w:val="clear" w:color="auto" w:fill="E2EEFA"/>
          </w:tcPr>
          <w:p>
            <w:pPr>
              <w:spacing w:after="0"/>
              <w:rPr>
                <w:sz w:val="22"/>
                <w:szCs w:val="22"/>
                <w:color w:val="auto"/>
              </w:rPr>
            </w:pPr>
          </w:p>
        </w:tc>
        <w:tc>
          <w:tcPr>
            <w:tcW w:w="780" w:type="dxa"/>
            <w:vAlign w:val="bottom"/>
            <w:shd w:val="clear" w:color="auto" w:fill="E2EEFA"/>
          </w:tcPr>
          <w:p>
            <w:pPr>
              <w:spacing w:after="0"/>
              <w:rPr>
                <w:sz w:val="22"/>
                <w:szCs w:val="22"/>
                <w:color w:val="auto"/>
              </w:rPr>
            </w:pPr>
          </w:p>
        </w:tc>
        <w:tc>
          <w:tcPr>
            <w:tcW w:w="300" w:type="dxa"/>
            <w:vAlign w:val="bottom"/>
            <w:shd w:val="clear" w:color="auto" w:fill="E2EEFA"/>
          </w:tcPr>
          <w:p>
            <w:pPr>
              <w:spacing w:after="0"/>
              <w:rPr>
                <w:sz w:val="22"/>
                <w:szCs w:val="22"/>
                <w:color w:val="auto"/>
              </w:rPr>
            </w:pPr>
          </w:p>
        </w:tc>
        <w:tc>
          <w:tcPr>
            <w:tcW w:w="760" w:type="dxa"/>
            <w:vAlign w:val="bottom"/>
            <w:shd w:val="clear" w:color="auto" w:fill="E2EEFA"/>
          </w:tcPr>
          <w:p>
            <w:pPr>
              <w:spacing w:after="0"/>
              <w:rPr>
                <w:sz w:val="22"/>
                <w:szCs w:val="22"/>
                <w:color w:val="auto"/>
              </w:rPr>
            </w:pPr>
          </w:p>
        </w:tc>
        <w:tc>
          <w:tcPr>
            <w:tcW w:w="1160" w:type="dxa"/>
            <w:vAlign w:val="bottom"/>
            <w:shd w:val="clear" w:color="auto" w:fill="E2EEFA"/>
          </w:tcPr>
          <w:p>
            <w:pPr>
              <w:spacing w:after="0"/>
              <w:rPr>
                <w:sz w:val="22"/>
                <w:szCs w:val="22"/>
                <w:color w:val="auto"/>
              </w:rPr>
            </w:pPr>
          </w:p>
        </w:tc>
        <w:tc>
          <w:tcPr>
            <w:tcW w:w="1260" w:type="dxa"/>
            <w:vAlign w:val="bottom"/>
            <w:shd w:val="clear" w:color="auto" w:fill="E2EEFA"/>
          </w:tcPr>
          <w:p>
            <w:pPr>
              <w:spacing w:after="0"/>
              <w:rPr>
                <w:sz w:val="22"/>
                <w:szCs w:val="22"/>
                <w:color w:val="auto"/>
              </w:rPr>
            </w:pPr>
          </w:p>
        </w:tc>
        <w:tc>
          <w:tcPr>
            <w:tcW w:w="1260" w:type="dxa"/>
            <w:vAlign w:val="bottom"/>
            <w:shd w:val="clear" w:color="auto" w:fill="E2EEFA"/>
          </w:tcPr>
          <w:p>
            <w:pPr>
              <w:spacing w:after="0"/>
              <w:rPr>
                <w:sz w:val="22"/>
                <w:szCs w:val="22"/>
                <w:color w:val="auto"/>
              </w:rPr>
            </w:pPr>
          </w:p>
        </w:tc>
        <w:tc>
          <w:tcPr>
            <w:tcW w:w="1260" w:type="dxa"/>
            <w:vAlign w:val="bottom"/>
            <w:shd w:val="clear" w:color="auto" w:fill="E2EEFA"/>
          </w:tcPr>
          <w:p>
            <w:pPr>
              <w:spacing w:after="0"/>
              <w:rPr>
                <w:sz w:val="22"/>
                <w:szCs w:val="22"/>
                <w:color w:val="auto"/>
              </w:rPr>
            </w:pPr>
          </w:p>
        </w:tc>
        <w:tc>
          <w:tcPr>
            <w:tcW w:w="1220" w:type="dxa"/>
            <w:vAlign w:val="bottom"/>
            <w:shd w:val="clear" w:color="auto" w:fill="E2EEFA"/>
          </w:tcPr>
          <w:p>
            <w:pPr>
              <w:jc w:val="right"/>
              <w:ind w:right="242"/>
              <w:spacing w:after="0"/>
              <w:rPr>
                <w:sz w:val="20"/>
                <w:szCs w:val="20"/>
                <w:color w:val="auto"/>
              </w:rPr>
            </w:pPr>
            <w:r>
              <w:rPr>
                <w:rFonts w:ascii="Arial" w:cs="Arial" w:eastAsia="Arial" w:hAnsi="Arial"/>
                <w:sz w:val="17"/>
                <w:szCs w:val="17"/>
                <w:color w:val="auto"/>
              </w:rPr>
              <w:t>125.1</w:t>
            </w:r>
          </w:p>
        </w:tc>
      </w:tr>
      <w:tr>
        <w:trPr>
          <w:trHeight w:val="76"/>
        </w:trPr>
        <w:tc>
          <w:tcPr>
            <w:tcW w:w="2080" w:type="dxa"/>
            <w:vAlign w:val="bottom"/>
            <w:tcBorders>
              <w:bottom w:val="single" w:sz="8" w:color="3E8EDE"/>
            </w:tcBorders>
            <w:shd w:val="clear" w:color="auto" w:fill="E2EEFA"/>
          </w:tcPr>
          <w:p>
            <w:pPr>
              <w:spacing w:after="0"/>
              <w:rPr>
                <w:sz w:val="6"/>
                <w:szCs w:val="6"/>
                <w:color w:val="auto"/>
              </w:rPr>
            </w:pPr>
          </w:p>
        </w:tc>
        <w:tc>
          <w:tcPr>
            <w:tcW w:w="480" w:type="dxa"/>
            <w:vAlign w:val="bottom"/>
            <w:tcBorders>
              <w:bottom w:val="single" w:sz="8" w:color="3E8EDE"/>
            </w:tcBorders>
            <w:shd w:val="clear" w:color="auto" w:fill="E2EEFA"/>
          </w:tcPr>
          <w:p>
            <w:pPr>
              <w:spacing w:after="0"/>
              <w:rPr>
                <w:sz w:val="6"/>
                <w:szCs w:val="6"/>
                <w:color w:val="auto"/>
              </w:rPr>
            </w:pPr>
          </w:p>
        </w:tc>
        <w:tc>
          <w:tcPr>
            <w:tcW w:w="780" w:type="dxa"/>
            <w:vAlign w:val="bottom"/>
            <w:tcBorders>
              <w:bottom w:val="single" w:sz="8" w:color="3E8EDE"/>
            </w:tcBorders>
            <w:shd w:val="clear" w:color="auto" w:fill="E2EEFA"/>
          </w:tcPr>
          <w:p>
            <w:pPr>
              <w:spacing w:after="0"/>
              <w:rPr>
                <w:sz w:val="6"/>
                <w:szCs w:val="6"/>
                <w:color w:val="auto"/>
              </w:rPr>
            </w:pPr>
          </w:p>
        </w:tc>
        <w:tc>
          <w:tcPr>
            <w:tcW w:w="300" w:type="dxa"/>
            <w:vAlign w:val="bottom"/>
            <w:tcBorders>
              <w:bottom w:val="single" w:sz="8" w:color="3E8EDE"/>
            </w:tcBorders>
            <w:shd w:val="clear" w:color="auto" w:fill="E2EEFA"/>
          </w:tcPr>
          <w:p>
            <w:pPr>
              <w:spacing w:after="0"/>
              <w:rPr>
                <w:sz w:val="6"/>
                <w:szCs w:val="6"/>
                <w:color w:val="auto"/>
              </w:rPr>
            </w:pPr>
          </w:p>
        </w:tc>
        <w:tc>
          <w:tcPr>
            <w:tcW w:w="760" w:type="dxa"/>
            <w:vAlign w:val="bottom"/>
            <w:tcBorders>
              <w:bottom w:val="single" w:sz="8" w:color="3E8EDE"/>
            </w:tcBorders>
            <w:shd w:val="clear" w:color="auto" w:fill="E2EEFA"/>
          </w:tcPr>
          <w:p>
            <w:pPr>
              <w:spacing w:after="0"/>
              <w:rPr>
                <w:sz w:val="6"/>
                <w:szCs w:val="6"/>
                <w:color w:val="auto"/>
              </w:rPr>
            </w:pPr>
          </w:p>
        </w:tc>
        <w:tc>
          <w:tcPr>
            <w:tcW w:w="1160" w:type="dxa"/>
            <w:vAlign w:val="bottom"/>
            <w:tcBorders>
              <w:bottom w:val="single" w:sz="8" w:color="3E8EDE"/>
            </w:tcBorders>
            <w:shd w:val="clear" w:color="auto" w:fill="E2EEFA"/>
          </w:tcPr>
          <w:p>
            <w:pPr>
              <w:spacing w:after="0"/>
              <w:rPr>
                <w:sz w:val="6"/>
                <w:szCs w:val="6"/>
                <w:color w:val="auto"/>
              </w:rPr>
            </w:pPr>
          </w:p>
        </w:tc>
        <w:tc>
          <w:tcPr>
            <w:tcW w:w="1260" w:type="dxa"/>
            <w:vAlign w:val="bottom"/>
            <w:tcBorders>
              <w:bottom w:val="single" w:sz="8" w:color="3E8EDE"/>
            </w:tcBorders>
            <w:shd w:val="clear" w:color="auto" w:fill="E2EEFA"/>
          </w:tcPr>
          <w:p>
            <w:pPr>
              <w:spacing w:after="0"/>
              <w:rPr>
                <w:sz w:val="6"/>
                <w:szCs w:val="6"/>
                <w:color w:val="auto"/>
              </w:rPr>
            </w:pPr>
          </w:p>
        </w:tc>
        <w:tc>
          <w:tcPr>
            <w:tcW w:w="1260" w:type="dxa"/>
            <w:vAlign w:val="bottom"/>
            <w:tcBorders>
              <w:bottom w:val="single" w:sz="8" w:color="3E8EDE"/>
            </w:tcBorders>
            <w:shd w:val="clear" w:color="auto" w:fill="E2EEFA"/>
          </w:tcPr>
          <w:p>
            <w:pPr>
              <w:spacing w:after="0"/>
              <w:rPr>
                <w:sz w:val="6"/>
                <w:szCs w:val="6"/>
                <w:color w:val="auto"/>
              </w:rPr>
            </w:pPr>
          </w:p>
        </w:tc>
        <w:tc>
          <w:tcPr>
            <w:tcW w:w="1260" w:type="dxa"/>
            <w:vAlign w:val="bottom"/>
            <w:tcBorders>
              <w:bottom w:val="single" w:sz="8" w:color="3E8EDE"/>
            </w:tcBorders>
            <w:shd w:val="clear" w:color="auto" w:fill="E2EEFA"/>
          </w:tcPr>
          <w:p>
            <w:pPr>
              <w:spacing w:after="0"/>
              <w:rPr>
                <w:sz w:val="6"/>
                <w:szCs w:val="6"/>
                <w:color w:val="auto"/>
              </w:rPr>
            </w:pPr>
          </w:p>
        </w:tc>
        <w:tc>
          <w:tcPr>
            <w:tcW w:w="1220" w:type="dxa"/>
            <w:vAlign w:val="bottom"/>
            <w:tcBorders>
              <w:bottom w:val="single" w:sz="8" w:color="3E8EDE"/>
            </w:tcBorders>
            <w:shd w:val="clear" w:color="auto" w:fill="E2EEFA"/>
          </w:tcPr>
          <w:p>
            <w:pPr>
              <w:spacing w:after="0"/>
              <w:rPr>
                <w:sz w:val="6"/>
                <w:szCs w:val="6"/>
                <w:color w:val="auto"/>
              </w:rPr>
            </w:pPr>
          </w:p>
        </w:tc>
      </w:tr>
    </w:tbl>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300"/>
        <w:spacing w:after="0" w:line="262" w:lineRule="auto"/>
        <w:rPr>
          <w:sz w:val="20"/>
          <w:szCs w:val="20"/>
          <w:color w:val="auto"/>
        </w:rPr>
      </w:pPr>
      <w:r>
        <w:rPr>
          <w:rFonts w:ascii="Arial" w:cs="Arial" w:eastAsia="Arial" w:hAnsi="Arial"/>
          <w:sz w:val="19"/>
          <w:szCs w:val="19"/>
          <w:color w:val="auto"/>
        </w:rPr>
        <w:t>A reconciliation of the Adjusted EBIT and Adjusted FCF used to determine the targets and actual achievement for the year ended March 31, 2026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121920</wp:posOffset>
            </wp:positionV>
            <wp:extent cx="6710045" cy="386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10045" cy="386715"/>
                    </a:xfrm>
                    <a:prstGeom prst="rect">
                      <a:avLst/>
                    </a:prstGeom>
                    <a:noFill/>
                  </pic:spPr>
                </pic:pic>
              </a:graphicData>
            </a:graphic>
          </wp:anchor>
        </w:drawing>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198"/>
        </w:trPr>
        <w:tc>
          <w:tcPr>
            <w:tcW w:w="6960" w:type="dxa"/>
            <w:vAlign w:val="bottom"/>
            <w:shd w:val="clear" w:color="auto" w:fill="3E8EDE"/>
          </w:tcPr>
          <w:p>
            <w:pPr>
              <w:spacing w:after="0"/>
              <w:rPr>
                <w:sz w:val="17"/>
                <w:szCs w:val="17"/>
                <w:color w:val="auto"/>
              </w:rPr>
            </w:pPr>
          </w:p>
        </w:tc>
        <w:tc>
          <w:tcPr>
            <w:tcW w:w="880" w:type="dxa"/>
            <w:vAlign w:val="bottom"/>
            <w:shd w:val="clear" w:color="auto" w:fill="3E8EDE"/>
          </w:tcPr>
          <w:p>
            <w:pPr>
              <w:spacing w:after="0"/>
              <w:rPr>
                <w:sz w:val="17"/>
                <w:szCs w:val="17"/>
                <w:color w:val="auto"/>
              </w:rPr>
            </w:pPr>
          </w:p>
        </w:tc>
        <w:tc>
          <w:tcPr>
            <w:tcW w:w="1080" w:type="dxa"/>
            <w:vAlign w:val="bottom"/>
            <w:shd w:val="clear" w:color="auto" w:fill="3E8EDE"/>
          </w:tcPr>
          <w:p>
            <w:pPr>
              <w:jc w:val="right"/>
              <w:ind w:right="856"/>
              <w:spacing w:after="0"/>
              <w:rPr>
                <w:sz w:val="20"/>
                <w:szCs w:val="20"/>
                <w:color w:val="auto"/>
              </w:rPr>
            </w:pPr>
            <w:r>
              <w:rPr>
                <w:rFonts w:ascii="Arial" w:cs="Arial" w:eastAsia="Arial" w:hAnsi="Arial"/>
                <w:sz w:val="14"/>
                <w:szCs w:val="14"/>
                <w:b w:val="1"/>
                <w:bCs w:val="1"/>
                <w:color w:val="FFFFFF"/>
              </w:rPr>
              <w:t> </w:t>
            </w:r>
          </w:p>
        </w:tc>
        <w:tc>
          <w:tcPr>
            <w:tcW w:w="740" w:type="dxa"/>
            <w:vAlign w:val="bottom"/>
            <w:shd w:val="clear" w:color="auto" w:fill="3E8EDE"/>
          </w:tcPr>
          <w:p>
            <w:pPr>
              <w:spacing w:after="0"/>
              <w:rPr>
                <w:sz w:val="17"/>
                <w:szCs w:val="17"/>
                <w:color w:val="auto"/>
              </w:rPr>
            </w:pPr>
          </w:p>
        </w:tc>
        <w:tc>
          <w:tcPr>
            <w:tcW w:w="900" w:type="dxa"/>
            <w:vAlign w:val="bottom"/>
            <w:shd w:val="clear" w:color="auto" w:fill="3E8EDE"/>
          </w:tcPr>
          <w:p>
            <w:pPr>
              <w:jc w:val="right"/>
              <w:ind w:right="676"/>
              <w:spacing w:after="0"/>
              <w:rPr>
                <w:sz w:val="20"/>
                <w:szCs w:val="20"/>
                <w:color w:val="auto"/>
              </w:rPr>
            </w:pPr>
            <w:r>
              <w:rPr>
                <w:rFonts w:ascii="Arial" w:cs="Arial" w:eastAsia="Arial" w:hAnsi="Arial"/>
                <w:sz w:val="14"/>
                <w:szCs w:val="14"/>
                <w:b w:val="1"/>
                <w:bCs w:val="1"/>
                <w:color w:val="FFFFFF"/>
              </w:rPr>
              <w:t> </w:t>
            </w:r>
          </w:p>
        </w:tc>
      </w:tr>
      <w:tr>
        <w:trPr>
          <w:trHeight w:val="155"/>
        </w:trPr>
        <w:tc>
          <w:tcPr>
            <w:tcW w:w="6960" w:type="dxa"/>
            <w:vAlign w:val="bottom"/>
            <w:shd w:val="clear" w:color="auto" w:fill="3E8EDE"/>
          </w:tcPr>
          <w:p>
            <w:pPr>
              <w:spacing w:after="0"/>
              <w:rPr>
                <w:sz w:val="13"/>
                <w:szCs w:val="13"/>
                <w:color w:val="auto"/>
              </w:rPr>
            </w:pPr>
          </w:p>
        </w:tc>
        <w:tc>
          <w:tcPr>
            <w:tcW w:w="1960" w:type="dxa"/>
            <w:vAlign w:val="bottom"/>
            <w:gridSpan w:val="2"/>
            <w:shd w:val="clear" w:color="auto" w:fill="3E8EDE"/>
          </w:tcPr>
          <w:p>
            <w:pPr>
              <w:jc w:val="right"/>
              <w:spacing w:after="0" w:line="155" w:lineRule="exact"/>
              <w:rPr>
                <w:sz w:val="20"/>
                <w:szCs w:val="20"/>
                <w:color w:val="auto"/>
              </w:rPr>
            </w:pPr>
            <w:r>
              <w:rPr>
                <w:rFonts w:ascii="Arial" w:cs="Arial" w:eastAsia="Arial" w:hAnsi="Arial"/>
                <w:sz w:val="14"/>
                <w:szCs w:val="14"/>
                <w:b w:val="1"/>
                <w:bCs w:val="1"/>
                <w:color w:val="FFFFFF"/>
              </w:rPr>
              <w:t>Total Company EBIT Actual</w:t>
            </w:r>
          </w:p>
        </w:tc>
        <w:tc>
          <w:tcPr>
            <w:tcW w:w="1640" w:type="dxa"/>
            <w:vAlign w:val="bottom"/>
            <w:gridSpan w:val="2"/>
            <w:shd w:val="clear" w:color="auto" w:fill="3E8EDE"/>
          </w:tcPr>
          <w:p>
            <w:pPr>
              <w:jc w:val="right"/>
              <w:spacing w:after="0" w:line="155" w:lineRule="exact"/>
              <w:rPr>
                <w:sz w:val="20"/>
                <w:szCs w:val="20"/>
                <w:color w:val="auto"/>
              </w:rPr>
            </w:pPr>
            <w:r>
              <w:rPr>
                <w:rFonts w:ascii="Arial" w:cs="Arial" w:eastAsia="Arial" w:hAnsi="Arial"/>
                <w:sz w:val="14"/>
                <w:szCs w:val="14"/>
                <w:b w:val="1"/>
                <w:bCs w:val="1"/>
                <w:color w:val="FFFFFF"/>
              </w:rPr>
              <w:t>Free Cash Flow Actual</w:t>
            </w:r>
          </w:p>
        </w:tc>
      </w:tr>
      <w:tr>
        <w:trPr>
          <w:trHeight w:val="223"/>
        </w:trPr>
        <w:tc>
          <w:tcPr>
            <w:tcW w:w="6960" w:type="dxa"/>
            <w:vAlign w:val="bottom"/>
            <w:tcBorders>
              <w:bottom w:val="single" w:sz="8" w:color="3E8EDE"/>
            </w:tcBorders>
            <w:shd w:val="clear" w:color="auto" w:fill="3E8EDE"/>
          </w:tcPr>
          <w:p>
            <w:pPr>
              <w:spacing w:after="0"/>
              <w:rPr>
                <w:sz w:val="20"/>
                <w:szCs w:val="20"/>
                <w:color w:val="auto"/>
              </w:rPr>
            </w:pPr>
            <w:r>
              <w:rPr>
                <w:rFonts w:ascii="Arial" w:cs="Arial" w:eastAsia="Arial" w:hAnsi="Arial"/>
                <w:sz w:val="14"/>
                <w:szCs w:val="14"/>
                <w:b w:val="1"/>
                <w:bCs w:val="1"/>
                <w:color w:val="FFFFFF"/>
              </w:rPr>
              <w:t>  Year Ended March 31, 2026</w:t>
            </w:r>
          </w:p>
        </w:tc>
        <w:tc>
          <w:tcPr>
            <w:tcW w:w="1960" w:type="dxa"/>
            <w:vAlign w:val="bottom"/>
            <w:tcBorders>
              <w:bottom w:val="single" w:sz="8" w:color="3E8EDE"/>
            </w:tcBorders>
            <w:gridSpan w:val="2"/>
            <w:shd w:val="clear" w:color="auto" w:fill="3E8EDE"/>
          </w:tcPr>
          <w:p>
            <w:pPr>
              <w:jc w:val="right"/>
              <w:ind w:right="476"/>
              <w:spacing w:after="0"/>
              <w:rPr>
                <w:sz w:val="20"/>
                <w:szCs w:val="20"/>
                <w:color w:val="auto"/>
              </w:rPr>
            </w:pPr>
            <w:r>
              <w:rPr>
                <w:rFonts w:ascii="Arial" w:cs="Arial" w:eastAsia="Arial" w:hAnsi="Arial"/>
                <w:sz w:val="14"/>
                <w:szCs w:val="14"/>
                <w:b w:val="1"/>
                <w:bCs w:val="1"/>
                <w:color w:val="FFFFFF"/>
              </w:rPr>
              <w:t>(in millions)</w:t>
            </w:r>
          </w:p>
        </w:tc>
        <w:tc>
          <w:tcPr>
            <w:tcW w:w="1640" w:type="dxa"/>
            <w:vAlign w:val="bottom"/>
            <w:tcBorders>
              <w:bottom w:val="single" w:sz="8" w:color="3E8EDE"/>
            </w:tcBorders>
            <w:gridSpan w:val="2"/>
            <w:shd w:val="clear" w:color="auto" w:fill="3E8EDE"/>
          </w:tcPr>
          <w:p>
            <w:pPr>
              <w:jc w:val="right"/>
              <w:ind w:right="296"/>
              <w:spacing w:after="0"/>
              <w:rPr>
                <w:sz w:val="20"/>
                <w:szCs w:val="20"/>
                <w:color w:val="auto"/>
              </w:rPr>
            </w:pPr>
            <w:r>
              <w:rPr>
                <w:rFonts w:ascii="Arial" w:cs="Arial" w:eastAsia="Arial" w:hAnsi="Arial"/>
                <w:sz w:val="14"/>
                <w:szCs w:val="14"/>
                <w:b w:val="1"/>
                <w:bCs w:val="1"/>
                <w:color w:val="FFFFFF"/>
              </w:rPr>
              <w:t>(in millions)</w:t>
            </w:r>
          </w:p>
        </w:tc>
      </w:tr>
      <w:tr>
        <w:trPr>
          <w:trHeight w:val="350"/>
        </w:trPr>
        <w:tc>
          <w:tcPr>
            <w:tcW w:w="6960" w:type="dxa"/>
            <w:vAlign w:val="bottom"/>
            <w:shd w:val="clear" w:color="auto" w:fill="E2EEFA"/>
          </w:tcPr>
          <w:p>
            <w:pPr>
              <w:spacing w:after="0"/>
              <w:rPr>
                <w:sz w:val="20"/>
                <w:szCs w:val="20"/>
                <w:color w:val="auto"/>
              </w:rPr>
            </w:pPr>
            <w:r>
              <w:rPr>
                <w:rFonts w:ascii="Arial" w:cs="Arial" w:eastAsia="Arial" w:hAnsi="Arial"/>
                <w:sz w:val="17"/>
                <w:szCs w:val="17"/>
                <w:color w:val="auto"/>
              </w:rPr>
              <w:t> Metric, as reported</w:t>
            </w:r>
            <w:r>
              <w:rPr>
                <w:rFonts w:ascii="Arial" w:cs="Arial" w:eastAsia="Arial" w:hAnsi="Arial"/>
                <w:sz w:val="25"/>
                <w:szCs w:val="25"/>
                <w:color w:val="auto"/>
                <w:vertAlign w:val="superscript"/>
              </w:rPr>
              <w:t>(1)</w:t>
            </w:r>
          </w:p>
        </w:tc>
        <w:tc>
          <w:tcPr>
            <w:tcW w:w="88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E2EEFA"/>
          </w:tcPr>
          <w:p>
            <w:pPr>
              <w:jc w:val="right"/>
              <w:ind w:right="416"/>
              <w:spacing w:after="0"/>
              <w:rPr>
                <w:sz w:val="20"/>
                <w:szCs w:val="20"/>
                <w:color w:val="auto"/>
              </w:rPr>
            </w:pPr>
            <w:r>
              <w:rPr>
                <w:rFonts w:ascii="Arial" w:cs="Arial" w:eastAsia="Arial" w:hAnsi="Arial"/>
                <w:sz w:val="17"/>
                <w:szCs w:val="17"/>
                <w:color w:val="auto"/>
                <w:w w:val="98"/>
              </w:rPr>
              <w:t>1,101.8</w:t>
            </w:r>
          </w:p>
        </w:tc>
        <w:tc>
          <w:tcPr>
            <w:tcW w:w="7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2EEFA"/>
          </w:tcPr>
          <w:p>
            <w:pPr>
              <w:jc w:val="right"/>
              <w:ind w:right="236"/>
              <w:spacing w:after="0"/>
              <w:rPr>
                <w:sz w:val="20"/>
                <w:szCs w:val="20"/>
                <w:color w:val="auto"/>
              </w:rPr>
            </w:pPr>
            <w:r>
              <w:rPr>
                <w:rFonts w:ascii="Arial" w:cs="Arial" w:eastAsia="Arial" w:hAnsi="Arial"/>
                <w:sz w:val="17"/>
                <w:szCs w:val="17"/>
                <w:color w:val="auto"/>
              </w:rPr>
              <w:t>982.9</w:t>
            </w:r>
          </w:p>
        </w:tc>
      </w:tr>
      <w:tr>
        <w:trPr>
          <w:trHeight w:val="274"/>
        </w:trPr>
        <w:tc>
          <w:tcPr>
            <w:tcW w:w="6960" w:type="dxa"/>
            <w:vAlign w:val="bottom"/>
          </w:tcPr>
          <w:p>
            <w:pPr>
              <w:spacing w:after="0"/>
              <w:rPr>
                <w:sz w:val="20"/>
                <w:szCs w:val="20"/>
                <w:color w:val="auto"/>
              </w:rPr>
            </w:pPr>
            <w:r>
              <w:rPr>
                <w:rFonts w:ascii="Arial" w:cs="Arial" w:eastAsia="Arial" w:hAnsi="Arial"/>
                <w:sz w:val="17"/>
                <w:szCs w:val="17"/>
                <w:color w:val="auto"/>
              </w:rPr>
              <w:t> Adjustments for comparability:</w:t>
            </w:r>
          </w:p>
        </w:tc>
        <w:tc>
          <w:tcPr>
            <w:tcW w:w="8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76"/>
        </w:trPr>
        <w:tc>
          <w:tcPr>
            <w:tcW w:w="69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74"/>
        </w:trPr>
        <w:tc>
          <w:tcPr>
            <w:tcW w:w="6960" w:type="dxa"/>
            <w:vAlign w:val="bottom"/>
            <w:shd w:val="clear" w:color="auto" w:fill="E2EEFA"/>
          </w:tcPr>
          <w:p>
            <w:pPr>
              <w:ind w:left="180"/>
              <w:spacing w:after="0"/>
              <w:rPr>
                <w:sz w:val="20"/>
                <w:szCs w:val="20"/>
                <w:color w:val="auto"/>
              </w:rPr>
            </w:pPr>
            <w:r>
              <w:rPr>
                <w:rFonts w:ascii="Arial" w:cs="Arial" w:eastAsia="Arial" w:hAnsi="Arial"/>
                <w:sz w:val="17"/>
                <w:szCs w:val="17"/>
                <w:color w:val="auto"/>
              </w:rPr>
              <w:t> Illinois EO litigation settlement</w:t>
            </w:r>
          </w:p>
        </w:tc>
        <w:tc>
          <w:tcPr>
            <w:tcW w:w="88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E2EEFA"/>
          </w:tcPr>
          <w:p>
            <w:pPr>
              <w:jc w:val="right"/>
              <w:ind w:right="416"/>
              <w:spacing w:after="0"/>
              <w:rPr>
                <w:sz w:val="20"/>
                <w:szCs w:val="20"/>
                <w:color w:val="auto"/>
              </w:rPr>
            </w:pPr>
            <w:r>
              <w:rPr>
                <w:rFonts w:ascii="Arial" w:cs="Arial" w:eastAsia="Arial" w:hAnsi="Arial"/>
                <w:sz w:val="17"/>
                <w:szCs w:val="17"/>
                <w:color w:val="auto"/>
              </w:rPr>
              <w:t>—</w:t>
            </w:r>
          </w:p>
        </w:tc>
        <w:tc>
          <w:tcPr>
            <w:tcW w:w="7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2EEFA"/>
          </w:tcPr>
          <w:p>
            <w:pPr>
              <w:jc w:val="right"/>
              <w:ind w:right="236"/>
              <w:spacing w:after="0"/>
              <w:rPr>
                <w:sz w:val="20"/>
                <w:szCs w:val="20"/>
                <w:color w:val="auto"/>
              </w:rPr>
            </w:pPr>
            <w:r>
              <w:rPr>
                <w:rFonts w:ascii="Arial" w:cs="Arial" w:eastAsia="Arial" w:hAnsi="Arial"/>
                <w:sz w:val="17"/>
                <w:szCs w:val="17"/>
                <w:color w:val="auto"/>
              </w:rPr>
              <w:t>15.1</w:t>
            </w:r>
          </w:p>
        </w:tc>
      </w:tr>
      <w:tr>
        <w:trPr>
          <w:trHeight w:val="76"/>
        </w:trPr>
        <w:tc>
          <w:tcPr>
            <w:tcW w:w="6960" w:type="dxa"/>
            <w:vAlign w:val="bottom"/>
            <w:shd w:val="clear" w:color="auto" w:fill="E2EEFA"/>
          </w:tcPr>
          <w:p>
            <w:pPr>
              <w:spacing w:after="0"/>
              <w:rPr>
                <w:sz w:val="6"/>
                <w:szCs w:val="6"/>
                <w:color w:val="auto"/>
              </w:rPr>
            </w:pPr>
          </w:p>
        </w:tc>
        <w:tc>
          <w:tcPr>
            <w:tcW w:w="880" w:type="dxa"/>
            <w:vAlign w:val="bottom"/>
            <w:shd w:val="clear" w:color="auto" w:fill="E2EEFA"/>
          </w:tcPr>
          <w:p>
            <w:pPr>
              <w:spacing w:after="0"/>
              <w:rPr>
                <w:sz w:val="6"/>
                <w:szCs w:val="6"/>
                <w:color w:val="auto"/>
              </w:rPr>
            </w:pPr>
          </w:p>
        </w:tc>
        <w:tc>
          <w:tcPr>
            <w:tcW w:w="1080" w:type="dxa"/>
            <w:vAlign w:val="bottom"/>
            <w:shd w:val="clear" w:color="auto" w:fill="E2EEFA"/>
          </w:tcPr>
          <w:p>
            <w:pPr>
              <w:spacing w:after="0"/>
              <w:rPr>
                <w:sz w:val="6"/>
                <w:szCs w:val="6"/>
                <w:color w:val="auto"/>
              </w:rPr>
            </w:pPr>
          </w:p>
        </w:tc>
        <w:tc>
          <w:tcPr>
            <w:tcW w:w="740" w:type="dxa"/>
            <w:vAlign w:val="bottom"/>
            <w:shd w:val="clear" w:color="auto" w:fill="E2EEFA"/>
          </w:tcPr>
          <w:p>
            <w:pPr>
              <w:spacing w:after="0"/>
              <w:rPr>
                <w:sz w:val="6"/>
                <w:szCs w:val="6"/>
                <w:color w:val="auto"/>
              </w:rPr>
            </w:pPr>
          </w:p>
        </w:tc>
        <w:tc>
          <w:tcPr>
            <w:tcW w:w="900" w:type="dxa"/>
            <w:vAlign w:val="bottom"/>
            <w:shd w:val="clear" w:color="auto" w:fill="E2EEFA"/>
          </w:tcPr>
          <w:p>
            <w:pPr>
              <w:spacing w:after="0"/>
              <w:rPr>
                <w:sz w:val="6"/>
                <w:szCs w:val="6"/>
                <w:color w:val="auto"/>
              </w:rPr>
            </w:pPr>
          </w:p>
        </w:tc>
      </w:tr>
      <w:tr>
        <w:trPr>
          <w:trHeight w:val="274"/>
        </w:trPr>
        <w:tc>
          <w:tcPr>
            <w:tcW w:w="6960" w:type="dxa"/>
            <w:vAlign w:val="bottom"/>
          </w:tcPr>
          <w:p>
            <w:pPr>
              <w:ind w:left="180"/>
              <w:spacing w:after="0"/>
              <w:rPr>
                <w:sz w:val="20"/>
                <w:szCs w:val="20"/>
                <w:color w:val="auto"/>
              </w:rPr>
            </w:pPr>
            <w:r>
              <w:rPr>
                <w:rFonts w:ascii="Arial" w:cs="Arial" w:eastAsia="Arial" w:hAnsi="Arial"/>
                <w:sz w:val="17"/>
                <w:szCs w:val="17"/>
                <w:color w:val="auto"/>
              </w:rPr>
              <w:t> Amortization of inventory and property “step up” to fair value</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416"/>
              <w:spacing w:after="0"/>
              <w:rPr>
                <w:sz w:val="20"/>
                <w:szCs w:val="20"/>
                <w:color w:val="auto"/>
              </w:rPr>
            </w:pPr>
            <w:r>
              <w:rPr>
                <w:rFonts w:ascii="Arial" w:cs="Arial" w:eastAsia="Arial" w:hAnsi="Arial"/>
                <w:sz w:val="17"/>
                <w:szCs w:val="17"/>
                <w:color w:val="auto"/>
              </w:rPr>
              <w:t>5.0</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36"/>
              <w:spacing w:after="0"/>
              <w:rPr>
                <w:sz w:val="20"/>
                <w:szCs w:val="20"/>
                <w:color w:val="auto"/>
              </w:rPr>
            </w:pPr>
            <w:r>
              <w:rPr>
                <w:rFonts w:ascii="Arial" w:cs="Arial" w:eastAsia="Arial" w:hAnsi="Arial"/>
                <w:sz w:val="17"/>
                <w:szCs w:val="17"/>
                <w:color w:val="auto"/>
              </w:rPr>
              <w:t>—</w:t>
            </w:r>
          </w:p>
        </w:tc>
      </w:tr>
      <w:tr>
        <w:trPr>
          <w:trHeight w:val="76"/>
        </w:trPr>
        <w:tc>
          <w:tcPr>
            <w:tcW w:w="69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74"/>
        </w:trPr>
        <w:tc>
          <w:tcPr>
            <w:tcW w:w="6960" w:type="dxa"/>
            <w:vAlign w:val="bottom"/>
            <w:shd w:val="clear" w:color="auto" w:fill="E2EEFA"/>
          </w:tcPr>
          <w:p>
            <w:pPr>
              <w:ind w:left="180"/>
              <w:spacing w:after="0"/>
              <w:rPr>
                <w:sz w:val="20"/>
                <w:szCs w:val="20"/>
                <w:color w:val="auto"/>
              </w:rPr>
            </w:pPr>
            <w:r>
              <w:rPr>
                <w:rFonts w:ascii="Arial" w:cs="Arial" w:eastAsia="Arial" w:hAnsi="Arial"/>
                <w:sz w:val="17"/>
                <w:szCs w:val="17"/>
                <w:color w:val="auto"/>
              </w:rPr>
              <w:t> Amortization of acquired intangible assets</w:t>
            </w:r>
          </w:p>
        </w:tc>
        <w:tc>
          <w:tcPr>
            <w:tcW w:w="88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E2EEFA"/>
          </w:tcPr>
          <w:p>
            <w:pPr>
              <w:jc w:val="right"/>
              <w:ind w:right="416"/>
              <w:spacing w:after="0"/>
              <w:rPr>
                <w:sz w:val="20"/>
                <w:szCs w:val="20"/>
                <w:color w:val="auto"/>
              </w:rPr>
            </w:pPr>
            <w:r>
              <w:rPr>
                <w:rFonts w:ascii="Arial" w:cs="Arial" w:eastAsia="Arial" w:hAnsi="Arial"/>
                <w:sz w:val="17"/>
                <w:szCs w:val="17"/>
                <w:color w:val="auto"/>
              </w:rPr>
              <w:t>265.0</w:t>
            </w:r>
          </w:p>
        </w:tc>
        <w:tc>
          <w:tcPr>
            <w:tcW w:w="7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2EEFA"/>
          </w:tcPr>
          <w:p>
            <w:pPr>
              <w:jc w:val="right"/>
              <w:ind w:right="236"/>
              <w:spacing w:after="0"/>
              <w:rPr>
                <w:sz w:val="20"/>
                <w:szCs w:val="20"/>
                <w:color w:val="auto"/>
              </w:rPr>
            </w:pPr>
            <w:r>
              <w:rPr>
                <w:rFonts w:ascii="Arial" w:cs="Arial" w:eastAsia="Arial" w:hAnsi="Arial"/>
                <w:sz w:val="17"/>
                <w:szCs w:val="17"/>
                <w:color w:val="auto"/>
              </w:rPr>
              <w:t>—</w:t>
            </w:r>
          </w:p>
        </w:tc>
      </w:tr>
      <w:tr>
        <w:trPr>
          <w:trHeight w:val="76"/>
        </w:trPr>
        <w:tc>
          <w:tcPr>
            <w:tcW w:w="6960" w:type="dxa"/>
            <w:vAlign w:val="bottom"/>
            <w:shd w:val="clear" w:color="auto" w:fill="E2EEFA"/>
          </w:tcPr>
          <w:p>
            <w:pPr>
              <w:spacing w:after="0"/>
              <w:rPr>
                <w:sz w:val="6"/>
                <w:szCs w:val="6"/>
                <w:color w:val="auto"/>
              </w:rPr>
            </w:pPr>
          </w:p>
        </w:tc>
        <w:tc>
          <w:tcPr>
            <w:tcW w:w="880" w:type="dxa"/>
            <w:vAlign w:val="bottom"/>
            <w:shd w:val="clear" w:color="auto" w:fill="E2EEFA"/>
          </w:tcPr>
          <w:p>
            <w:pPr>
              <w:spacing w:after="0"/>
              <w:rPr>
                <w:sz w:val="6"/>
                <w:szCs w:val="6"/>
                <w:color w:val="auto"/>
              </w:rPr>
            </w:pPr>
          </w:p>
        </w:tc>
        <w:tc>
          <w:tcPr>
            <w:tcW w:w="1080" w:type="dxa"/>
            <w:vAlign w:val="bottom"/>
            <w:shd w:val="clear" w:color="auto" w:fill="E2EEFA"/>
          </w:tcPr>
          <w:p>
            <w:pPr>
              <w:spacing w:after="0"/>
              <w:rPr>
                <w:sz w:val="6"/>
                <w:szCs w:val="6"/>
                <w:color w:val="auto"/>
              </w:rPr>
            </w:pPr>
          </w:p>
        </w:tc>
        <w:tc>
          <w:tcPr>
            <w:tcW w:w="740" w:type="dxa"/>
            <w:vAlign w:val="bottom"/>
            <w:shd w:val="clear" w:color="auto" w:fill="E2EEFA"/>
          </w:tcPr>
          <w:p>
            <w:pPr>
              <w:spacing w:after="0"/>
              <w:rPr>
                <w:sz w:val="6"/>
                <w:szCs w:val="6"/>
                <w:color w:val="auto"/>
              </w:rPr>
            </w:pPr>
          </w:p>
        </w:tc>
        <w:tc>
          <w:tcPr>
            <w:tcW w:w="900" w:type="dxa"/>
            <w:vAlign w:val="bottom"/>
            <w:shd w:val="clear" w:color="auto" w:fill="E2EEFA"/>
          </w:tcPr>
          <w:p>
            <w:pPr>
              <w:spacing w:after="0"/>
              <w:rPr>
                <w:sz w:val="6"/>
                <w:szCs w:val="6"/>
                <w:color w:val="auto"/>
              </w:rPr>
            </w:pPr>
          </w:p>
        </w:tc>
      </w:tr>
      <w:tr>
        <w:trPr>
          <w:trHeight w:val="274"/>
        </w:trPr>
        <w:tc>
          <w:tcPr>
            <w:tcW w:w="6960" w:type="dxa"/>
            <w:vAlign w:val="bottom"/>
          </w:tcPr>
          <w:p>
            <w:pPr>
              <w:ind w:left="180"/>
              <w:spacing w:after="0"/>
              <w:rPr>
                <w:sz w:val="20"/>
                <w:szCs w:val="20"/>
                <w:color w:val="auto"/>
              </w:rPr>
            </w:pPr>
            <w:r>
              <w:rPr>
                <w:rFonts w:ascii="Arial" w:cs="Arial" w:eastAsia="Arial" w:hAnsi="Arial"/>
                <w:sz w:val="17"/>
                <w:szCs w:val="17"/>
                <w:color w:val="auto"/>
              </w:rPr>
              <w:t> Acquisition, integration and tax structuring related expenses</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416"/>
              <w:spacing w:after="0"/>
              <w:rPr>
                <w:sz w:val="20"/>
                <w:szCs w:val="20"/>
                <w:color w:val="auto"/>
              </w:rPr>
            </w:pPr>
            <w:r>
              <w:rPr>
                <w:rFonts w:ascii="Arial" w:cs="Arial" w:eastAsia="Arial" w:hAnsi="Arial"/>
                <w:sz w:val="17"/>
                <w:szCs w:val="17"/>
                <w:color w:val="auto"/>
              </w:rPr>
              <w:t>6.7</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36"/>
              <w:spacing w:after="0"/>
              <w:rPr>
                <w:sz w:val="20"/>
                <w:szCs w:val="20"/>
                <w:color w:val="auto"/>
              </w:rPr>
            </w:pPr>
            <w:r>
              <w:rPr>
                <w:rFonts w:ascii="Arial" w:cs="Arial" w:eastAsia="Arial" w:hAnsi="Arial"/>
                <w:sz w:val="17"/>
                <w:szCs w:val="17"/>
                <w:color w:val="auto"/>
              </w:rPr>
              <w:t>5.1</w:t>
            </w:r>
          </w:p>
        </w:tc>
      </w:tr>
      <w:tr>
        <w:trPr>
          <w:trHeight w:val="76"/>
        </w:trPr>
        <w:tc>
          <w:tcPr>
            <w:tcW w:w="69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74"/>
        </w:trPr>
        <w:tc>
          <w:tcPr>
            <w:tcW w:w="6960" w:type="dxa"/>
            <w:vAlign w:val="bottom"/>
            <w:shd w:val="clear" w:color="auto" w:fill="E2EEFA"/>
          </w:tcPr>
          <w:p>
            <w:pPr>
              <w:ind w:left="180"/>
              <w:spacing w:after="0"/>
              <w:rPr>
                <w:sz w:val="20"/>
                <w:szCs w:val="20"/>
                <w:color w:val="auto"/>
              </w:rPr>
            </w:pPr>
            <w:r>
              <w:rPr>
                <w:rFonts w:ascii="Arial" w:cs="Arial" w:eastAsia="Arial" w:hAnsi="Arial"/>
                <w:sz w:val="17"/>
                <w:szCs w:val="17"/>
                <w:color w:val="auto"/>
              </w:rPr>
              <w:t> Restructuring charges</w:t>
            </w:r>
          </w:p>
        </w:tc>
        <w:tc>
          <w:tcPr>
            <w:tcW w:w="88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E2EEFA"/>
          </w:tcPr>
          <w:p>
            <w:pPr>
              <w:jc w:val="right"/>
              <w:ind w:right="416"/>
              <w:spacing w:after="0"/>
              <w:rPr>
                <w:sz w:val="20"/>
                <w:szCs w:val="20"/>
                <w:color w:val="auto"/>
              </w:rPr>
            </w:pPr>
            <w:r>
              <w:rPr>
                <w:rFonts w:ascii="Arial" w:cs="Arial" w:eastAsia="Arial" w:hAnsi="Arial"/>
                <w:sz w:val="17"/>
                <w:szCs w:val="17"/>
                <w:color w:val="auto"/>
              </w:rPr>
              <w:t>3.4</w:t>
            </w:r>
          </w:p>
        </w:tc>
        <w:tc>
          <w:tcPr>
            <w:tcW w:w="7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2EEFA"/>
          </w:tcPr>
          <w:p>
            <w:pPr>
              <w:jc w:val="right"/>
              <w:ind w:right="236"/>
              <w:spacing w:after="0"/>
              <w:rPr>
                <w:sz w:val="20"/>
                <w:szCs w:val="20"/>
                <w:color w:val="auto"/>
              </w:rPr>
            </w:pPr>
            <w:r>
              <w:rPr>
                <w:rFonts w:ascii="Arial" w:cs="Arial" w:eastAsia="Arial" w:hAnsi="Arial"/>
                <w:sz w:val="17"/>
                <w:szCs w:val="17"/>
                <w:color w:val="auto"/>
              </w:rPr>
              <w:t>3.0</w:t>
            </w:r>
          </w:p>
        </w:tc>
      </w:tr>
      <w:tr>
        <w:trPr>
          <w:trHeight w:val="76"/>
        </w:trPr>
        <w:tc>
          <w:tcPr>
            <w:tcW w:w="6960" w:type="dxa"/>
            <w:vAlign w:val="bottom"/>
            <w:tcBorders>
              <w:bottom w:val="single" w:sz="8" w:color="3E8EDE"/>
            </w:tcBorders>
            <w:shd w:val="clear" w:color="auto" w:fill="E2EEFA"/>
          </w:tcPr>
          <w:p>
            <w:pPr>
              <w:spacing w:after="0"/>
              <w:rPr>
                <w:sz w:val="6"/>
                <w:szCs w:val="6"/>
                <w:color w:val="auto"/>
              </w:rPr>
            </w:pPr>
          </w:p>
        </w:tc>
        <w:tc>
          <w:tcPr>
            <w:tcW w:w="880" w:type="dxa"/>
            <w:vAlign w:val="bottom"/>
            <w:tcBorders>
              <w:bottom w:val="single" w:sz="8" w:color="3E8EDE"/>
            </w:tcBorders>
            <w:shd w:val="clear" w:color="auto" w:fill="E2EEFA"/>
          </w:tcPr>
          <w:p>
            <w:pPr>
              <w:spacing w:after="0"/>
              <w:rPr>
                <w:sz w:val="6"/>
                <w:szCs w:val="6"/>
                <w:color w:val="auto"/>
              </w:rPr>
            </w:pPr>
          </w:p>
        </w:tc>
        <w:tc>
          <w:tcPr>
            <w:tcW w:w="1080" w:type="dxa"/>
            <w:vAlign w:val="bottom"/>
            <w:tcBorders>
              <w:bottom w:val="single" w:sz="8" w:color="3E8EDE"/>
            </w:tcBorders>
            <w:shd w:val="clear" w:color="auto" w:fill="E2EEFA"/>
          </w:tcPr>
          <w:p>
            <w:pPr>
              <w:spacing w:after="0"/>
              <w:rPr>
                <w:sz w:val="6"/>
                <w:szCs w:val="6"/>
                <w:color w:val="auto"/>
              </w:rPr>
            </w:pPr>
          </w:p>
        </w:tc>
        <w:tc>
          <w:tcPr>
            <w:tcW w:w="740" w:type="dxa"/>
            <w:vAlign w:val="bottom"/>
            <w:tcBorders>
              <w:bottom w:val="single" w:sz="8" w:color="3E8EDE"/>
            </w:tcBorders>
            <w:shd w:val="clear" w:color="auto" w:fill="E2EEFA"/>
          </w:tcPr>
          <w:p>
            <w:pPr>
              <w:spacing w:after="0"/>
              <w:rPr>
                <w:sz w:val="6"/>
                <w:szCs w:val="6"/>
                <w:color w:val="auto"/>
              </w:rPr>
            </w:pPr>
          </w:p>
        </w:tc>
        <w:tc>
          <w:tcPr>
            <w:tcW w:w="900" w:type="dxa"/>
            <w:vAlign w:val="bottom"/>
            <w:tcBorders>
              <w:bottom w:val="single" w:sz="8" w:color="3E8EDE"/>
            </w:tcBorders>
            <w:shd w:val="clear" w:color="auto" w:fill="E2EEFA"/>
          </w:tcPr>
          <w:p>
            <w:pPr>
              <w:spacing w:after="0"/>
              <w:rPr>
                <w:sz w:val="6"/>
                <w:szCs w:val="6"/>
                <w:color w:val="auto"/>
              </w:rPr>
            </w:pPr>
          </w:p>
        </w:tc>
      </w:tr>
      <w:tr>
        <w:trPr>
          <w:trHeight w:val="377"/>
        </w:trPr>
        <w:tc>
          <w:tcPr>
            <w:tcW w:w="6960" w:type="dxa"/>
            <w:vAlign w:val="bottom"/>
          </w:tcPr>
          <w:p>
            <w:pPr>
              <w:spacing w:after="0"/>
              <w:rPr>
                <w:sz w:val="20"/>
                <w:szCs w:val="20"/>
                <w:color w:val="auto"/>
              </w:rPr>
            </w:pPr>
            <w:r>
              <w:rPr>
                <w:rFonts w:ascii="Arial" w:cs="Arial" w:eastAsia="Arial" w:hAnsi="Arial"/>
                <w:sz w:val="17"/>
                <w:szCs w:val="17"/>
                <w:color w:val="auto"/>
              </w:rPr>
              <w:t> Metric on comparable basis to target</w:t>
            </w:r>
            <w:r>
              <w:rPr>
                <w:rFonts w:ascii="Arial" w:cs="Arial" w:eastAsia="Arial" w:hAnsi="Arial"/>
                <w:sz w:val="25"/>
                <w:szCs w:val="25"/>
                <w:color w:val="auto"/>
                <w:vertAlign w:val="superscript"/>
              </w:rPr>
              <w:t>(2)</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416"/>
              <w:spacing w:after="0"/>
              <w:rPr>
                <w:sz w:val="20"/>
                <w:szCs w:val="20"/>
                <w:color w:val="auto"/>
              </w:rPr>
            </w:pPr>
            <w:r>
              <w:rPr>
                <w:rFonts w:ascii="Arial" w:cs="Arial" w:eastAsia="Arial" w:hAnsi="Arial"/>
                <w:sz w:val="17"/>
                <w:szCs w:val="17"/>
                <w:color w:val="auto"/>
                <w:w w:val="98"/>
              </w:rPr>
              <w:t>1,381.9</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36"/>
              <w:spacing w:after="0"/>
              <w:rPr>
                <w:sz w:val="20"/>
                <w:szCs w:val="20"/>
                <w:color w:val="auto"/>
              </w:rPr>
            </w:pPr>
            <w:r>
              <w:rPr>
                <w:rFonts w:ascii="Arial" w:cs="Arial" w:eastAsia="Arial" w:hAnsi="Arial"/>
                <w:sz w:val="17"/>
                <w:szCs w:val="17"/>
                <w:color w:val="auto"/>
                <w:w w:val="98"/>
              </w:rPr>
              <w:t>1,006.2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-29210</wp:posOffset>
            </wp:positionV>
            <wp:extent cx="67100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45" w:lineRule="exact"/>
        <w:rPr>
          <w:sz w:val="20"/>
          <w:szCs w:val="20"/>
          <w:color w:val="auto"/>
        </w:rPr>
      </w:pPr>
    </w:p>
    <w:p>
      <w:pPr>
        <w:ind w:left="760" w:right="120" w:hanging="420"/>
        <w:spacing w:after="0" w:line="276" w:lineRule="auto"/>
        <w:tabs>
          <w:tab w:leader="none" w:pos="7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As reported in our earnings for fiscal 2026, EBIT is equal to Income from Operations and Free Cash Flow is as presented within the non-GAAP financial measures in our external earnings reporting. See Appendix A.</w:t>
      </w:r>
    </w:p>
    <w:p>
      <w:pPr>
        <w:spacing w:after="0" w:line="55" w:lineRule="exact"/>
        <w:rPr>
          <w:rFonts w:ascii="Arial" w:cs="Arial" w:eastAsia="Arial" w:hAnsi="Arial"/>
          <w:sz w:val="17"/>
          <w:szCs w:val="17"/>
          <w:color w:val="auto"/>
        </w:rPr>
      </w:pPr>
    </w:p>
    <w:p>
      <w:pPr>
        <w:ind w:left="760" w:hanging="420"/>
        <w:spacing w:after="0"/>
        <w:tabs>
          <w:tab w:leader="none" w:pos="7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Adjusted EBIT and Adjusted FCF, respectively. Totals reflect effects of rounding.</w:t>
      </w:r>
    </w:p>
    <w:p>
      <w:pPr>
        <w:spacing w:after="0" w:line="201" w:lineRule="exact"/>
        <w:rPr>
          <w:sz w:val="20"/>
          <w:szCs w:val="20"/>
          <w:color w:val="auto"/>
        </w:rPr>
      </w:pPr>
    </w:p>
    <w:p>
      <w:pPr>
        <w:ind w:left="340"/>
        <w:spacing w:after="0" w:line="235" w:lineRule="auto"/>
        <w:rPr>
          <w:sz w:val="20"/>
          <w:szCs w:val="20"/>
          <w:color w:val="auto"/>
        </w:rPr>
      </w:pPr>
      <w:r>
        <w:rPr>
          <w:rFonts w:ascii="Arial" w:cs="Arial" w:eastAsia="Arial" w:hAnsi="Arial"/>
          <w:sz w:val="19"/>
          <w:szCs w:val="19"/>
          <w:color w:val="auto"/>
        </w:rPr>
        <w:t>Following the end of the fiscal year, the Committee reviewed the incentive compensation plan terms and criteria and approved bonuses calculated using an aggregate 125.1% financial achievement level based upon the adjusted financial metrics described above. After also considering individual performance (including business unit performance where applicable) against the objectives for each named executive officer described above in the “2026 Compensation Decisions” section of this Compensation Discussion and Analysis, the Committee approved the following incentive compensation awards for fiscal year 2026:</w:t>
      </w:r>
    </w:p>
    <w:p>
      <w:pPr>
        <w:spacing w:after="0" w:line="193" w:lineRule="exact"/>
        <w:rPr>
          <w:sz w:val="20"/>
          <w:szCs w:val="20"/>
          <w:color w:val="auto"/>
        </w:rPr>
      </w:pPr>
    </w:p>
    <w:p>
      <w:pPr>
        <w:ind w:left="860" w:right="340" w:hanging="416"/>
        <w:spacing w:after="0" w:line="262" w:lineRule="auto"/>
        <w:tabs>
          <w:tab w:leader="none" w:pos="8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Daniel Carestio—payment of $1,725,007, based on performance against applicable plan criteria and personal goals and objectives for fiscal 2026 (125.1% of target bonus opportunity); and</w:t>
      </w:r>
    </w:p>
    <w:p>
      <w:pPr>
        <w:spacing w:after="0" w:line="170" w:lineRule="exact"/>
        <w:rPr>
          <w:rFonts w:ascii="Arial" w:cs="Arial" w:eastAsia="Arial" w:hAnsi="Arial"/>
          <w:sz w:val="19"/>
          <w:szCs w:val="19"/>
          <w:color w:val="auto"/>
        </w:rPr>
      </w:pPr>
    </w:p>
    <w:p>
      <w:pPr>
        <w:ind w:left="860" w:right="240" w:hanging="416"/>
        <w:spacing w:after="0" w:line="244" w:lineRule="auto"/>
        <w:tabs>
          <w:tab w:leader="none" w:pos="8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Five other named executive officers—an aggregate payment of $2,498,389, based on performance against the applicable plan criteria and individual goals and objectives (individual bonus payouts were all 125.1% of target bonus opportunity).</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Long-Term Equity Incentive Compensation</w:t>
      </w:r>
    </w:p>
    <w:p>
      <w:pPr>
        <w:spacing w:after="0" w:line="90" w:lineRule="exact"/>
        <w:rPr>
          <w:sz w:val="20"/>
          <w:szCs w:val="20"/>
          <w:color w:val="auto"/>
        </w:rPr>
      </w:pPr>
    </w:p>
    <w:p>
      <w:pPr>
        <w:ind w:left="340" w:right="160"/>
        <w:spacing w:after="0" w:line="235" w:lineRule="auto"/>
        <w:rPr>
          <w:sz w:val="20"/>
          <w:szCs w:val="20"/>
          <w:color w:val="auto"/>
        </w:rPr>
      </w:pPr>
      <w:r>
        <w:rPr>
          <w:rFonts w:ascii="Arial" w:cs="Arial" w:eastAsia="Arial" w:hAnsi="Arial"/>
          <w:sz w:val="19"/>
          <w:szCs w:val="19"/>
          <w:color w:val="auto"/>
        </w:rPr>
        <w:t>Equity incentives are considered necessary to attract and retain employees critical to our continuing, long-term success, as well as providing employees significant alignment of interest with our shareholders. The Committee views nonqualified stock options, restricted stock and restricted stock units as a direct link between management and shareholders. Equity incentives are provided under the Company’s 2006 Long-Term Equity Incentive Plan (the “2006 Plan”). The 2006 Plan was initially approved by shareholders of STERIS Corporation in July of 2006. The 2006 Plan has since been re-approved by shareholders and amended and restated on several occasions.</w:t>
      </w:r>
    </w:p>
    <w:p>
      <w:pPr>
        <w:spacing w:after="0" w:line="167" w:lineRule="exact"/>
        <w:rPr>
          <w:sz w:val="20"/>
          <w:szCs w:val="20"/>
          <w:color w:val="auto"/>
        </w:rPr>
      </w:pPr>
    </w:p>
    <w:p>
      <w:pPr>
        <w:ind w:left="340" w:right="1100"/>
        <w:spacing w:after="0" w:line="262" w:lineRule="auto"/>
        <w:rPr>
          <w:sz w:val="20"/>
          <w:szCs w:val="20"/>
          <w:color w:val="auto"/>
        </w:rPr>
      </w:pPr>
      <w:r>
        <w:rPr>
          <w:rFonts w:ascii="Arial" w:cs="Arial" w:eastAsia="Arial" w:hAnsi="Arial"/>
          <w:sz w:val="19"/>
          <w:szCs w:val="19"/>
          <w:color w:val="auto"/>
        </w:rPr>
        <w:t>The Plan was assumed, amended and restated by the Company effective March 28, 2019 in conjunction with the Redomiciliation. Also, in connection with the Redomiciliation, all outstanding</w:t>
      </w:r>
    </w:p>
    <w:p>
      <w:pPr>
        <w:spacing w:after="0" w:line="87"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3E8EDE"/>
        </w:rPr>
        <w:t xml:space="preserve">Notice of Annual Meeting of Shareholders </w:t>
      </w:r>
      <w:r>
        <w:rPr>
          <w:rFonts w:ascii="Arial" w:cs="Arial" w:eastAsia="Arial" w:hAnsi="Arial"/>
          <w:sz w:val="14"/>
          <w:szCs w:val="14"/>
          <w:color w:val="000000"/>
        </w:rPr>
        <w:t>and 2026 Proxy Statement   57</w:t>
      </w:r>
    </w:p>
    <w:p>
      <w:pPr>
        <w:sectPr>
          <w:pgSz w:w="11900" w:h="16838" w:orient="portrait"/>
          <w:cols w:equalWidth="0" w:num="1">
            <w:col w:w="10900"/>
          </w:cols>
          <w:pgMar w:left="320" w:top="469" w:right="6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jc w:val="both"/>
        <w:ind w:left="340" w:right="580"/>
        <w:spacing w:after="0" w:line="244" w:lineRule="auto"/>
        <w:rPr>
          <w:sz w:val="20"/>
          <w:szCs w:val="20"/>
          <w:color w:val="auto"/>
        </w:rPr>
      </w:pPr>
      <w:r>
        <w:rPr>
          <w:rFonts w:ascii="Arial" w:cs="Arial" w:eastAsia="Arial" w:hAnsi="Arial"/>
          <w:sz w:val="19"/>
          <w:szCs w:val="19"/>
          <w:color w:val="auto"/>
        </w:rPr>
        <w:t>awards under the 2006 Plan in respect of Old STERIS ordinary shares were converted into equity awards for the same number of Ordinary Shares with the other terms and conditions of the awards remaining the same, except as otherwise required by law.</w:t>
      </w:r>
    </w:p>
    <w:p>
      <w:pPr>
        <w:spacing w:after="0" w:line="162" w:lineRule="exact"/>
        <w:rPr>
          <w:sz w:val="20"/>
          <w:szCs w:val="20"/>
          <w:color w:val="auto"/>
        </w:rPr>
      </w:pPr>
    </w:p>
    <w:p>
      <w:pPr>
        <w:ind w:left="340"/>
        <w:spacing w:after="0" w:line="233" w:lineRule="auto"/>
        <w:rPr>
          <w:sz w:val="20"/>
          <w:szCs w:val="20"/>
          <w:color w:val="auto"/>
        </w:rPr>
      </w:pPr>
      <w:r>
        <w:rPr>
          <w:rFonts w:ascii="Arial" w:cs="Arial" w:eastAsia="Arial" w:hAnsi="Arial"/>
          <w:sz w:val="19"/>
          <w:szCs w:val="19"/>
          <w:color w:val="auto"/>
        </w:rPr>
        <w:t>With respect to the amount and type of equity incentives provided to each recipient, the Committee generally considers its compensation consultant’s data regarding competitive trends and practices, the award recipient’s salary and level within our organization, the nature and complexity of the position, the recommendation of the CEO, and the Committee’s own evaluation of the performance of named executive officers and certain other executives, since the Committee members generally have an opportunity to observe their performance and have information on the level of past awards. The Committee ultimately decides the amount and mix of long-term compensation granted to each named executive officer, other corporate officers, and any other executives who report to the CEO, with input from the CEO and the Senior Vice President &amp; Chief Human Resources Officer.</w:t>
      </w:r>
    </w:p>
    <w:p>
      <w:pPr>
        <w:spacing w:after="0" w:line="168" w:lineRule="exact"/>
        <w:rPr>
          <w:sz w:val="20"/>
          <w:szCs w:val="20"/>
          <w:color w:val="auto"/>
        </w:rPr>
      </w:pPr>
    </w:p>
    <w:p>
      <w:pPr>
        <w:ind w:left="340" w:right="20"/>
        <w:spacing w:after="0" w:line="239" w:lineRule="auto"/>
        <w:rPr>
          <w:sz w:val="20"/>
          <w:szCs w:val="20"/>
          <w:color w:val="auto"/>
        </w:rPr>
      </w:pPr>
      <w:r>
        <w:rPr>
          <w:rFonts w:ascii="Arial" w:cs="Arial" w:eastAsia="Arial" w:hAnsi="Arial"/>
          <w:sz w:val="19"/>
          <w:szCs w:val="19"/>
          <w:color w:val="auto"/>
        </w:rPr>
        <w:t>For the past several years, long-term equity awards to each named executive officer have consisted of stock options and restricted stock. In keeping with the Company’s approach, the consultant has developed long-term equity award guidelines for consideration by the CEO and Committee for senior management. The CEO and Committee also consider other factors in determining award amounts, including retention concerns.</w:t>
      </w:r>
    </w:p>
    <w:p>
      <w:pPr>
        <w:spacing w:after="0" w:line="166" w:lineRule="exact"/>
        <w:rPr>
          <w:sz w:val="20"/>
          <w:szCs w:val="20"/>
          <w:color w:val="auto"/>
        </w:rPr>
      </w:pPr>
    </w:p>
    <w:p>
      <w:pPr>
        <w:ind w:left="340"/>
        <w:spacing w:after="0" w:line="232" w:lineRule="auto"/>
        <w:rPr>
          <w:sz w:val="20"/>
          <w:szCs w:val="20"/>
          <w:color w:val="auto"/>
        </w:rPr>
      </w:pPr>
      <w:r>
        <w:rPr>
          <w:rFonts w:ascii="Arial" w:cs="Arial" w:eastAsia="Arial" w:hAnsi="Arial"/>
          <w:sz w:val="19"/>
          <w:szCs w:val="19"/>
          <w:color w:val="auto"/>
        </w:rPr>
        <w:t>Beginning in May 2025, the Committee’s approach to long-term equity incentive compensation has been to put equal weighting for stock options and restricted stock for all executives. This is consistent with the Company’s pay-for-performance philosophy as all value earned through stock options is solely dependent upon an increase of our stock price, which reflects investors’ views on the Company’s financial performance and long-term prospects. The Committee believes that options provide a strong linkage to the Company’s performance because the executive benefits only if and to the extent the Company’s stock price increases and the vesting provisions help prevent executives from fully capitalizing on near-term increases in stock values. The 2006 Plan provisions prohibit stock options from being granted at option prices less than 100% of fair market value of the underlying shares on the grant date and prohibit options from being re-priced without shareholder approval. Beginning in fiscal 2019, option exercise prices for all executive and other employee stock option awards have been fixed at 110% of the closing price of our shares on the grant date.</w:t>
      </w:r>
    </w:p>
    <w:p>
      <w:pPr>
        <w:spacing w:after="0" w:line="167" w:lineRule="exact"/>
        <w:rPr>
          <w:sz w:val="20"/>
          <w:szCs w:val="20"/>
          <w:color w:val="auto"/>
        </w:rPr>
      </w:pPr>
    </w:p>
    <w:p>
      <w:pPr>
        <w:ind w:left="340" w:right="180"/>
        <w:spacing w:after="0" w:line="247" w:lineRule="auto"/>
        <w:rPr>
          <w:sz w:val="20"/>
          <w:szCs w:val="20"/>
          <w:color w:val="auto"/>
        </w:rPr>
      </w:pPr>
      <w:r>
        <w:rPr>
          <w:rFonts w:ascii="Arial" w:cs="Arial" w:eastAsia="Arial" w:hAnsi="Arial"/>
          <w:sz w:val="18"/>
          <w:szCs w:val="18"/>
          <w:color w:val="auto"/>
        </w:rPr>
        <w:t>The value of Mr. Carestio’s fiscal year 2026 equity grants increased by approximately 3% but remained below the median of the peer group data and survey data provided by the consultant. Because of market factors and the broader complexity and scope of responsibilities of his position, Mr. Carestio’s long-term equity compensation is greater than the other named executive officers. Ms. Burton’s equity grant value for fiscal year 2026 was increased compared to prior years in connection with her promotion to Senior Vice President and Chief Financial Officer. Similarly, Mr. Tokich’s equity grant value decreased. Mr. Zangerle had a slight decrease in equity value compared to the prior year. In fiscal 2025, Mr. Zangerle received a higher equity award in connection with the divestiture of the dental business, which was not present in fiscal 2026. The equity awards of the other named executive officers were increased approximately 5% compared to the prior year.</w:t>
      </w:r>
    </w:p>
    <w:p>
      <w:pPr>
        <w:spacing w:after="0" w:line="161" w:lineRule="exact"/>
        <w:rPr>
          <w:sz w:val="20"/>
          <w:szCs w:val="20"/>
          <w:color w:val="auto"/>
        </w:rPr>
      </w:pPr>
    </w:p>
    <w:p>
      <w:pPr>
        <w:ind w:left="340"/>
        <w:spacing w:after="0" w:line="239" w:lineRule="auto"/>
        <w:rPr>
          <w:sz w:val="20"/>
          <w:szCs w:val="20"/>
          <w:color w:val="auto"/>
        </w:rPr>
      </w:pPr>
      <w:r>
        <w:rPr>
          <w:rFonts w:ascii="Arial" w:cs="Arial" w:eastAsia="Arial" w:hAnsi="Arial"/>
          <w:sz w:val="19"/>
          <w:szCs w:val="19"/>
          <w:color w:val="auto"/>
        </w:rPr>
        <w:t>As part of its oversight of the long-term equity award program, the Committee and management annually review data from the compensation consultant regarding the cost of the equity award program in terms of share usage and value transfer. As of September 30, 2024, which is the date that was used for presenting this data to the Committee in fiscal 2025, the Company’s overhang from outstanding</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60"/>
        <w:spacing w:after="0" w:line="190" w:lineRule="auto"/>
        <w:rPr>
          <w:sz w:val="20"/>
          <w:szCs w:val="20"/>
          <w:color w:val="auto"/>
        </w:rPr>
      </w:pPr>
      <w:r>
        <w:rPr>
          <w:rFonts w:ascii="Arial" w:cs="Arial" w:eastAsia="Arial" w:hAnsi="Arial"/>
          <w:sz w:val="19"/>
          <w:szCs w:val="19"/>
          <w:color w:val="auto"/>
        </w:rPr>
        <w:t>grants was between median and the 75</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percentile of its peer group, and total overhang (including that from shares available for future grant) was below the 25</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percentile. The Company’s three-year average share usage was at the 25</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percentile of its peer group for the period 2022 – 2024. For the same period, the Company’s three-year average fair value transfer was below the 25</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percentile of peers in absolute dollars, as a percentage of market capitalization and as a percentage of revenue. On balance, the consultant and Committee believe the Company has prudently managed the equity program in support of the shareholders’ interests.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Fiscal 2026 awards to the named executive officers under the 2006 Plan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154305</wp:posOffset>
            </wp:positionV>
            <wp:extent cx="6718300" cy="262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18300" cy="262890"/>
                    </a:xfrm>
                    <a:prstGeom prst="rect">
                      <a:avLst/>
                    </a:prstGeom>
                    <a:noFill/>
                  </pic:spPr>
                </pic:pic>
              </a:graphicData>
            </a:graphic>
          </wp:anchor>
        </w:drawing>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6300" w:type="dxa"/>
            <w:vAlign w:val="bottom"/>
            <w:shd w:val="clear" w:color="auto" w:fill="3E8EDE"/>
          </w:tcPr>
          <w:p>
            <w:pPr>
              <w:spacing w:after="0"/>
              <w:rPr>
                <w:sz w:val="14"/>
                <w:szCs w:val="14"/>
                <w:color w:val="auto"/>
              </w:rPr>
            </w:pPr>
          </w:p>
        </w:tc>
        <w:tc>
          <w:tcPr>
            <w:tcW w:w="1500" w:type="dxa"/>
            <w:vAlign w:val="bottom"/>
            <w:shd w:val="clear" w:color="auto" w:fill="3E8EDE"/>
          </w:tcPr>
          <w:p>
            <w:pPr>
              <w:ind w:left="440"/>
              <w:spacing w:after="0"/>
              <w:rPr>
                <w:sz w:val="20"/>
                <w:szCs w:val="20"/>
                <w:color w:val="auto"/>
              </w:rPr>
            </w:pPr>
            <w:r>
              <w:rPr>
                <w:rFonts w:ascii="Arial" w:cs="Arial" w:eastAsia="Arial" w:hAnsi="Arial"/>
                <w:sz w:val="14"/>
                <w:szCs w:val="14"/>
                <w:b w:val="1"/>
                <w:bCs w:val="1"/>
                <w:color w:val="FFFFFF"/>
              </w:rPr>
              <w:t>Number of</w:t>
            </w:r>
          </w:p>
        </w:tc>
        <w:tc>
          <w:tcPr>
            <w:tcW w:w="1280" w:type="dxa"/>
            <w:vAlign w:val="bottom"/>
            <w:shd w:val="clear" w:color="auto" w:fill="3E8EDE"/>
          </w:tcPr>
          <w:p>
            <w:pPr>
              <w:ind w:left="340"/>
              <w:spacing w:after="0"/>
              <w:rPr>
                <w:sz w:val="20"/>
                <w:szCs w:val="20"/>
                <w:color w:val="auto"/>
              </w:rPr>
            </w:pPr>
            <w:r>
              <w:rPr>
                <w:rFonts w:ascii="Arial" w:cs="Arial" w:eastAsia="Arial" w:hAnsi="Arial"/>
                <w:sz w:val="14"/>
                <w:szCs w:val="14"/>
                <w:b w:val="1"/>
                <w:bCs w:val="1"/>
                <w:color w:val="FFFFFF"/>
              </w:rPr>
              <w:t>Number of</w:t>
            </w:r>
          </w:p>
        </w:tc>
        <w:tc>
          <w:tcPr>
            <w:tcW w:w="1480" w:type="dxa"/>
            <w:vAlign w:val="bottom"/>
            <w:shd w:val="clear" w:color="auto" w:fill="3E8EDE"/>
          </w:tcPr>
          <w:p>
            <w:pPr>
              <w:ind w:left="80"/>
              <w:spacing w:after="0"/>
              <w:rPr>
                <w:sz w:val="20"/>
                <w:szCs w:val="20"/>
                <w:color w:val="auto"/>
              </w:rPr>
            </w:pPr>
            <w:r>
              <w:rPr>
                <w:rFonts w:ascii="Arial" w:cs="Arial" w:eastAsia="Arial" w:hAnsi="Arial"/>
                <w:sz w:val="14"/>
                <w:szCs w:val="14"/>
                <w:b w:val="1"/>
                <w:bCs w:val="1"/>
                <w:color w:val="FFFFFF"/>
              </w:rPr>
              <w:t>  Aggregate Award</w:t>
            </w:r>
          </w:p>
        </w:tc>
      </w:tr>
      <w:tr>
        <w:trPr>
          <w:trHeight w:val="210"/>
        </w:trPr>
        <w:tc>
          <w:tcPr>
            <w:tcW w:w="6300" w:type="dxa"/>
            <w:vAlign w:val="bottom"/>
            <w:tcBorders>
              <w:bottom w:val="single" w:sz="8" w:color="3E8EDE"/>
            </w:tcBorders>
            <w:shd w:val="clear" w:color="auto" w:fill="3E8EDE"/>
          </w:tcPr>
          <w:p>
            <w:pPr>
              <w:ind w:left="160"/>
              <w:spacing w:after="0"/>
              <w:rPr>
                <w:sz w:val="20"/>
                <w:szCs w:val="20"/>
                <w:color w:val="auto"/>
              </w:rPr>
            </w:pPr>
            <w:r>
              <w:rPr>
                <w:rFonts w:ascii="Arial" w:cs="Arial" w:eastAsia="Arial" w:hAnsi="Arial"/>
                <w:sz w:val="14"/>
                <w:szCs w:val="14"/>
                <w:b w:val="1"/>
                <w:bCs w:val="1"/>
                <w:color w:val="FFFFFF"/>
              </w:rPr>
              <w:t>  Name</w:t>
            </w:r>
          </w:p>
        </w:tc>
        <w:tc>
          <w:tcPr>
            <w:tcW w:w="1500" w:type="dxa"/>
            <w:vAlign w:val="bottom"/>
            <w:tcBorders>
              <w:bottom w:val="single" w:sz="8" w:color="3E8EDE"/>
            </w:tcBorders>
            <w:shd w:val="clear" w:color="auto" w:fill="3E8EDE"/>
          </w:tcPr>
          <w:p>
            <w:pPr>
              <w:ind w:left="60"/>
              <w:spacing w:after="0"/>
              <w:rPr>
                <w:sz w:val="20"/>
                <w:szCs w:val="20"/>
                <w:color w:val="auto"/>
              </w:rPr>
            </w:pPr>
            <w:r>
              <w:rPr>
                <w:rFonts w:ascii="Arial" w:cs="Arial" w:eastAsia="Arial" w:hAnsi="Arial"/>
                <w:sz w:val="14"/>
                <w:szCs w:val="14"/>
                <w:b w:val="1"/>
                <w:bCs w:val="1"/>
                <w:color w:val="FFFFFF"/>
              </w:rPr>
              <w:t xml:space="preserve">   Restricted Shares </w:t>
            </w:r>
          </w:p>
        </w:tc>
        <w:tc>
          <w:tcPr>
            <w:tcW w:w="1280" w:type="dxa"/>
            <w:vAlign w:val="bottom"/>
            <w:tcBorders>
              <w:bottom w:val="single" w:sz="8" w:color="3E8EDE"/>
            </w:tcBorders>
            <w:shd w:val="clear" w:color="auto" w:fill="3E8EDE"/>
          </w:tcPr>
          <w:p>
            <w:pPr>
              <w:ind w:left="80"/>
              <w:spacing w:after="0"/>
              <w:rPr>
                <w:sz w:val="20"/>
                <w:szCs w:val="20"/>
                <w:color w:val="auto"/>
              </w:rPr>
            </w:pPr>
            <w:r>
              <w:rPr>
                <w:rFonts w:ascii="Arial" w:cs="Arial" w:eastAsia="Arial" w:hAnsi="Arial"/>
                <w:sz w:val="14"/>
                <w:szCs w:val="14"/>
                <w:b w:val="1"/>
                <w:bCs w:val="1"/>
                <w:color w:val="FFFFFF"/>
              </w:rPr>
              <w:t xml:space="preserve">   Stock Options </w:t>
            </w:r>
          </w:p>
        </w:tc>
        <w:tc>
          <w:tcPr>
            <w:tcW w:w="1480" w:type="dxa"/>
            <w:vAlign w:val="bottom"/>
            <w:tcBorders>
              <w:bottom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w w:val="96"/>
              </w:rPr>
              <w:t>Fair Values ($)</w:t>
            </w:r>
          </w:p>
        </w:tc>
      </w:tr>
      <w:tr>
        <w:trPr>
          <w:trHeight w:val="239"/>
        </w:trPr>
        <w:tc>
          <w:tcPr>
            <w:tcW w:w="6300" w:type="dxa"/>
            <w:vAlign w:val="bottom"/>
            <w:tcBorders>
              <w:bottom w:val="single" w:sz="8" w:color="E2EEFA"/>
            </w:tcBorders>
            <w:shd w:val="clear" w:color="auto" w:fill="E2EEFA"/>
          </w:tcPr>
          <w:p>
            <w:pPr>
              <w:spacing w:after="0"/>
              <w:rPr>
                <w:sz w:val="20"/>
                <w:szCs w:val="20"/>
                <w:color w:val="auto"/>
              </w:rPr>
            </w:pPr>
            <w:r>
              <w:rPr>
                <w:rFonts w:ascii="Arial" w:cs="Arial" w:eastAsia="Arial" w:hAnsi="Arial"/>
                <w:sz w:val="17"/>
                <w:szCs w:val="17"/>
                <w:color w:val="auto"/>
              </w:rPr>
              <w:t> Daniel A. Carestio</w:t>
            </w:r>
          </w:p>
        </w:tc>
        <w:tc>
          <w:tcPr>
            <w:tcW w:w="1500" w:type="dxa"/>
            <w:vAlign w:val="bottom"/>
            <w:tcBorders>
              <w:bottom w:val="single" w:sz="8" w:color="E2EEFA"/>
            </w:tcBorders>
            <w:shd w:val="clear" w:color="auto" w:fill="E2EEFA"/>
          </w:tcPr>
          <w:p>
            <w:pPr>
              <w:jc w:val="center"/>
              <w:spacing w:after="0"/>
              <w:rPr>
                <w:sz w:val="20"/>
                <w:szCs w:val="20"/>
                <w:color w:val="auto"/>
              </w:rPr>
            </w:pPr>
            <w:r>
              <w:rPr>
                <w:rFonts w:ascii="Arial" w:cs="Arial" w:eastAsia="Arial" w:hAnsi="Arial"/>
                <w:sz w:val="17"/>
                <w:szCs w:val="17"/>
                <w:color w:val="auto"/>
                <w:w w:val="96"/>
              </w:rPr>
              <w:t>17,811</w:t>
            </w:r>
          </w:p>
        </w:tc>
        <w:tc>
          <w:tcPr>
            <w:tcW w:w="1280" w:type="dxa"/>
            <w:vAlign w:val="bottom"/>
            <w:tcBorders>
              <w:bottom w:val="single" w:sz="8" w:color="E2EEFA"/>
            </w:tcBorders>
            <w:shd w:val="clear" w:color="auto" w:fill="E2EEFA"/>
          </w:tcPr>
          <w:p>
            <w:pPr>
              <w:jc w:val="center"/>
              <w:ind w:left="18"/>
              <w:spacing w:after="0"/>
              <w:rPr>
                <w:sz w:val="20"/>
                <w:szCs w:val="20"/>
                <w:color w:val="auto"/>
              </w:rPr>
            </w:pPr>
            <w:r>
              <w:rPr>
                <w:rFonts w:ascii="Arial" w:cs="Arial" w:eastAsia="Arial" w:hAnsi="Arial"/>
                <w:sz w:val="17"/>
                <w:szCs w:val="17"/>
                <w:color w:val="auto"/>
              </w:rPr>
              <w:t>63,328</w:t>
            </w:r>
          </w:p>
        </w:tc>
        <w:tc>
          <w:tcPr>
            <w:tcW w:w="1480" w:type="dxa"/>
            <w:vAlign w:val="bottom"/>
            <w:tcBorders>
              <w:bottom w:val="single" w:sz="8" w:color="E2EEFA"/>
            </w:tcBorders>
            <w:shd w:val="clear" w:color="auto" w:fill="E2EEFA"/>
          </w:tcPr>
          <w:p>
            <w:pPr>
              <w:jc w:val="center"/>
              <w:spacing w:after="0"/>
              <w:rPr>
                <w:sz w:val="20"/>
                <w:szCs w:val="20"/>
                <w:color w:val="auto"/>
              </w:rPr>
            </w:pPr>
            <w:r>
              <w:rPr>
                <w:rFonts w:ascii="Arial" w:cs="Arial" w:eastAsia="Arial" w:hAnsi="Arial"/>
                <w:sz w:val="17"/>
                <w:szCs w:val="17"/>
                <w:color w:val="auto"/>
              </w:rPr>
              <w:t>$8,668,202</w:t>
            </w:r>
          </w:p>
        </w:tc>
      </w:tr>
      <w:tr>
        <w:trPr>
          <w:trHeight w:val="236"/>
        </w:trPr>
        <w:tc>
          <w:tcPr>
            <w:tcW w:w="6300" w:type="dxa"/>
            <w:vAlign w:val="bottom"/>
          </w:tcPr>
          <w:p>
            <w:pPr>
              <w:spacing w:after="0"/>
              <w:rPr>
                <w:sz w:val="20"/>
                <w:szCs w:val="20"/>
                <w:color w:val="auto"/>
              </w:rPr>
            </w:pPr>
            <w:r>
              <w:rPr>
                <w:rFonts w:ascii="Arial" w:cs="Arial" w:eastAsia="Arial" w:hAnsi="Arial"/>
                <w:sz w:val="17"/>
                <w:szCs w:val="17"/>
                <w:color w:val="auto"/>
              </w:rPr>
              <w:t> Karen L. Burton</w:t>
            </w:r>
          </w:p>
        </w:tc>
        <w:tc>
          <w:tcPr>
            <w:tcW w:w="1500" w:type="dxa"/>
            <w:vAlign w:val="bottom"/>
          </w:tcPr>
          <w:p>
            <w:pPr>
              <w:jc w:val="center"/>
              <w:spacing w:after="0"/>
              <w:rPr>
                <w:sz w:val="20"/>
                <w:szCs w:val="20"/>
                <w:color w:val="auto"/>
              </w:rPr>
            </w:pPr>
            <w:r>
              <w:rPr>
                <w:rFonts w:ascii="Arial" w:cs="Arial" w:eastAsia="Arial" w:hAnsi="Arial"/>
                <w:sz w:val="17"/>
                <w:szCs w:val="17"/>
                <w:color w:val="auto"/>
                <w:w w:val="98"/>
              </w:rPr>
              <w:t>4,302</w:t>
            </w:r>
          </w:p>
        </w:tc>
        <w:tc>
          <w:tcPr>
            <w:tcW w:w="1280" w:type="dxa"/>
            <w:vAlign w:val="bottom"/>
          </w:tcPr>
          <w:p>
            <w:pPr>
              <w:jc w:val="center"/>
              <w:ind w:left="18"/>
              <w:spacing w:after="0"/>
              <w:rPr>
                <w:sz w:val="20"/>
                <w:szCs w:val="20"/>
                <w:color w:val="auto"/>
              </w:rPr>
            </w:pPr>
            <w:r>
              <w:rPr>
                <w:rFonts w:ascii="Arial" w:cs="Arial" w:eastAsia="Arial" w:hAnsi="Arial"/>
                <w:sz w:val="17"/>
                <w:szCs w:val="17"/>
                <w:color w:val="auto"/>
              </w:rPr>
              <w:t>15,300</w:t>
            </w:r>
          </w:p>
        </w:tc>
        <w:tc>
          <w:tcPr>
            <w:tcW w:w="1480" w:type="dxa"/>
            <w:vAlign w:val="bottom"/>
          </w:tcPr>
          <w:p>
            <w:pPr>
              <w:jc w:val="center"/>
              <w:spacing w:after="0"/>
              <w:rPr>
                <w:sz w:val="20"/>
                <w:szCs w:val="20"/>
                <w:color w:val="auto"/>
              </w:rPr>
            </w:pPr>
            <w:r>
              <w:rPr>
                <w:rFonts w:ascii="Arial" w:cs="Arial" w:eastAsia="Arial" w:hAnsi="Arial"/>
                <w:sz w:val="17"/>
                <w:szCs w:val="17"/>
                <w:color w:val="auto"/>
              </w:rPr>
              <w:t>$2,153,185</w:t>
            </w:r>
          </w:p>
        </w:tc>
      </w:tr>
      <w:tr>
        <w:trPr>
          <w:trHeight w:val="256"/>
        </w:trPr>
        <w:tc>
          <w:tcPr>
            <w:tcW w:w="6300" w:type="dxa"/>
            <w:vAlign w:val="bottom"/>
            <w:shd w:val="clear" w:color="auto" w:fill="E2EEFA"/>
          </w:tcPr>
          <w:p>
            <w:pPr>
              <w:spacing w:after="0"/>
              <w:rPr>
                <w:sz w:val="20"/>
                <w:szCs w:val="20"/>
                <w:color w:val="auto"/>
              </w:rPr>
            </w:pPr>
            <w:r>
              <w:rPr>
                <w:rFonts w:ascii="Arial" w:cs="Arial" w:eastAsia="Arial" w:hAnsi="Arial"/>
                <w:sz w:val="17"/>
                <w:szCs w:val="17"/>
                <w:color w:val="auto"/>
              </w:rPr>
              <w:t> Michael J. Tokich</w:t>
            </w:r>
          </w:p>
        </w:tc>
        <w:tc>
          <w:tcPr>
            <w:tcW w:w="1500" w:type="dxa"/>
            <w:vAlign w:val="bottom"/>
            <w:shd w:val="clear" w:color="auto" w:fill="E2EEFA"/>
          </w:tcPr>
          <w:p>
            <w:pPr>
              <w:jc w:val="center"/>
              <w:spacing w:after="0"/>
              <w:rPr>
                <w:sz w:val="20"/>
                <w:szCs w:val="20"/>
                <w:color w:val="auto"/>
              </w:rPr>
            </w:pPr>
            <w:r>
              <w:rPr>
                <w:rFonts w:ascii="Arial" w:cs="Arial" w:eastAsia="Arial" w:hAnsi="Arial"/>
                <w:sz w:val="17"/>
                <w:szCs w:val="17"/>
                <w:color w:val="auto"/>
                <w:w w:val="98"/>
              </w:rPr>
              <w:t>2,223</w:t>
            </w:r>
          </w:p>
        </w:tc>
        <w:tc>
          <w:tcPr>
            <w:tcW w:w="1280" w:type="dxa"/>
            <w:vAlign w:val="bottom"/>
            <w:shd w:val="clear" w:color="auto" w:fill="E2EEFA"/>
          </w:tcPr>
          <w:p>
            <w:pPr>
              <w:jc w:val="center"/>
              <w:ind w:left="18"/>
              <w:spacing w:after="0"/>
              <w:rPr>
                <w:sz w:val="20"/>
                <w:szCs w:val="20"/>
                <w:color w:val="auto"/>
              </w:rPr>
            </w:pPr>
            <w:r>
              <w:rPr>
                <w:rFonts w:ascii="Arial" w:cs="Arial" w:eastAsia="Arial" w:hAnsi="Arial"/>
                <w:sz w:val="17"/>
                <w:szCs w:val="17"/>
                <w:color w:val="auto"/>
                <w:w w:val="98"/>
              </w:rPr>
              <w:t>7,908</w:t>
            </w:r>
          </w:p>
        </w:tc>
        <w:tc>
          <w:tcPr>
            <w:tcW w:w="1480" w:type="dxa"/>
            <w:vAlign w:val="bottom"/>
            <w:shd w:val="clear" w:color="auto" w:fill="E2EEFA"/>
          </w:tcPr>
          <w:p>
            <w:pPr>
              <w:jc w:val="center"/>
              <w:spacing w:after="0"/>
              <w:rPr>
                <w:sz w:val="20"/>
                <w:szCs w:val="20"/>
                <w:color w:val="auto"/>
              </w:rPr>
            </w:pPr>
            <w:r>
              <w:rPr>
                <w:rFonts w:ascii="Arial" w:cs="Arial" w:eastAsia="Arial" w:hAnsi="Arial"/>
                <w:sz w:val="17"/>
                <w:szCs w:val="17"/>
                <w:color w:val="auto"/>
              </w:rPr>
              <w:t>$1,082,157</w:t>
            </w:r>
          </w:p>
        </w:tc>
      </w:tr>
      <w:tr>
        <w:trPr>
          <w:trHeight w:val="236"/>
        </w:trPr>
        <w:tc>
          <w:tcPr>
            <w:tcW w:w="6300" w:type="dxa"/>
            <w:vAlign w:val="bottom"/>
          </w:tcPr>
          <w:p>
            <w:pPr>
              <w:spacing w:after="0"/>
              <w:rPr>
                <w:sz w:val="20"/>
                <w:szCs w:val="20"/>
                <w:color w:val="auto"/>
              </w:rPr>
            </w:pPr>
            <w:r>
              <w:rPr>
                <w:rFonts w:ascii="Arial" w:cs="Arial" w:eastAsia="Arial" w:hAnsi="Arial"/>
                <w:sz w:val="17"/>
                <w:szCs w:val="17"/>
                <w:color w:val="auto"/>
              </w:rPr>
              <w:t> J. Adam Zangerle</w:t>
            </w:r>
          </w:p>
        </w:tc>
        <w:tc>
          <w:tcPr>
            <w:tcW w:w="1500" w:type="dxa"/>
            <w:vAlign w:val="bottom"/>
          </w:tcPr>
          <w:p>
            <w:pPr>
              <w:jc w:val="center"/>
              <w:spacing w:after="0"/>
              <w:rPr>
                <w:sz w:val="20"/>
                <w:szCs w:val="20"/>
                <w:color w:val="auto"/>
              </w:rPr>
            </w:pPr>
            <w:r>
              <w:rPr>
                <w:rFonts w:ascii="Arial" w:cs="Arial" w:eastAsia="Arial" w:hAnsi="Arial"/>
                <w:sz w:val="17"/>
                <w:szCs w:val="17"/>
                <w:color w:val="auto"/>
                <w:w w:val="98"/>
              </w:rPr>
              <w:t>3,756</w:t>
            </w:r>
          </w:p>
        </w:tc>
        <w:tc>
          <w:tcPr>
            <w:tcW w:w="1280" w:type="dxa"/>
            <w:vAlign w:val="bottom"/>
          </w:tcPr>
          <w:p>
            <w:pPr>
              <w:jc w:val="center"/>
              <w:ind w:left="18"/>
              <w:spacing w:after="0"/>
              <w:rPr>
                <w:sz w:val="20"/>
                <w:szCs w:val="20"/>
                <w:color w:val="auto"/>
              </w:rPr>
            </w:pPr>
            <w:r>
              <w:rPr>
                <w:rFonts w:ascii="Arial" w:cs="Arial" w:eastAsia="Arial" w:hAnsi="Arial"/>
                <w:sz w:val="17"/>
                <w:szCs w:val="17"/>
                <w:color w:val="auto"/>
              </w:rPr>
              <w:t>13,360</w:t>
            </w:r>
          </w:p>
        </w:tc>
        <w:tc>
          <w:tcPr>
            <w:tcW w:w="1480" w:type="dxa"/>
            <w:vAlign w:val="bottom"/>
          </w:tcPr>
          <w:p>
            <w:pPr>
              <w:jc w:val="center"/>
              <w:spacing w:after="0"/>
              <w:rPr>
                <w:sz w:val="20"/>
                <w:szCs w:val="20"/>
                <w:color w:val="auto"/>
              </w:rPr>
            </w:pPr>
            <w:r>
              <w:rPr>
                <w:rFonts w:ascii="Arial" w:cs="Arial" w:eastAsia="Arial" w:hAnsi="Arial"/>
                <w:sz w:val="17"/>
                <w:szCs w:val="17"/>
                <w:color w:val="auto"/>
              </w:rPr>
              <w:t>$1,828,323</w:t>
            </w:r>
          </w:p>
        </w:tc>
      </w:tr>
      <w:tr>
        <w:trPr>
          <w:trHeight w:val="256"/>
        </w:trPr>
        <w:tc>
          <w:tcPr>
            <w:tcW w:w="6300" w:type="dxa"/>
            <w:vAlign w:val="bottom"/>
            <w:shd w:val="clear" w:color="auto" w:fill="E2EEFA"/>
          </w:tcPr>
          <w:p>
            <w:pPr>
              <w:spacing w:after="0"/>
              <w:rPr>
                <w:sz w:val="20"/>
                <w:szCs w:val="20"/>
                <w:color w:val="auto"/>
              </w:rPr>
            </w:pPr>
            <w:r>
              <w:rPr>
                <w:rFonts w:ascii="Arial" w:cs="Arial" w:eastAsia="Arial" w:hAnsi="Arial"/>
                <w:sz w:val="17"/>
                <w:szCs w:val="17"/>
                <w:color w:val="auto"/>
              </w:rPr>
              <w:t> Cary L. Majors</w:t>
            </w:r>
          </w:p>
        </w:tc>
        <w:tc>
          <w:tcPr>
            <w:tcW w:w="1500" w:type="dxa"/>
            <w:vAlign w:val="bottom"/>
            <w:shd w:val="clear" w:color="auto" w:fill="E2EEFA"/>
          </w:tcPr>
          <w:p>
            <w:pPr>
              <w:jc w:val="center"/>
              <w:spacing w:after="0"/>
              <w:rPr>
                <w:sz w:val="20"/>
                <w:szCs w:val="20"/>
                <w:color w:val="auto"/>
              </w:rPr>
            </w:pPr>
            <w:r>
              <w:rPr>
                <w:rFonts w:ascii="Arial" w:cs="Arial" w:eastAsia="Arial" w:hAnsi="Arial"/>
                <w:sz w:val="17"/>
                <w:szCs w:val="17"/>
                <w:color w:val="auto"/>
                <w:w w:val="98"/>
              </w:rPr>
              <w:t>2,922</w:t>
            </w:r>
          </w:p>
        </w:tc>
        <w:tc>
          <w:tcPr>
            <w:tcW w:w="1280" w:type="dxa"/>
            <w:vAlign w:val="bottom"/>
            <w:shd w:val="clear" w:color="auto" w:fill="E2EEFA"/>
          </w:tcPr>
          <w:p>
            <w:pPr>
              <w:jc w:val="center"/>
              <w:ind w:left="18"/>
              <w:spacing w:after="0"/>
              <w:rPr>
                <w:sz w:val="20"/>
                <w:szCs w:val="20"/>
                <w:color w:val="auto"/>
              </w:rPr>
            </w:pPr>
            <w:r>
              <w:rPr>
                <w:rFonts w:ascii="Arial" w:cs="Arial" w:eastAsia="Arial" w:hAnsi="Arial"/>
                <w:sz w:val="17"/>
                <w:szCs w:val="17"/>
                <w:color w:val="auto"/>
              </w:rPr>
              <w:t>10,392</w:t>
            </w:r>
          </w:p>
        </w:tc>
        <w:tc>
          <w:tcPr>
            <w:tcW w:w="1480" w:type="dxa"/>
            <w:vAlign w:val="bottom"/>
            <w:shd w:val="clear" w:color="auto" w:fill="E2EEFA"/>
          </w:tcPr>
          <w:p>
            <w:pPr>
              <w:jc w:val="center"/>
              <w:spacing w:after="0"/>
              <w:rPr>
                <w:sz w:val="20"/>
                <w:szCs w:val="20"/>
                <w:color w:val="auto"/>
              </w:rPr>
            </w:pPr>
            <w:r>
              <w:rPr>
                <w:rFonts w:ascii="Arial" w:cs="Arial" w:eastAsia="Arial" w:hAnsi="Arial"/>
                <w:sz w:val="17"/>
                <w:szCs w:val="17"/>
                <w:color w:val="auto"/>
              </w:rPr>
              <w:t>$1,422,252</w:t>
            </w:r>
          </w:p>
        </w:tc>
      </w:tr>
      <w:tr>
        <w:trPr>
          <w:trHeight w:val="239"/>
        </w:trPr>
        <w:tc>
          <w:tcPr>
            <w:tcW w:w="6300" w:type="dxa"/>
            <w:vAlign w:val="bottom"/>
            <w:tcBorders>
              <w:bottom w:val="single" w:sz="8" w:color="3E8EDE"/>
            </w:tcBorders>
          </w:tcPr>
          <w:p>
            <w:pPr>
              <w:spacing w:after="0"/>
              <w:rPr>
                <w:sz w:val="20"/>
                <w:szCs w:val="20"/>
                <w:color w:val="auto"/>
              </w:rPr>
            </w:pPr>
            <w:r>
              <w:rPr>
                <w:rFonts w:ascii="Arial" w:cs="Arial" w:eastAsia="Arial" w:hAnsi="Arial"/>
                <w:sz w:val="17"/>
                <w:szCs w:val="17"/>
                <w:color w:val="auto"/>
              </w:rPr>
              <w:t> Mary Clare Fraser</w:t>
            </w:r>
          </w:p>
        </w:tc>
        <w:tc>
          <w:tcPr>
            <w:tcW w:w="1500" w:type="dxa"/>
            <w:vAlign w:val="bottom"/>
            <w:tcBorders>
              <w:bottom w:val="single" w:sz="8" w:color="3E8EDE"/>
            </w:tcBorders>
          </w:tcPr>
          <w:p>
            <w:pPr>
              <w:jc w:val="center"/>
              <w:spacing w:after="0"/>
              <w:rPr>
                <w:sz w:val="20"/>
                <w:szCs w:val="20"/>
                <w:color w:val="auto"/>
              </w:rPr>
            </w:pPr>
            <w:r>
              <w:rPr>
                <w:rFonts w:ascii="Arial" w:cs="Arial" w:eastAsia="Arial" w:hAnsi="Arial"/>
                <w:sz w:val="17"/>
                <w:szCs w:val="17"/>
                <w:color w:val="auto"/>
                <w:w w:val="98"/>
              </w:rPr>
              <w:t>2,505</w:t>
            </w:r>
          </w:p>
        </w:tc>
        <w:tc>
          <w:tcPr>
            <w:tcW w:w="1280" w:type="dxa"/>
            <w:vAlign w:val="bottom"/>
            <w:tcBorders>
              <w:bottom w:val="single" w:sz="8" w:color="3E8EDE"/>
            </w:tcBorders>
          </w:tcPr>
          <w:p>
            <w:pPr>
              <w:jc w:val="center"/>
              <w:ind w:left="18"/>
              <w:spacing w:after="0"/>
              <w:rPr>
                <w:sz w:val="20"/>
                <w:szCs w:val="20"/>
                <w:color w:val="auto"/>
              </w:rPr>
            </w:pPr>
            <w:r>
              <w:rPr>
                <w:rFonts w:ascii="Arial" w:cs="Arial" w:eastAsia="Arial" w:hAnsi="Arial"/>
                <w:sz w:val="17"/>
                <w:szCs w:val="17"/>
                <w:color w:val="auto"/>
                <w:w w:val="98"/>
              </w:rPr>
              <w:t>8,904</w:t>
            </w:r>
          </w:p>
        </w:tc>
        <w:tc>
          <w:tcPr>
            <w:tcW w:w="1480" w:type="dxa"/>
            <w:vAlign w:val="bottom"/>
            <w:tcBorders>
              <w:bottom w:val="single" w:sz="8" w:color="3E8EDE"/>
            </w:tcBorders>
          </w:tcPr>
          <w:p>
            <w:pPr>
              <w:jc w:val="center"/>
              <w:spacing w:after="0"/>
              <w:rPr>
                <w:sz w:val="20"/>
                <w:szCs w:val="20"/>
                <w:color w:val="auto"/>
              </w:rPr>
            </w:pPr>
            <w:r>
              <w:rPr>
                <w:rFonts w:ascii="Arial" w:cs="Arial" w:eastAsia="Arial" w:hAnsi="Arial"/>
                <w:sz w:val="17"/>
                <w:szCs w:val="17"/>
                <w:color w:val="auto"/>
              </w:rPr>
              <w:t>$1,218,943</w:t>
            </w:r>
          </w:p>
        </w:tc>
      </w:tr>
    </w:tbl>
    <w:p>
      <w:pPr>
        <w:spacing w:after="0" w:line="186" w:lineRule="exact"/>
        <w:rPr>
          <w:sz w:val="20"/>
          <w:szCs w:val="20"/>
          <w:color w:val="auto"/>
        </w:rPr>
      </w:pPr>
    </w:p>
    <w:p>
      <w:pPr>
        <w:ind w:left="340" w:right="260"/>
        <w:spacing w:after="0" w:line="289" w:lineRule="auto"/>
        <w:rPr>
          <w:sz w:val="20"/>
          <w:szCs w:val="20"/>
          <w:color w:val="auto"/>
        </w:rPr>
      </w:pPr>
      <w:r>
        <w:rPr>
          <w:rFonts w:ascii="Arial" w:cs="Arial" w:eastAsia="Arial" w:hAnsi="Arial"/>
          <w:sz w:val="18"/>
          <w:szCs w:val="18"/>
          <w:color w:val="auto"/>
        </w:rPr>
        <w:t>For more information concerning these awards, see “Grants of Plan-Based Awards in Fiscal 2026” and the “Narrative Supplement to the Fiscal 2026 Summary Compensation Table and the Grants of Plan-Based Awards in Fiscal 2026 Table.”</w:t>
      </w:r>
    </w:p>
    <w:p>
      <w:pPr>
        <w:spacing w:after="0" w:line="66"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3E8EDE"/>
        </w:rPr>
        <w:t xml:space="preserve">Notice of Annual Meeting of Shareholders </w:t>
      </w:r>
      <w:r>
        <w:rPr>
          <w:rFonts w:ascii="Arial" w:cs="Arial" w:eastAsia="Arial" w:hAnsi="Arial"/>
          <w:sz w:val="14"/>
          <w:szCs w:val="14"/>
          <w:color w:val="000000"/>
        </w:rPr>
        <w:t>and 2026 Proxy Statement   59</w:t>
      </w:r>
    </w:p>
    <w:p>
      <w:pPr>
        <w:sectPr>
          <w:pgSz w:w="11900" w:h="16838" w:orient="portrait"/>
          <w:cols w:equalWidth="0" w:num="1">
            <w:col w:w="10900"/>
          </w:cols>
          <w:pgMar w:left="320" w:top="469" w:right="6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Benefit Programs and Perquisites</w:t>
      </w:r>
    </w:p>
    <w:p>
      <w:pPr>
        <w:spacing w:after="0" w:line="90" w:lineRule="exact"/>
        <w:rPr>
          <w:sz w:val="20"/>
          <w:szCs w:val="20"/>
          <w:color w:val="auto"/>
        </w:rPr>
      </w:pPr>
    </w:p>
    <w:p>
      <w:pPr>
        <w:ind w:left="340" w:right="20"/>
        <w:spacing w:after="0" w:line="239" w:lineRule="auto"/>
        <w:rPr>
          <w:sz w:val="20"/>
          <w:szCs w:val="20"/>
          <w:color w:val="auto"/>
        </w:rPr>
      </w:pPr>
      <w:r>
        <w:rPr>
          <w:rFonts w:ascii="Arial" w:cs="Arial" w:eastAsia="Arial" w:hAnsi="Arial"/>
          <w:sz w:val="19"/>
          <w:szCs w:val="19"/>
          <w:color w:val="auto"/>
        </w:rPr>
        <w:t>Our named executive officers are eligible to participate in a number of benefit programs, including health, disability and life insurance programs and a qualified 401(k) plan, all of which also are available generally to employees in the United States. None of our executive officers have special retirement benefit arrangements such as supplemental retirement plans or excess or restoration retirement benefit plans.</w:t>
      </w:r>
    </w:p>
    <w:p>
      <w:pPr>
        <w:spacing w:after="0" w:line="166" w:lineRule="exact"/>
        <w:rPr>
          <w:sz w:val="20"/>
          <w:szCs w:val="20"/>
          <w:color w:val="auto"/>
        </w:rPr>
      </w:pPr>
    </w:p>
    <w:p>
      <w:pPr>
        <w:ind w:left="340" w:right="60"/>
        <w:spacing w:after="0" w:line="239" w:lineRule="auto"/>
        <w:rPr>
          <w:sz w:val="20"/>
          <w:szCs w:val="20"/>
          <w:color w:val="auto"/>
        </w:rPr>
      </w:pPr>
      <w:r>
        <w:rPr>
          <w:rFonts w:ascii="Arial" w:cs="Arial" w:eastAsia="Arial" w:hAnsi="Arial"/>
          <w:sz w:val="19"/>
          <w:szCs w:val="19"/>
          <w:color w:val="auto"/>
        </w:rPr>
        <w:t>Named executive officers and other senior employees may also participate in other benefit programs, including an employee relocation program and a Senior Executive Severance Plan. The Company’s Senior Executive Severance Plan covers all of the named executive officers. Several years ago, the Company discontinued providing most allowances and other perquisites for executives.</w:t>
      </w:r>
    </w:p>
    <w:p>
      <w:pPr>
        <w:spacing w:after="0" w:line="166" w:lineRule="exact"/>
        <w:rPr>
          <w:sz w:val="20"/>
          <w:szCs w:val="20"/>
          <w:color w:val="auto"/>
        </w:rPr>
      </w:pPr>
    </w:p>
    <w:p>
      <w:pPr>
        <w:ind w:left="340" w:right="80"/>
        <w:spacing w:after="0" w:line="239" w:lineRule="auto"/>
        <w:rPr>
          <w:sz w:val="20"/>
          <w:szCs w:val="20"/>
          <w:color w:val="auto"/>
        </w:rPr>
      </w:pPr>
      <w:r>
        <w:rPr>
          <w:rFonts w:ascii="Arial" w:cs="Arial" w:eastAsia="Arial" w:hAnsi="Arial"/>
          <w:sz w:val="19"/>
          <w:szCs w:val="19"/>
          <w:color w:val="auto"/>
        </w:rPr>
        <w:t>We maintain a U.S. non-qualified deferred compensation plan, which formerly allowed for the deferral of compensation for an employee-specified term or until retirement or termination. There have been no employee contributions made to this plan since fiscal 2012 and future contributions are not permitted. Ms. Burton is the only NEO who has contributed to the non-qualified deferred compensation plan.</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Agreements Regarding Named Executive Officer Compensation</w:t>
      </w:r>
    </w:p>
    <w:p>
      <w:pPr>
        <w:spacing w:after="0" w:line="90" w:lineRule="exact"/>
        <w:rPr>
          <w:sz w:val="20"/>
          <w:szCs w:val="20"/>
          <w:color w:val="auto"/>
        </w:rPr>
      </w:pPr>
    </w:p>
    <w:p>
      <w:pPr>
        <w:ind w:left="340" w:right="80"/>
        <w:spacing w:after="0" w:line="237" w:lineRule="auto"/>
        <w:rPr>
          <w:sz w:val="20"/>
          <w:szCs w:val="20"/>
          <w:color w:val="auto"/>
        </w:rPr>
      </w:pPr>
      <w:r>
        <w:rPr>
          <w:rFonts w:ascii="Arial" w:cs="Arial" w:eastAsia="Arial" w:hAnsi="Arial"/>
          <w:sz w:val="19"/>
          <w:szCs w:val="19"/>
          <w:color w:val="auto"/>
        </w:rPr>
        <w:t>The Committee reviews and approves, or makes recommendations to the Board to approve, any agreements with the named executive officers relating to compensation or separation payments. Except for the Transition Agreement in effect for</w:t>
      </w:r>
    </w:p>
    <w:p>
      <w:pPr>
        <w:spacing w:after="0" w:line="1" w:lineRule="exact"/>
        <w:rPr>
          <w:sz w:val="20"/>
          <w:szCs w:val="20"/>
          <w:color w:val="auto"/>
        </w:rPr>
      </w:pPr>
    </w:p>
    <w:p>
      <w:pPr>
        <w:ind w:left="340"/>
        <w:spacing w:after="0" w:line="242" w:lineRule="auto"/>
        <w:rPr>
          <w:sz w:val="20"/>
          <w:szCs w:val="20"/>
          <w:color w:val="auto"/>
        </w:rPr>
      </w:pPr>
      <w:r>
        <w:rPr>
          <w:rFonts w:ascii="Arial" w:cs="Arial" w:eastAsia="Arial" w:hAnsi="Arial"/>
          <w:sz w:val="19"/>
          <w:szCs w:val="19"/>
          <w:color w:val="auto"/>
        </w:rPr>
        <w:t>Mr. Tokich in connection with his retirement, as further described below, the Company has no employment agreements with its named executive officers.</w:t>
      </w:r>
    </w:p>
    <w:p>
      <w:pPr>
        <w:spacing w:after="0" w:line="163" w:lineRule="exact"/>
        <w:rPr>
          <w:sz w:val="20"/>
          <w:szCs w:val="20"/>
          <w:color w:val="auto"/>
        </w:rPr>
      </w:pPr>
    </w:p>
    <w:p>
      <w:pPr>
        <w:ind w:left="340" w:right="60"/>
        <w:spacing w:after="0" w:line="236" w:lineRule="auto"/>
        <w:rPr>
          <w:sz w:val="20"/>
          <w:szCs w:val="20"/>
          <w:color w:val="auto"/>
        </w:rPr>
      </w:pPr>
      <w:r>
        <w:rPr>
          <w:rFonts w:ascii="Arial" w:cs="Arial" w:eastAsia="Arial" w:hAnsi="Arial"/>
          <w:sz w:val="19"/>
          <w:szCs w:val="19"/>
          <w:color w:val="auto"/>
        </w:rPr>
        <w:t>The named executive officers are party to equity award agreements and covered by the Senior Executive Severance Plan and other plans described in the succeeding pages. These agreements and plans are discussed, in part, in the section of this Proxy Statement entitled “Potential Payments to Named Executive Officers upon Termination of Employment or Change in Control.” The Committee believes that employment or other special agreements regarding senior management compensation for US-based executives should generally be limited to special circumstances.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Tokich Transition Agreement</w:t>
      </w:r>
    </w:p>
    <w:p>
      <w:pPr>
        <w:spacing w:after="0" w:line="90" w:lineRule="exact"/>
        <w:rPr>
          <w:sz w:val="20"/>
          <w:szCs w:val="20"/>
          <w:color w:val="auto"/>
        </w:rPr>
      </w:pPr>
    </w:p>
    <w:p>
      <w:pPr>
        <w:ind w:left="340" w:right="140"/>
        <w:spacing w:after="0" w:line="234" w:lineRule="auto"/>
        <w:rPr>
          <w:sz w:val="20"/>
          <w:szCs w:val="20"/>
          <w:color w:val="auto"/>
        </w:rPr>
      </w:pPr>
      <w:r>
        <w:rPr>
          <w:rFonts w:ascii="Arial" w:cs="Arial" w:eastAsia="Arial" w:hAnsi="Arial"/>
          <w:sz w:val="19"/>
          <w:szCs w:val="19"/>
          <w:color w:val="auto"/>
        </w:rPr>
        <w:t>On August 18, 2025, Mr. Tokich transitioned from his prior role as Senior Vice President and Chief Financial Officer of the Company to Senior Financial Advisor. To memorialize this transition, Mr. Tokich and the Company entered into a Transition Agreement, dated August 5, 2025 and effective on August 18, 2025 (and as further amended effective April 1, 2026, the “Transition Agreement”). The Transition Agreement governs the compensation and benefits that Mr. Tokich is receiving from the Company for his post-executive employment with and service to the Company. For more information about Mr. Tokich’s Transition Agreement, see “Potential Payments to Named Executive Officers Upon Termination of Employment or Change in Control—Tokich Transition Agreement.”</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Compensation Governance</w:t>
      </w:r>
    </w:p>
    <w:p>
      <w:pPr>
        <w:spacing w:after="0" w:line="92" w:lineRule="exact"/>
        <w:rPr>
          <w:sz w:val="20"/>
          <w:szCs w:val="20"/>
          <w:color w:val="auto"/>
        </w:rPr>
      </w:pPr>
    </w:p>
    <w:p>
      <w:pPr>
        <w:ind w:left="340" w:right="20"/>
        <w:spacing w:after="0" w:line="262" w:lineRule="auto"/>
        <w:rPr>
          <w:sz w:val="20"/>
          <w:szCs w:val="20"/>
          <w:color w:val="auto"/>
        </w:rPr>
      </w:pPr>
      <w:r>
        <w:rPr>
          <w:rFonts w:ascii="Arial" w:cs="Arial" w:eastAsia="Arial" w:hAnsi="Arial"/>
          <w:sz w:val="19"/>
          <w:szCs w:val="19"/>
          <w:color w:val="auto"/>
        </w:rPr>
        <w:t>We maintain several compensation governance best practices and policies. A detailed discussion of certain of these practices appears below and other of these practices are mentioned in other portions of this Proxy Statement.</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Risk Assessment</w:t>
      </w:r>
    </w:p>
    <w:p>
      <w:pPr>
        <w:spacing w:after="0" w:line="90" w:lineRule="exact"/>
        <w:rPr>
          <w:sz w:val="20"/>
          <w:szCs w:val="20"/>
          <w:color w:val="auto"/>
        </w:rPr>
      </w:pPr>
    </w:p>
    <w:p>
      <w:pPr>
        <w:jc w:val="both"/>
        <w:ind w:left="340" w:right="560"/>
        <w:spacing w:after="0" w:line="244" w:lineRule="auto"/>
        <w:rPr>
          <w:sz w:val="20"/>
          <w:szCs w:val="20"/>
          <w:color w:val="auto"/>
        </w:rPr>
      </w:pPr>
      <w:r>
        <w:rPr>
          <w:rFonts w:ascii="Arial" w:cs="Arial" w:eastAsia="Arial" w:hAnsi="Arial"/>
          <w:sz w:val="19"/>
          <w:szCs w:val="19"/>
          <w:color w:val="auto"/>
        </w:rPr>
        <w:t>The Committee has reviewed and discussed with its compensation consultant, the Company’s employee compensation policies and practices, and determined that the same are not reasonably likely to have a material adverse effect on the Company.</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60 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80"/>
        <w:spacing w:after="0" w:line="235" w:lineRule="auto"/>
        <w:rPr>
          <w:sz w:val="20"/>
          <w:szCs w:val="20"/>
          <w:color w:val="auto"/>
        </w:rPr>
      </w:pPr>
      <w:r>
        <w:rPr>
          <w:rFonts w:ascii="Arial" w:cs="Arial" w:eastAsia="Arial" w:hAnsi="Arial"/>
          <w:sz w:val="19"/>
          <w:szCs w:val="19"/>
          <w:color w:val="auto"/>
        </w:rPr>
        <w:t>This determination was based in part on a review of compensation practices and programs conducted by the Committee’s compensation consultant, FW Cook, and by management, with risk being evaluated from several perspectives, including pay mix, award time horizons, award limitations including caps, metric structure, metric alignment with business strategy, payout cliffs, and other practices or policies that mitigate risk-taking. Other risk mitigating factors reviewed included clawbacks, stock ownership guidelines, anti-hedging and pledging policies and equity grant practices, as well as more specific factors with respect to sales and service incentive plans.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Policies and Practices Related to the Grant of Equity Awards</w:t>
      </w:r>
    </w:p>
    <w:p>
      <w:pPr>
        <w:spacing w:after="0" w:line="90" w:lineRule="exact"/>
        <w:rPr>
          <w:sz w:val="20"/>
          <w:szCs w:val="20"/>
          <w:color w:val="auto"/>
        </w:rPr>
      </w:pPr>
    </w:p>
    <w:p>
      <w:pPr>
        <w:ind w:left="340" w:right="160"/>
        <w:spacing w:after="0" w:line="232" w:lineRule="auto"/>
        <w:rPr>
          <w:sz w:val="20"/>
          <w:szCs w:val="20"/>
          <w:color w:val="auto"/>
        </w:rPr>
      </w:pPr>
      <w:r>
        <w:rPr>
          <w:rFonts w:ascii="Arial" w:cs="Arial" w:eastAsia="Arial" w:hAnsi="Arial"/>
          <w:sz w:val="19"/>
          <w:szCs w:val="19"/>
          <w:color w:val="auto"/>
        </w:rPr>
        <w:t>Under the Company’s policies and practices, the approval of long-term equity incentive compensation for the Company’s regular annual equity awards (including the Company’s stock option and restricted stock grants to its named executive officers) is typically made in the first quarter Committee meeting in each fiscal year. These grants are then made effective shortly after the date of filing of the Company’s 10-K filing for its prior fiscal year. Share values utilized for annual awards are determined shortly before the grant date based upon Company share price averages over a predetermined period following the Company’s announcement of its prior year financial results. These values are then used in determining the number of options and restricted shares to be awarded to recipients, and values are not modified to reflect any subsequent increase or decrease in value of the Company’s stock between the end of the predetermined period and the effective date of the grant. During fiscal 2026, the Company granted Ms. Burton restricted shares and stock options in an off-cycle award in connection with her promotion to Senior Vice President and Chief Financial Officer.</w:t>
      </w:r>
    </w:p>
    <w:p>
      <w:pPr>
        <w:spacing w:after="0" w:line="167" w:lineRule="exact"/>
        <w:rPr>
          <w:sz w:val="20"/>
          <w:szCs w:val="20"/>
          <w:color w:val="auto"/>
        </w:rPr>
      </w:pPr>
    </w:p>
    <w:p>
      <w:pPr>
        <w:ind w:left="340" w:right="40"/>
        <w:spacing w:after="0" w:line="235" w:lineRule="auto"/>
        <w:rPr>
          <w:sz w:val="20"/>
          <w:szCs w:val="20"/>
          <w:color w:val="auto"/>
        </w:rPr>
      </w:pPr>
      <w:r>
        <w:rPr>
          <w:rFonts w:ascii="Arial" w:cs="Arial" w:eastAsia="Arial" w:hAnsi="Arial"/>
          <w:sz w:val="19"/>
          <w:szCs w:val="19"/>
          <w:color w:val="auto"/>
        </w:rPr>
        <w:t>This equity grant approach is used by the Committee in order to best help ensure the annual grants are made only during an open window, and after the release of the Company’s material non-public information regarding its most recently completed fiscal year. This grant timing provides for a routine and regular grant practice regarding the named executive officers’ annual equity awards. The Committee does not factor any material non-public information into its design and approval of the terms of such regular annual equity awards, and the Company does not time the disclosure of material non-public information for purposes of affecting the value of executive compensation.</w:t>
      </w:r>
    </w:p>
    <w:p>
      <w:pPr>
        <w:spacing w:after="0" w:line="167" w:lineRule="exact"/>
        <w:rPr>
          <w:sz w:val="20"/>
          <w:szCs w:val="20"/>
          <w:color w:val="auto"/>
        </w:rPr>
      </w:pPr>
    </w:p>
    <w:p>
      <w:pPr>
        <w:ind w:left="340" w:right="80"/>
        <w:spacing w:after="0" w:line="244" w:lineRule="auto"/>
        <w:rPr>
          <w:sz w:val="20"/>
          <w:szCs w:val="20"/>
          <w:color w:val="auto"/>
        </w:rPr>
      </w:pPr>
      <w:r>
        <w:rPr>
          <w:rFonts w:ascii="Arial" w:cs="Arial" w:eastAsia="Arial" w:hAnsi="Arial"/>
          <w:sz w:val="19"/>
          <w:szCs w:val="19"/>
          <w:color w:val="auto"/>
        </w:rPr>
        <w:t>During fiscal 2026, the Company did not grant equity awards to any named executive officer during any period beginning four business days before and ending one business day after the filing of any Company periodic report on Form 10-Q or Form 10-K, or the filing or furnishing of any Company Form 8-K that disclosed any material non-public information.</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Clawback and Related Provisions for Annual Incentive Compensation and 2006 Plan Equity Awards</w:t>
      </w:r>
    </w:p>
    <w:p>
      <w:pPr>
        <w:spacing w:after="0" w:line="90" w:lineRule="exact"/>
        <w:rPr>
          <w:sz w:val="20"/>
          <w:szCs w:val="20"/>
          <w:color w:val="auto"/>
        </w:rPr>
      </w:pPr>
    </w:p>
    <w:p>
      <w:pPr>
        <w:ind w:left="340" w:right="240"/>
        <w:spacing w:after="0" w:line="235" w:lineRule="auto"/>
        <w:rPr>
          <w:sz w:val="20"/>
          <w:szCs w:val="20"/>
          <w:color w:val="auto"/>
        </w:rPr>
      </w:pPr>
      <w:r>
        <w:rPr>
          <w:rFonts w:ascii="Arial" w:cs="Arial" w:eastAsia="Arial" w:hAnsi="Arial"/>
          <w:sz w:val="19"/>
          <w:szCs w:val="19"/>
          <w:color w:val="auto"/>
        </w:rPr>
        <w:t>The MICP contains “clawback” provisions. Under these provisions, if the Company’s financial statements for any fiscal year are required to be restated due to material noncompliance with any financial reporting requirement as a result of intentional misconduct of a participant, the participant is required to forfeit or return, as applicable, at the request of the Board or Committee, all or a portion of the participant’s award. The amount to be recovered is the amount of the award in excess of that which would have been payable had the financial statements initially been filed as restated. The Company is entitled to obtain repayment by a variety of different methods.</w:t>
      </w:r>
    </w:p>
    <w:p>
      <w:pPr>
        <w:spacing w:after="0" w:line="167" w:lineRule="exact"/>
        <w:rPr>
          <w:sz w:val="20"/>
          <w:szCs w:val="20"/>
          <w:color w:val="auto"/>
        </w:rPr>
      </w:pPr>
    </w:p>
    <w:p>
      <w:pPr>
        <w:ind w:left="340" w:right="120"/>
        <w:spacing w:after="0" w:line="244" w:lineRule="auto"/>
        <w:rPr>
          <w:sz w:val="20"/>
          <w:szCs w:val="20"/>
          <w:color w:val="auto"/>
        </w:rPr>
      </w:pPr>
      <w:r>
        <w:rPr>
          <w:rFonts w:ascii="Arial" w:cs="Arial" w:eastAsia="Arial" w:hAnsi="Arial"/>
          <w:sz w:val="19"/>
          <w:szCs w:val="19"/>
          <w:color w:val="auto"/>
        </w:rPr>
        <w:t>The Committee expanded these rules by adopting a clawback policy effective October 2, 2023 that is compliant with the new SEC/NYSE rules regarding clawback policies. This policy expands and supplements the existing 2006 Plan rules, but does not replace those rules.</w:t>
      </w:r>
    </w:p>
    <w:p>
      <w:pPr>
        <w:spacing w:after="0" w:line="162" w:lineRule="exact"/>
        <w:rPr>
          <w:sz w:val="20"/>
          <w:szCs w:val="20"/>
          <w:color w:val="auto"/>
        </w:rPr>
      </w:pPr>
    </w:p>
    <w:p>
      <w:pPr>
        <w:ind w:left="340" w:right="140"/>
        <w:spacing w:after="0" w:line="244" w:lineRule="auto"/>
        <w:rPr>
          <w:sz w:val="20"/>
          <w:szCs w:val="20"/>
          <w:color w:val="auto"/>
        </w:rPr>
      </w:pPr>
      <w:r>
        <w:rPr>
          <w:rFonts w:ascii="Arial" w:cs="Arial" w:eastAsia="Arial" w:hAnsi="Arial"/>
          <w:sz w:val="19"/>
          <w:szCs w:val="19"/>
          <w:color w:val="auto"/>
        </w:rPr>
        <w:t>The 2006 Plan also contains forfeiture and recovery provisions for “Detrimental Conduct.” Detrimental Conduct includes acts of dishonesty intended to result in material personal gain or enrichment at the expense of the Company and other acts or conduct detrimental or prejudicial to the business, reputation, or other significant interests of the Company.</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61</w:t>
      </w:r>
    </w:p>
    <w:p>
      <w:pPr>
        <w:sectPr>
          <w:pgSz w:w="11900" w:h="16838" w:orient="portrait"/>
          <w:cols w:equalWidth="0" w:num="1">
            <w:col w:w="10900"/>
          </w:cols>
          <w:pgMar w:left="320" w:top="469" w:right="6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Restrictions on Securities Transactions</w:t>
      </w:r>
    </w:p>
    <w:p>
      <w:pPr>
        <w:spacing w:after="0" w:line="90" w:lineRule="exact"/>
        <w:rPr>
          <w:sz w:val="20"/>
          <w:szCs w:val="20"/>
          <w:color w:val="auto"/>
        </w:rPr>
      </w:pPr>
    </w:p>
    <w:p>
      <w:pPr>
        <w:ind w:left="340"/>
        <w:spacing w:after="0" w:line="232" w:lineRule="auto"/>
        <w:rPr>
          <w:sz w:val="20"/>
          <w:szCs w:val="20"/>
          <w:color w:val="auto"/>
        </w:rPr>
      </w:pPr>
      <w:r>
        <w:rPr>
          <w:rFonts w:ascii="Arial" w:cs="Arial" w:eastAsia="Arial" w:hAnsi="Arial"/>
          <w:sz w:val="19"/>
          <w:szCs w:val="19"/>
          <w:color w:val="auto"/>
        </w:rPr>
        <w:t>The Company maintains an Insider Trading Policy that restricts activities in or relating to Company securities by Directors, executive officers and employees and their respective related persons. These restrictions include advance clearance requirements for Directors, executive officers and certain other employees for all transactions as well as “blackout” provisions. The Insider Trading Policy also includes a blanket prohibition that prevents Directors, executive officers, employees and their respective related persons from purchasing financial instruments (including prepaid variable forward contracts, equity swaps, collars or exchange funds), or otherwise engaging in transactions, that hedge or offset, or are designed to hedge or offset, decreases in the market value of the Company’s securities, whether granted as part of compensation to, or otherwise held directly or indirectly by, such Director, executive officer, employee or their respective related persons. The Insider Trading Policy further prohibits other types of speculative transactions in Company securities, including short-term trading, short sales, option trading and pledging (including margin purchases of Company stock).</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Officer Stock Ownership Policy</w:t>
      </w:r>
    </w:p>
    <w:p>
      <w:pPr>
        <w:spacing w:after="0" w:line="90" w:lineRule="exact"/>
        <w:rPr>
          <w:sz w:val="20"/>
          <w:szCs w:val="20"/>
          <w:color w:val="auto"/>
        </w:rPr>
      </w:pPr>
    </w:p>
    <w:p>
      <w:pPr>
        <w:ind w:left="340" w:right="60"/>
        <w:spacing w:after="0" w:line="256" w:lineRule="auto"/>
        <w:rPr>
          <w:sz w:val="20"/>
          <w:szCs w:val="20"/>
          <w:color w:val="auto"/>
        </w:rPr>
      </w:pPr>
      <w:r>
        <w:rPr>
          <w:rFonts w:ascii="Arial" w:cs="Arial" w:eastAsia="Arial" w:hAnsi="Arial"/>
          <w:sz w:val="18"/>
          <w:szCs w:val="18"/>
          <w:color w:val="auto"/>
        </w:rPr>
        <w:t>One of the primary objectives of the Company’s equity incentives is to build stock ownership among executives, thereby aligning their interests more closely with those of the shareholders. To reinforce this objective, the Committee first established stock ownership guidelines for senior managers of STERIS Corporation in 2006. The guidelines have been subsequently revised on several occasions, most recently to formalize the guidelines as a Policy and expand Policy coverage.</w:t>
      </w:r>
    </w:p>
    <w:p>
      <w:pPr>
        <w:spacing w:after="0" w:line="153" w:lineRule="exact"/>
        <w:rPr>
          <w:sz w:val="20"/>
          <w:szCs w:val="20"/>
          <w:color w:val="auto"/>
        </w:rPr>
      </w:pPr>
    </w:p>
    <w:p>
      <w:pPr>
        <w:ind w:left="340"/>
        <w:spacing w:after="0" w:line="246" w:lineRule="auto"/>
        <w:rPr>
          <w:sz w:val="20"/>
          <w:szCs w:val="20"/>
          <w:color w:val="auto"/>
        </w:rPr>
      </w:pPr>
      <w:r>
        <w:rPr>
          <w:rFonts w:ascii="Arial" w:cs="Arial" w:eastAsia="Arial" w:hAnsi="Arial"/>
          <w:sz w:val="18"/>
          <w:szCs w:val="18"/>
          <w:color w:val="auto"/>
        </w:rPr>
        <w:t>The Committee believes the Policy further aligns the interests of senior management with those of the shareholders. Senior managers (including the named executive officers) and other key management members are required to maintain a significant equity interest in the Company through ownership of stock that they acquire either with their own funds or through long-term incentive awards. The Committee believes that stock ownership helps create economic alignment with shareholders and is a factor in motivating our senior managers to enhance shareholder value. The stock ownership requirements are expressed as a multiple of base salary. The Committee believes that this approach, which is consistent with the approach used in the Director Stock Ownership Guidelines, reflects prevailing market practices, and also has the benefit of adjusting for changing circumstances that should influence shareholding requirements. The following table outlines the required officer share ownership values at various levels within the Company, as defined by multiples of base salary for each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133350</wp:posOffset>
            </wp:positionV>
            <wp:extent cx="6710045" cy="262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10045" cy="262890"/>
                    </a:xfrm>
                    <a:prstGeom prst="rect">
                      <a:avLst/>
                    </a:prstGeom>
                    <a:noFill/>
                  </pic:spPr>
                </pic:pic>
              </a:graphicData>
            </a:graphic>
          </wp:anchor>
        </w:drawing>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8540" w:type="dxa"/>
            <w:vAlign w:val="bottom"/>
            <w:shd w:val="clear" w:color="auto" w:fill="3E8EDE"/>
          </w:tcPr>
          <w:p>
            <w:pPr>
              <w:spacing w:after="0"/>
              <w:rPr>
                <w:sz w:val="14"/>
                <w:szCs w:val="14"/>
                <w:color w:val="auto"/>
              </w:rPr>
            </w:pPr>
          </w:p>
        </w:tc>
        <w:tc>
          <w:tcPr>
            <w:tcW w:w="2020" w:type="dxa"/>
            <w:vAlign w:val="bottom"/>
            <w:shd w:val="clear" w:color="auto" w:fill="3E8EDE"/>
          </w:tcPr>
          <w:p>
            <w:pPr>
              <w:jc w:val="center"/>
              <w:spacing w:after="0"/>
              <w:rPr>
                <w:sz w:val="20"/>
                <w:szCs w:val="20"/>
                <w:color w:val="auto"/>
              </w:rPr>
            </w:pPr>
            <w:r>
              <w:rPr>
                <w:rFonts w:ascii="Arial" w:cs="Arial" w:eastAsia="Arial" w:hAnsi="Arial"/>
                <w:sz w:val="14"/>
                <w:szCs w:val="14"/>
                <w:b w:val="1"/>
                <w:bCs w:val="1"/>
                <w:color w:val="FFFFFF"/>
              </w:rPr>
              <w:t>Shareholding</w:t>
            </w:r>
          </w:p>
        </w:tc>
      </w:tr>
      <w:tr>
        <w:trPr>
          <w:trHeight w:val="210"/>
        </w:trPr>
        <w:tc>
          <w:tcPr>
            <w:tcW w:w="8540" w:type="dxa"/>
            <w:vAlign w:val="bottom"/>
            <w:tcBorders>
              <w:bottom w:val="single" w:sz="8" w:color="3E8EDE"/>
            </w:tcBorders>
            <w:shd w:val="clear" w:color="auto" w:fill="3E8EDE"/>
          </w:tcPr>
          <w:p>
            <w:pPr>
              <w:spacing w:after="0"/>
              <w:rPr>
                <w:sz w:val="20"/>
                <w:szCs w:val="20"/>
                <w:color w:val="auto"/>
              </w:rPr>
            </w:pPr>
            <w:r>
              <w:rPr>
                <w:rFonts w:ascii="Arial" w:cs="Arial" w:eastAsia="Arial" w:hAnsi="Arial"/>
                <w:sz w:val="14"/>
                <w:szCs w:val="14"/>
                <w:b w:val="1"/>
                <w:bCs w:val="1"/>
                <w:color w:val="FFFFFF"/>
              </w:rPr>
              <w:t>   Position</w:t>
            </w:r>
          </w:p>
        </w:tc>
        <w:tc>
          <w:tcPr>
            <w:tcW w:w="2020" w:type="dxa"/>
            <w:vAlign w:val="bottom"/>
            <w:tcBorders>
              <w:bottom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rPr>
              <w:t>Requirements</w:t>
            </w:r>
          </w:p>
        </w:tc>
      </w:tr>
      <w:tr>
        <w:trPr>
          <w:trHeight w:val="246"/>
        </w:trPr>
        <w:tc>
          <w:tcPr>
            <w:tcW w:w="8540" w:type="dxa"/>
            <w:vAlign w:val="bottom"/>
            <w:shd w:val="clear" w:color="auto" w:fill="E2EEFA"/>
          </w:tcPr>
          <w:p>
            <w:pPr>
              <w:spacing w:after="0"/>
              <w:rPr>
                <w:sz w:val="20"/>
                <w:szCs w:val="20"/>
                <w:color w:val="auto"/>
              </w:rPr>
            </w:pPr>
            <w:r>
              <w:rPr>
                <w:rFonts w:ascii="Arial" w:cs="Arial" w:eastAsia="Arial" w:hAnsi="Arial"/>
                <w:sz w:val="17"/>
                <w:szCs w:val="17"/>
                <w:color w:val="auto"/>
              </w:rPr>
              <w:t>  CEO</w:t>
            </w:r>
          </w:p>
        </w:tc>
        <w:tc>
          <w:tcPr>
            <w:tcW w:w="2020" w:type="dxa"/>
            <w:vAlign w:val="bottom"/>
            <w:shd w:val="clear" w:color="auto" w:fill="E2EEFA"/>
          </w:tcPr>
          <w:p>
            <w:pPr>
              <w:jc w:val="center"/>
              <w:spacing w:after="0"/>
              <w:rPr>
                <w:sz w:val="20"/>
                <w:szCs w:val="20"/>
                <w:color w:val="auto"/>
              </w:rPr>
            </w:pPr>
            <w:r>
              <w:rPr>
                <w:rFonts w:ascii="Arial" w:cs="Arial" w:eastAsia="Arial" w:hAnsi="Arial"/>
                <w:sz w:val="17"/>
                <w:szCs w:val="17"/>
                <w:color w:val="auto"/>
              </w:rPr>
              <w:t>6 times base salary</w:t>
            </w:r>
          </w:p>
        </w:tc>
      </w:tr>
      <w:tr>
        <w:trPr>
          <w:trHeight w:val="241"/>
        </w:trPr>
        <w:tc>
          <w:tcPr>
            <w:tcW w:w="8540" w:type="dxa"/>
            <w:vAlign w:val="bottom"/>
          </w:tcPr>
          <w:p>
            <w:pPr>
              <w:spacing w:after="0"/>
              <w:rPr>
                <w:sz w:val="20"/>
                <w:szCs w:val="20"/>
                <w:color w:val="auto"/>
              </w:rPr>
            </w:pPr>
            <w:r>
              <w:rPr>
                <w:rFonts w:ascii="Arial" w:cs="Arial" w:eastAsia="Arial" w:hAnsi="Arial"/>
                <w:sz w:val="17"/>
                <w:szCs w:val="17"/>
                <w:color w:val="auto"/>
              </w:rPr>
              <w:t>  CFO</w:t>
            </w:r>
          </w:p>
        </w:tc>
        <w:tc>
          <w:tcPr>
            <w:tcW w:w="2020" w:type="dxa"/>
            <w:vAlign w:val="bottom"/>
          </w:tcPr>
          <w:p>
            <w:pPr>
              <w:jc w:val="center"/>
              <w:spacing w:after="0"/>
              <w:rPr>
                <w:sz w:val="20"/>
                <w:szCs w:val="20"/>
                <w:color w:val="auto"/>
              </w:rPr>
            </w:pPr>
            <w:r>
              <w:rPr>
                <w:rFonts w:ascii="Arial" w:cs="Arial" w:eastAsia="Arial" w:hAnsi="Arial"/>
                <w:sz w:val="17"/>
                <w:szCs w:val="17"/>
                <w:color w:val="auto"/>
              </w:rPr>
              <w:t>4 times base salary</w:t>
            </w:r>
          </w:p>
        </w:tc>
      </w:tr>
      <w:tr>
        <w:trPr>
          <w:trHeight w:val="251"/>
        </w:trPr>
        <w:tc>
          <w:tcPr>
            <w:tcW w:w="8540" w:type="dxa"/>
            <w:vAlign w:val="bottom"/>
            <w:shd w:val="clear" w:color="auto" w:fill="E2EEFA"/>
          </w:tcPr>
          <w:p>
            <w:pPr>
              <w:spacing w:after="0"/>
              <w:rPr>
                <w:sz w:val="20"/>
                <w:szCs w:val="20"/>
                <w:color w:val="auto"/>
              </w:rPr>
            </w:pPr>
            <w:r>
              <w:rPr>
                <w:rFonts w:ascii="Arial" w:cs="Arial" w:eastAsia="Arial" w:hAnsi="Arial"/>
                <w:sz w:val="17"/>
                <w:szCs w:val="17"/>
                <w:color w:val="auto"/>
              </w:rPr>
              <w:t>  Other Senior Vice Presidents</w:t>
            </w:r>
          </w:p>
        </w:tc>
        <w:tc>
          <w:tcPr>
            <w:tcW w:w="2020" w:type="dxa"/>
            <w:vAlign w:val="bottom"/>
            <w:shd w:val="clear" w:color="auto" w:fill="E2EEFA"/>
          </w:tcPr>
          <w:p>
            <w:pPr>
              <w:jc w:val="center"/>
              <w:spacing w:after="0"/>
              <w:rPr>
                <w:sz w:val="20"/>
                <w:szCs w:val="20"/>
                <w:color w:val="auto"/>
              </w:rPr>
            </w:pPr>
            <w:r>
              <w:rPr>
                <w:rFonts w:ascii="Arial" w:cs="Arial" w:eastAsia="Arial" w:hAnsi="Arial"/>
                <w:sz w:val="17"/>
                <w:szCs w:val="17"/>
                <w:color w:val="auto"/>
              </w:rPr>
              <w:t>3 times base salary</w:t>
            </w:r>
          </w:p>
        </w:tc>
      </w:tr>
      <w:tr>
        <w:trPr>
          <w:trHeight w:val="203"/>
        </w:trPr>
        <w:tc>
          <w:tcPr>
            <w:tcW w:w="8540" w:type="dxa"/>
            <w:vAlign w:val="bottom"/>
          </w:tcPr>
          <w:p>
            <w:pPr>
              <w:spacing w:after="0"/>
              <w:rPr>
                <w:sz w:val="20"/>
                <w:szCs w:val="20"/>
                <w:color w:val="auto"/>
              </w:rPr>
            </w:pPr>
            <w:r>
              <w:rPr>
                <w:rFonts w:ascii="Arial" w:cs="Arial" w:eastAsia="Arial" w:hAnsi="Arial"/>
                <w:sz w:val="17"/>
                <w:szCs w:val="17"/>
                <w:color w:val="auto"/>
              </w:rPr>
              <w:t>  Other Key Employees not covered above who are subject to Section 16(b) under the Exchange Act or in</w:t>
            </w:r>
          </w:p>
        </w:tc>
        <w:tc>
          <w:tcPr>
            <w:tcW w:w="2020" w:type="dxa"/>
            <w:vAlign w:val="bottom"/>
          </w:tcPr>
          <w:p>
            <w:pPr>
              <w:spacing w:after="0"/>
              <w:rPr>
                <w:sz w:val="17"/>
                <w:szCs w:val="17"/>
                <w:color w:val="auto"/>
              </w:rPr>
            </w:pPr>
          </w:p>
        </w:tc>
      </w:tr>
      <w:tr>
        <w:trPr>
          <w:trHeight w:val="232"/>
        </w:trPr>
        <w:tc>
          <w:tcPr>
            <w:tcW w:w="8540" w:type="dxa"/>
            <w:vAlign w:val="bottom"/>
          </w:tcPr>
          <w:p>
            <w:pPr>
              <w:ind w:left="180"/>
              <w:spacing w:after="0"/>
              <w:rPr>
                <w:sz w:val="20"/>
                <w:szCs w:val="20"/>
                <w:color w:val="auto"/>
              </w:rPr>
            </w:pPr>
            <w:r>
              <w:rPr>
                <w:rFonts w:ascii="Arial" w:cs="Arial" w:eastAsia="Arial" w:hAnsi="Arial"/>
                <w:sz w:val="17"/>
                <w:szCs w:val="17"/>
                <w:color w:val="auto"/>
              </w:rPr>
              <w:t>Salary Grade Level “M” or above or are otherwise designated as such</w:t>
            </w:r>
          </w:p>
        </w:tc>
        <w:tc>
          <w:tcPr>
            <w:tcW w:w="2020" w:type="dxa"/>
            <w:vAlign w:val="bottom"/>
          </w:tcPr>
          <w:p>
            <w:pPr>
              <w:jc w:val="center"/>
              <w:spacing w:after="0"/>
              <w:rPr>
                <w:sz w:val="20"/>
                <w:szCs w:val="20"/>
                <w:color w:val="auto"/>
              </w:rPr>
            </w:pPr>
            <w:r>
              <w:rPr>
                <w:rFonts w:ascii="Arial" w:cs="Arial" w:eastAsia="Arial" w:hAnsi="Arial"/>
                <w:sz w:val="17"/>
                <w:szCs w:val="17"/>
                <w:color w:val="auto"/>
              </w:rPr>
              <w:t>2 times base salary</w:t>
            </w:r>
          </w:p>
        </w:tc>
      </w:tr>
      <w:tr>
        <w:trPr>
          <w:trHeight w:val="246"/>
        </w:trPr>
        <w:tc>
          <w:tcPr>
            <w:tcW w:w="8540" w:type="dxa"/>
            <w:vAlign w:val="bottom"/>
            <w:tcBorders>
              <w:bottom w:val="single" w:sz="8" w:color="3E8EDE"/>
            </w:tcBorders>
            <w:shd w:val="clear" w:color="auto" w:fill="E2EEFA"/>
          </w:tcPr>
          <w:p>
            <w:pPr>
              <w:spacing w:after="0"/>
              <w:rPr>
                <w:sz w:val="20"/>
                <w:szCs w:val="20"/>
                <w:color w:val="auto"/>
              </w:rPr>
            </w:pPr>
            <w:r>
              <w:rPr>
                <w:rFonts w:ascii="Arial" w:cs="Arial" w:eastAsia="Arial" w:hAnsi="Arial"/>
                <w:sz w:val="17"/>
                <w:szCs w:val="17"/>
                <w:color w:val="auto"/>
              </w:rPr>
              <w:t>  Other Key Employees in Salary Grade Level “L”</w:t>
            </w:r>
          </w:p>
        </w:tc>
        <w:tc>
          <w:tcPr>
            <w:tcW w:w="2020" w:type="dxa"/>
            <w:vAlign w:val="bottom"/>
            <w:tcBorders>
              <w:bottom w:val="single" w:sz="8" w:color="3E8EDE"/>
            </w:tcBorders>
            <w:shd w:val="clear" w:color="auto" w:fill="E2EEFA"/>
          </w:tcPr>
          <w:p>
            <w:pPr>
              <w:jc w:val="center"/>
              <w:spacing w:after="0"/>
              <w:rPr>
                <w:sz w:val="20"/>
                <w:szCs w:val="20"/>
                <w:color w:val="auto"/>
              </w:rPr>
            </w:pPr>
            <w:r>
              <w:rPr>
                <w:rFonts w:ascii="Arial" w:cs="Arial" w:eastAsia="Arial" w:hAnsi="Arial"/>
                <w:sz w:val="17"/>
                <w:szCs w:val="17"/>
                <w:color w:val="auto"/>
              </w:rPr>
              <w:t>1 times base salary</w:t>
            </w:r>
          </w:p>
        </w:tc>
      </w:tr>
    </w:tbl>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0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share types are included under this Policy as being owned for purposes of compliance:</w:t>
      </w:r>
    </w:p>
    <w:p>
      <w:pPr>
        <w:spacing w:after="0" w:line="105" w:lineRule="exact"/>
        <w:rPr>
          <w:sz w:val="20"/>
          <w:szCs w:val="20"/>
          <w:color w:val="auto"/>
        </w:rPr>
      </w:pPr>
    </w:p>
    <w:p>
      <w:pPr>
        <w:ind w:left="540" w:hanging="200"/>
        <w:spacing w:after="0"/>
        <w:tabs>
          <w:tab w:leader="none" w:pos="5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Shares purchased/owned outright;</w:t>
      </w:r>
    </w:p>
    <w:p>
      <w:pPr>
        <w:spacing w:after="0" w:line="105" w:lineRule="exact"/>
        <w:rPr>
          <w:rFonts w:ascii="Arial" w:cs="Arial" w:eastAsia="Arial" w:hAnsi="Arial"/>
          <w:sz w:val="19"/>
          <w:szCs w:val="19"/>
          <w:color w:val="auto"/>
        </w:rPr>
      </w:pPr>
    </w:p>
    <w:p>
      <w:pPr>
        <w:ind w:left="540" w:hanging="200"/>
        <w:spacing w:after="0"/>
        <w:tabs>
          <w:tab w:leader="none" w:pos="5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Shares acquired from exercised stock options (unexercised options are not counted); and/or</w:t>
      </w:r>
    </w:p>
    <w:p>
      <w:pPr>
        <w:spacing w:after="0" w:line="105" w:lineRule="exact"/>
        <w:rPr>
          <w:rFonts w:ascii="Arial" w:cs="Arial" w:eastAsia="Arial" w:hAnsi="Arial"/>
          <w:sz w:val="19"/>
          <w:szCs w:val="19"/>
          <w:color w:val="auto"/>
        </w:rPr>
      </w:pPr>
    </w:p>
    <w:p>
      <w:pPr>
        <w:ind w:left="540" w:hanging="200"/>
        <w:spacing w:after="0"/>
        <w:tabs>
          <w:tab w:leader="none" w:pos="5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Unvested restricted shares and restricted shares that have vested.</w:t>
      </w:r>
    </w:p>
    <w:p>
      <w:pPr>
        <w:spacing w:after="0" w:line="196" w:lineRule="exact"/>
        <w:rPr>
          <w:sz w:val="20"/>
          <w:szCs w:val="20"/>
          <w:color w:val="auto"/>
        </w:rPr>
      </w:pPr>
    </w:p>
    <w:p>
      <w:pPr>
        <w:ind w:left="340" w:right="120"/>
        <w:spacing w:after="0" w:line="242" w:lineRule="auto"/>
        <w:rPr>
          <w:sz w:val="20"/>
          <w:szCs w:val="20"/>
          <w:color w:val="auto"/>
        </w:rPr>
      </w:pPr>
      <w:r>
        <w:rPr>
          <w:rFonts w:ascii="Arial" w:cs="Arial" w:eastAsia="Arial" w:hAnsi="Arial"/>
          <w:sz w:val="18"/>
          <w:szCs w:val="18"/>
          <w:color w:val="auto"/>
        </w:rPr>
        <w:t>From the time a person achieves a position subject to the Policy, he or she has a five-year period to attain the applicable shareholding requirements. Likewise, if a person already subject to the Policy is promoted to a position with higher shareholding requirements, he or she has a five-year period in which to satisfy the higher requirements. A steady increase in share ownership over the five-year period is encouraged, subject to hardship exceptions. If the share ownership requirement is not achieved within the applicable five-year period, the CEO or the Committee is authorized to take into consideration the facts and circumstances with respect to that failure and take whatever action he or they consider appropriate, including restricting or eliminating future equity awards to the particular person. Based on the closing price of the Company’s Ordinary Shares on the NYSE on March 31, 2026 and base salaries in effect at that date, all of the named executive officers, other than Ms. Burton, satisfied the share ownership requirements set forth in the Policy for their current positions. Since</w:t>
      </w:r>
    </w:p>
    <w:p>
      <w:pPr>
        <w:spacing w:after="0" w:line="4" w:lineRule="exact"/>
        <w:rPr>
          <w:sz w:val="20"/>
          <w:szCs w:val="20"/>
          <w:color w:val="auto"/>
        </w:rPr>
      </w:pPr>
    </w:p>
    <w:p>
      <w:pPr>
        <w:ind w:left="340"/>
        <w:spacing w:after="0" w:line="242" w:lineRule="auto"/>
        <w:rPr>
          <w:sz w:val="20"/>
          <w:szCs w:val="20"/>
          <w:color w:val="auto"/>
        </w:rPr>
      </w:pPr>
      <w:r>
        <w:rPr>
          <w:rFonts w:ascii="Arial" w:cs="Arial" w:eastAsia="Arial" w:hAnsi="Arial"/>
          <w:sz w:val="19"/>
          <w:szCs w:val="19"/>
          <w:color w:val="auto"/>
        </w:rPr>
        <w:t>Ms. Burton was promoted to Senior Vice President and Chief Financial Officer in August 2025, per the terms of the Policy, she has a period of five years from that date to attain the applicable shareholding requirements.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63</w:t>
      </w:r>
    </w:p>
    <w:p>
      <w:pPr>
        <w:sectPr>
          <w:pgSz w:w="11900" w:h="16838" w:orient="portrait"/>
          <w:cols w:equalWidth="0" w:num="1">
            <w:col w:w="10900"/>
          </w:cols>
          <w:pgMar w:left="320" w:top="469" w:right="6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4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Compensation Committee Report</w:t>
      </w:r>
    </w:p>
    <w:p>
      <w:pPr>
        <w:spacing w:after="0" w:line="217" w:lineRule="exact"/>
        <w:rPr>
          <w:sz w:val="20"/>
          <w:szCs w:val="20"/>
          <w:color w:val="auto"/>
        </w:rPr>
      </w:pPr>
    </w:p>
    <w:p>
      <w:pPr>
        <w:ind w:left="340" w:right="100"/>
        <w:spacing w:after="0" w:line="239" w:lineRule="auto"/>
        <w:rPr>
          <w:sz w:val="20"/>
          <w:szCs w:val="20"/>
          <w:color w:val="auto"/>
        </w:rPr>
      </w:pPr>
      <w:r>
        <w:rPr>
          <w:rFonts w:ascii="Arial" w:cs="Arial" w:eastAsia="Arial" w:hAnsi="Arial"/>
          <w:sz w:val="19"/>
          <w:szCs w:val="19"/>
          <w:color w:val="auto"/>
        </w:rPr>
        <w:t>The Compensation and Organization Development Committee has reviewed and discussed the Compensation Discussion and Analysis with management. Based on this review and discussion, the Compensation and Organization Development Committee recommended to the Board of Directors that the Compensation Discussion and Analysis be included in this Proxy Statement and in STERIS’s Annual Report on Form 10-K for the fiscal year ended March 31, 2026.</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Compensation and Organization Development Committee of the Board of Directors</w:t>
      </w:r>
    </w:p>
    <w:p>
      <w:pPr>
        <w:ind w:left="340"/>
        <w:spacing w:after="0" w:line="232" w:lineRule="auto"/>
        <w:rPr>
          <w:sz w:val="20"/>
          <w:szCs w:val="20"/>
          <w:color w:val="auto"/>
        </w:rPr>
      </w:pPr>
      <w:r>
        <w:rPr>
          <w:rFonts w:ascii="Arial" w:cs="Arial" w:eastAsia="Arial" w:hAnsi="Arial"/>
          <w:sz w:val="19"/>
          <w:szCs w:val="19"/>
          <w:color w:val="auto"/>
        </w:rPr>
        <w:t>Christopher S. Holland – Chair</w:t>
      </w:r>
    </w:p>
    <w:p>
      <w:pPr>
        <w:ind w:left="340"/>
        <w:spacing w:after="0" w:line="228" w:lineRule="auto"/>
        <w:rPr>
          <w:sz w:val="20"/>
          <w:szCs w:val="20"/>
          <w:color w:val="auto"/>
        </w:rPr>
      </w:pPr>
      <w:r>
        <w:rPr>
          <w:rFonts w:ascii="Arial" w:cs="Arial" w:eastAsia="Arial" w:hAnsi="Arial"/>
          <w:sz w:val="19"/>
          <w:szCs w:val="19"/>
          <w:color w:val="auto"/>
        </w:rPr>
        <w:t>Richard C. Breeden</w:t>
      </w:r>
    </w:p>
    <w:p>
      <w:pPr>
        <w:ind w:left="340"/>
        <w:spacing w:after="0" w:line="227" w:lineRule="auto"/>
        <w:rPr>
          <w:sz w:val="20"/>
          <w:szCs w:val="20"/>
          <w:color w:val="auto"/>
        </w:rPr>
      </w:pPr>
      <w:r>
        <w:rPr>
          <w:rFonts w:ascii="Arial" w:cs="Arial" w:eastAsia="Arial" w:hAnsi="Arial"/>
          <w:sz w:val="19"/>
          <w:szCs w:val="19"/>
          <w:color w:val="auto"/>
        </w:rPr>
        <w:t>Paul E. Martin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9"/>
          <w:szCs w:val="19"/>
          <w:color w:val="auto"/>
        </w:rPr>
        <w:t>Dr. Nirav R. Shah</w:t>
      </w:r>
    </w:p>
    <w:p>
      <w:pPr>
        <w:spacing w:after="0" w:line="177" w:lineRule="exact"/>
        <w:rPr>
          <w:sz w:val="20"/>
          <w:szCs w:val="20"/>
          <w:color w:val="auto"/>
        </w:rPr>
      </w:pPr>
    </w:p>
    <w:p>
      <w:pPr>
        <w:ind w:left="340" w:right="1380"/>
        <w:spacing w:after="0" w:line="293" w:lineRule="auto"/>
        <w:rPr>
          <w:sz w:val="20"/>
          <w:szCs w:val="20"/>
          <w:color w:val="auto"/>
        </w:rPr>
      </w:pPr>
      <w:r>
        <w:rPr>
          <w:rFonts w:ascii="Arial" w:cs="Arial" w:eastAsia="Arial" w:hAnsi="Arial"/>
          <w:sz w:val="24"/>
          <w:szCs w:val="24"/>
          <w:b w:val="1"/>
          <w:bCs w:val="1"/>
          <w:color w:val="auto"/>
        </w:rPr>
        <w:t>Compensation and Organization Development Committee Interlocks and Insider Participation</w:t>
      </w:r>
    </w:p>
    <w:p>
      <w:pPr>
        <w:spacing w:after="0" w:line="1" w:lineRule="exact"/>
        <w:rPr>
          <w:sz w:val="20"/>
          <w:szCs w:val="20"/>
          <w:color w:val="auto"/>
        </w:rPr>
      </w:pPr>
    </w:p>
    <w:p>
      <w:pPr>
        <w:ind w:left="340"/>
        <w:spacing w:after="0" w:line="239" w:lineRule="auto"/>
        <w:rPr>
          <w:sz w:val="20"/>
          <w:szCs w:val="20"/>
          <w:color w:val="auto"/>
        </w:rPr>
      </w:pPr>
      <w:r>
        <w:rPr>
          <w:rFonts w:ascii="Arial" w:cs="Arial" w:eastAsia="Arial" w:hAnsi="Arial"/>
          <w:sz w:val="19"/>
          <w:szCs w:val="19"/>
          <w:color w:val="auto"/>
        </w:rPr>
        <w:t>None of the members of the Board who served on the Compensation and Organization Development Committee during fiscal year 2026 was ever an officer or employee of the Company or of any of its subsidiaries. None of the members of the Board who served on the Compensation and Organization Development Committee during fiscal 2026 had any relationship requiring disclosure under any paragraph of Item 404 of Regulation S-K.</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48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Tabular and Other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Tabular and Other Executive Compensation Disclosure</w:t>
      </w:r>
    </w:p>
    <w:p>
      <w:pPr>
        <w:spacing w:after="0" w:line="217" w:lineRule="exact"/>
        <w:rPr>
          <w:sz w:val="20"/>
          <w:szCs w:val="20"/>
          <w:color w:val="auto"/>
        </w:rPr>
      </w:pPr>
    </w:p>
    <w:p>
      <w:pPr>
        <w:ind w:left="340" w:right="1180"/>
        <w:spacing w:after="0" w:line="481" w:lineRule="auto"/>
        <w:rPr>
          <w:sz w:val="20"/>
          <w:szCs w:val="20"/>
          <w:color w:val="auto"/>
        </w:rPr>
      </w:pPr>
      <w:r>
        <w:rPr>
          <w:rFonts w:ascii="Arial" w:cs="Arial" w:eastAsia="Arial" w:hAnsi="Arial"/>
          <w:sz w:val="19"/>
          <w:szCs w:val="19"/>
          <w:color w:val="auto"/>
        </w:rPr>
        <w:t xml:space="preserve">The persons named in the below table are referred to in this Proxy Statement as the “named executive officers.” </w:t>
      </w:r>
      <w:r>
        <w:rPr>
          <w:rFonts w:ascii="Arial" w:cs="Arial" w:eastAsia="Arial" w:hAnsi="Arial"/>
          <w:sz w:val="19"/>
          <w:szCs w:val="19"/>
          <w:b w:val="1"/>
          <w:bCs w:val="1"/>
          <w:color w:val="auto"/>
        </w:rPr>
        <w:t>FISCAL 2026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0</wp:posOffset>
            </wp:positionV>
            <wp:extent cx="6710045" cy="509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10045" cy="509905"/>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98"/>
        </w:trPr>
        <w:tc>
          <w:tcPr>
            <w:tcW w:w="2900" w:type="dxa"/>
            <w:vAlign w:val="bottom"/>
            <w:tcBorders>
              <w:right w:val="single" w:sz="8" w:color="3E8EDE"/>
            </w:tcBorders>
            <w:shd w:val="clear" w:color="auto" w:fill="3E8EDE"/>
          </w:tcPr>
          <w:p>
            <w:pPr>
              <w:spacing w:after="0"/>
              <w:rPr>
                <w:sz w:val="17"/>
                <w:szCs w:val="17"/>
                <w:color w:val="auto"/>
              </w:rPr>
            </w:pPr>
          </w:p>
        </w:tc>
        <w:tc>
          <w:tcPr>
            <w:tcW w:w="920" w:type="dxa"/>
            <w:vAlign w:val="bottom"/>
            <w:tcBorders>
              <w:right w:val="single" w:sz="8" w:color="3E8EDE"/>
            </w:tcBorders>
            <w:shd w:val="clear" w:color="auto" w:fill="3E8EDE"/>
          </w:tcPr>
          <w:p>
            <w:pPr>
              <w:spacing w:after="0"/>
              <w:rPr>
                <w:sz w:val="17"/>
                <w:szCs w:val="17"/>
                <w:color w:val="auto"/>
              </w:rPr>
            </w:pPr>
          </w:p>
        </w:tc>
        <w:tc>
          <w:tcPr>
            <w:tcW w:w="820" w:type="dxa"/>
            <w:vAlign w:val="bottom"/>
            <w:tcBorders>
              <w:right w:val="single" w:sz="8" w:color="3E8EDE"/>
            </w:tcBorders>
            <w:shd w:val="clear" w:color="auto" w:fill="3E8EDE"/>
          </w:tcPr>
          <w:p>
            <w:pPr>
              <w:spacing w:after="0"/>
              <w:rPr>
                <w:sz w:val="17"/>
                <w:szCs w:val="17"/>
                <w:color w:val="auto"/>
              </w:rPr>
            </w:pPr>
          </w:p>
        </w:tc>
        <w:tc>
          <w:tcPr>
            <w:tcW w:w="800" w:type="dxa"/>
            <w:vAlign w:val="bottom"/>
            <w:tcBorders>
              <w:right w:val="single" w:sz="8" w:color="3E8EDE"/>
            </w:tcBorders>
            <w:shd w:val="clear" w:color="auto" w:fill="3E8EDE"/>
          </w:tcPr>
          <w:p>
            <w:pPr>
              <w:spacing w:after="0"/>
              <w:rPr>
                <w:sz w:val="17"/>
                <w:szCs w:val="17"/>
                <w:color w:val="auto"/>
              </w:rPr>
            </w:pPr>
          </w:p>
        </w:tc>
        <w:tc>
          <w:tcPr>
            <w:tcW w:w="820" w:type="dxa"/>
            <w:vAlign w:val="bottom"/>
            <w:tcBorders>
              <w:right w:val="single" w:sz="8" w:color="3E8EDE"/>
            </w:tcBorders>
            <w:shd w:val="clear" w:color="auto" w:fill="3E8EDE"/>
          </w:tcPr>
          <w:p>
            <w:pPr>
              <w:spacing w:after="0"/>
              <w:rPr>
                <w:sz w:val="17"/>
                <w:szCs w:val="17"/>
                <w:color w:val="auto"/>
              </w:rPr>
            </w:pPr>
          </w:p>
        </w:tc>
        <w:tc>
          <w:tcPr>
            <w:tcW w:w="184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w w:val="99"/>
              </w:rPr>
              <w:t>Non-Equity</w:t>
            </w:r>
          </w:p>
        </w:tc>
        <w:tc>
          <w:tcPr>
            <w:tcW w:w="1620" w:type="dxa"/>
            <w:vAlign w:val="bottom"/>
            <w:tcBorders>
              <w:right w:val="single" w:sz="8" w:color="3E8EDE"/>
            </w:tcBorders>
            <w:shd w:val="clear" w:color="auto" w:fill="3E8EDE"/>
          </w:tcPr>
          <w:p>
            <w:pPr>
              <w:spacing w:after="0"/>
              <w:rPr>
                <w:sz w:val="17"/>
                <w:szCs w:val="17"/>
                <w:color w:val="auto"/>
              </w:rPr>
            </w:pPr>
          </w:p>
        </w:tc>
        <w:tc>
          <w:tcPr>
            <w:tcW w:w="840" w:type="dxa"/>
            <w:vAlign w:val="bottom"/>
            <w:shd w:val="clear" w:color="auto" w:fill="3E8ED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900" w:type="dxa"/>
            <w:vAlign w:val="bottom"/>
            <w:tcBorders>
              <w:right w:val="single" w:sz="8" w:color="3E8EDE"/>
            </w:tcBorders>
            <w:shd w:val="clear" w:color="auto" w:fill="3E8EDE"/>
          </w:tcPr>
          <w:p>
            <w:pPr>
              <w:spacing w:after="0"/>
              <w:rPr>
                <w:sz w:val="13"/>
                <w:szCs w:val="13"/>
                <w:color w:val="auto"/>
              </w:rPr>
            </w:pPr>
          </w:p>
        </w:tc>
        <w:tc>
          <w:tcPr>
            <w:tcW w:w="920" w:type="dxa"/>
            <w:vAlign w:val="bottom"/>
            <w:tcBorders>
              <w:right w:val="single" w:sz="8" w:color="3E8EDE"/>
            </w:tcBorders>
            <w:shd w:val="clear" w:color="auto" w:fill="3E8EDE"/>
          </w:tcPr>
          <w:p>
            <w:pPr>
              <w:spacing w:after="0"/>
              <w:rPr>
                <w:sz w:val="13"/>
                <w:szCs w:val="13"/>
                <w:color w:val="auto"/>
              </w:rPr>
            </w:pPr>
          </w:p>
        </w:tc>
        <w:tc>
          <w:tcPr>
            <w:tcW w:w="820" w:type="dxa"/>
            <w:vAlign w:val="bottom"/>
            <w:tcBorders>
              <w:right w:val="single" w:sz="8" w:color="3E8EDE"/>
            </w:tcBorders>
            <w:shd w:val="clear" w:color="auto" w:fill="3E8EDE"/>
          </w:tcPr>
          <w:p>
            <w:pPr>
              <w:spacing w:after="0"/>
              <w:rPr>
                <w:sz w:val="13"/>
                <w:szCs w:val="13"/>
                <w:color w:val="auto"/>
              </w:rPr>
            </w:pPr>
          </w:p>
        </w:tc>
        <w:tc>
          <w:tcPr>
            <w:tcW w:w="80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9"/>
              </w:rPr>
              <w:t>Stock</w:t>
            </w:r>
          </w:p>
        </w:tc>
        <w:tc>
          <w:tcPr>
            <w:tcW w:w="82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7"/>
              </w:rPr>
              <w:t>Option</w:t>
            </w:r>
          </w:p>
        </w:tc>
        <w:tc>
          <w:tcPr>
            <w:tcW w:w="184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7"/>
              </w:rPr>
              <w:t>Incentive Plan</w:t>
            </w:r>
          </w:p>
        </w:tc>
        <w:tc>
          <w:tcPr>
            <w:tcW w:w="1620" w:type="dxa"/>
            <w:vAlign w:val="bottom"/>
            <w:tcBorders>
              <w:right w:val="single" w:sz="8" w:color="3E8EDE"/>
            </w:tcBorders>
            <w:shd w:val="clear" w:color="auto" w:fill="3E8EDE"/>
          </w:tcPr>
          <w:p>
            <w:pPr>
              <w:jc w:val="right"/>
              <w:ind w:right="471"/>
              <w:spacing w:after="0" w:line="155" w:lineRule="exact"/>
              <w:rPr>
                <w:sz w:val="20"/>
                <w:szCs w:val="20"/>
                <w:color w:val="auto"/>
              </w:rPr>
            </w:pPr>
            <w:r>
              <w:rPr>
                <w:rFonts w:ascii="Arial" w:cs="Arial" w:eastAsia="Arial" w:hAnsi="Arial"/>
                <w:sz w:val="14"/>
                <w:szCs w:val="14"/>
                <w:b w:val="1"/>
                <w:bCs w:val="1"/>
                <w:color w:val="FFFFFF"/>
              </w:rPr>
              <w:t>All Other</w:t>
            </w:r>
          </w:p>
        </w:tc>
        <w:tc>
          <w:tcPr>
            <w:tcW w:w="840" w:type="dxa"/>
            <w:vAlign w:val="bottom"/>
            <w:shd w:val="clear" w:color="auto" w:fill="3E8ED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00" w:type="dxa"/>
            <w:vAlign w:val="bottom"/>
            <w:tcBorders>
              <w:right w:val="single" w:sz="8" w:color="3E8EDE"/>
            </w:tcBorders>
            <w:shd w:val="clear" w:color="auto" w:fill="3E8EDE"/>
          </w:tcPr>
          <w:p>
            <w:pPr>
              <w:ind w:left="1100"/>
              <w:spacing w:after="0" w:line="152" w:lineRule="exact"/>
              <w:rPr>
                <w:sz w:val="20"/>
                <w:szCs w:val="20"/>
                <w:color w:val="auto"/>
              </w:rPr>
            </w:pPr>
            <w:r>
              <w:rPr>
                <w:rFonts w:ascii="Arial" w:cs="Arial" w:eastAsia="Arial" w:hAnsi="Arial"/>
                <w:sz w:val="14"/>
                <w:szCs w:val="14"/>
                <w:b w:val="1"/>
                <w:bCs w:val="1"/>
                <w:color w:val="FFFFFF"/>
              </w:rPr>
              <w:t>Name and</w:t>
            </w:r>
          </w:p>
        </w:tc>
        <w:tc>
          <w:tcPr>
            <w:tcW w:w="920" w:type="dxa"/>
            <w:vAlign w:val="bottom"/>
            <w:tcBorders>
              <w:right w:val="single" w:sz="8" w:color="3E8EDE"/>
            </w:tcBorders>
            <w:shd w:val="clear" w:color="auto" w:fill="3E8EDE"/>
          </w:tcPr>
          <w:p>
            <w:pPr>
              <w:ind w:left="180"/>
              <w:spacing w:after="0" w:line="152" w:lineRule="exact"/>
              <w:rPr>
                <w:sz w:val="20"/>
                <w:szCs w:val="20"/>
                <w:color w:val="auto"/>
              </w:rPr>
            </w:pPr>
            <w:r>
              <w:rPr>
                <w:rFonts w:ascii="Arial" w:cs="Arial" w:eastAsia="Arial" w:hAnsi="Arial"/>
                <w:sz w:val="14"/>
                <w:szCs w:val="14"/>
                <w:b w:val="1"/>
                <w:bCs w:val="1"/>
                <w:color w:val="FFFFFF"/>
              </w:rPr>
              <w:t>  Fiscal</w:t>
            </w:r>
          </w:p>
        </w:tc>
        <w:tc>
          <w:tcPr>
            <w:tcW w:w="820" w:type="dxa"/>
            <w:vAlign w:val="bottom"/>
            <w:tcBorders>
              <w:right w:val="single" w:sz="8" w:color="3E8EDE"/>
            </w:tcBorders>
            <w:shd w:val="clear" w:color="auto" w:fill="3E8EDE"/>
          </w:tcPr>
          <w:p>
            <w:pPr>
              <w:jc w:val="right"/>
              <w:ind w:right="131"/>
              <w:spacing w:after="0" w:line="152" w:lineRule="exact"/>
              <w:rPr>
                <w:sz w:val="20"/>
                <w:szCs w:val="20"/>
                <w:color w:val="auto"/>
              </w:rPr>
            </w:pPr>
            <w:r>
              <w:rPr>
                <w:rFonts w:ascii="Arial" w:cs="Arial" w:eastAsia="Arial" w:hAnsi="Arial"/>
                <w:sz w:val="14"/>
                <w:szCs w:val="14"/>
                <w:b w:val="1"/>
                <w:bCs w:val="1"/>
                <w:color w:val="FFFFFF"/>
              </w:rPr>
              <w:t>Salary</w:t>
            </w:r>
          </w:p>
        </w:tc>
        <w:tc>
          <w:tcPr>
            <w:tcW w:w="800" w:type="dxa"/>
            <w:vAlign w:val="bottom"/>
            <w:tcBorders>
              <w:right w:val="single" w:sz="8" w:color="3E8EDE"/>
            </w:tcBorders>
            <w:shd w:val="clear" w:color="auto" w:fill="3E8EDE"/>
          </w:tcPr>
          <w:p>
            <w:pPr>
              <w:jc w:val="center"/>
              <w:spacing w:after="0" w:line="152" w:lineRule="exact"/>
              <w:rPr>
                <w:sz w:val="20"/>
                <w:szCs w:val="20"/>
                <w:color w:val="auto"/>
              </w:rPr>
            </w:pPr>
            <w:r>
              <w:rPr>
                <w:rFonts w:ascii="Arial" w:cs="Arial" w:eastAsia="Arial" w:hAnsi="Arial"/>
                <w:sz w:val="14"/>
                <w:szCs w:val="14"/>
                <w:b w:val="1"/>
                <w:bCs w:val="1"/>
                <w:color w:val="FFFFFF"/>
                <w:w w:val="98"/>
              </w:rPr>
              <w:t>Awards</w:t>
            </w:r>
          </w:p>
        </w:tc>
        <w:tc>
          <w:tcPr>
            <w:tcW w:w="820" w:type="dxa"/>
            <w:vAlign w:val="bottom"/>
            <w:tcBorders>
              <w:right w:val="single" w:sz="8" w:color="3E8EDE"/>
            </w:tcBorders>
            <w:shd w:val="clear" w:color="auto" w:fill="3E8EDE"/>
          </w:tcPr>
          <w:p>
            <w:pPr>
              <w:jc w:val="center"/>
              <w:spacing w:after="0" w:line="152" w:lineRule="exact"/>
              <w:rPr>
                <w:sz w:val="20"/>
                <w:szCs w:val="20"/>
                <w:color w:val="auto"/>
              </w:rPr>
            </w:pPr>
            <w:r>
              <w:rPr>
                <w:rFonts w:ascii="Arial" w:cs="Arial" w:eastAsia="Arial" w:hAnsi="Arial"/>
                <w:sz w:val="14"/>
                <w:szCs w:val="14"/>
                <w:b w:val="1"/>
                <w:bCs w:val="1"/>
                <w:color w:val="FFFFFF"/>
                <w:w w:val="94"/>
              </w:rPr>
              <w:t>Awards</w:t>
            </w:r>
          </w:p>
        </w:tc>
        <w:tc>
          <w:tcPr>
            <w:tcW w:w="1840" w:type="dxa"/>
            <w:vAlign w:val="bottom"/>
            <w:tcBorders>
              <w:right w:val="single" w:sz="8" w:color="3E8EDE"/>
            </w:tcBorders>
            <w:shd w:val="clear" w:color="auto" w:fill="3E8EDE"/>
          </w:tcPr>
          <w:p>
            <w:pPr>
              <w:jc w:val="right"/>
              <w:ind w:right="371"/>
              <w:spacing w:after="0" w:line="152" w:lineRule="exact"/>
              <w:rPr>
                <w:sz w:val="20"/>
                <w:szCs w:val="20"/>
                <w:color w:val="auto"/>
              </w:rPr>
            </w:pPr>
            <w:r>
              <w:rPr>
                <w:rFonts w:ascii="Arial" w:cs="Arial" w:eastAsia="Arial" w:hAnsi="Arial"/>
                <w:sz w:val="14"/>
                <w:szCs w:val="14"/>
                <w:b w:val="1"/>
                <w:bCs w:val="1"/>
                <w:color w:val="FFFFFF"/>
              </w:rPr>
              <w:t>  Compensation</w:t>
            </w:r>
          </w:p>
        </w:tc>
        <w:tc>
          <w:tcPr>
            <w:tcW w:w="1620" w:type="dxa"/>
            <w:vAlign w:val="bottom"/>
            <w:tcBorders>
              <w:right w:val="single" w:sz="8" w:color="3E8EDE"/>
            </w:tcBorders>
            <w:shd w:val="clear" w:color="auto" w:fill="3E8EDE"/>
          </w:tcPr>
          <w:p>
            <w:pPr>
              <w:jc w:val="right"/>
              <w:ind w:right="271"/>
              <w:spacing w:after="0" w:line="152" w:lineRule="exact"/>
              <w:rPr>
                <w:sz w:val="20"/>
                <w:szCs w:val="20"/>
                <w:color w:val="auto"/>
              </w:rPr>
            </w:pPr>
            <w:r>
              <w:rPr>
                <w:rFonts w:ascii="Arial" w:cs="Arial" w:eastAsia="Arial" w:hAnsi="Arial"/>
                <w:sz w:val="14"/>
                <w:szCs w:val="14"/>
                <w:b w:val="1"/>
                <w:bCs w:val="1"/>
                <w:color w:val="FFFFFF"/>
              </w:rPr>
              <w:t>  Compensation</w:t>
            </w:r>
          </w:p>
        </w:tc>
        <w:tc>
          <w:tcPr>
            <w:tcW w:w="840" w:type="dxa"/>
            <w:vAlign w:val="bottom"/>
            <w:shd w:val="clear" w:color="auto" w:fill="3E8EDE"/>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900" w:type="dxa"/>
            <w:vAlign w:val="bottom"/>
            <w:tcBorders>
              <w:right w:val="single" w:sz="8" w:color="3E8EDE"/>
            </w:tcBorders>
            <w:shd w:val="clear" w:color="auto" w:fill="3E8EDE"/>
          </w:tcPr>
          <w:p>
            <w:pPr>
              <w:ind w:left="840"/>
              <w:spacing w:after="0"/>
              <w:rPr>
                <w:sz w:val="20"/>
                <w:szCs w:val="20"/>
                <w:color w:val="auto"/>
              </w:rPr>
            </w:pPr>
            <w:r>
              <w:rPr>
                <w:rFonts w:ascii="Arial" w:cs="Arial" w:eastAsia="Arial" w:hAnsi="Arial"/>
                <w:sz w:val="14"/>
                <w:szCs w:val="14"/>
                <w:b w:val="1"/>
                <w:bCs w:val="1"/>
                <w:color w:val="FFFFFF"/>
              </w:rPr>
              <w:t>Principal Position</w:t>
            </w:r>
          </w:p>
        </w:tc>
        <w:tc>
          <w:tcPr>
            <w:tcW w:w="920" w:type="dxa"/>
            <w:vAlign w:val="bottom"/>
            <w:tcBorders>
              <w:right w:val="single" w:sz="8" w:color="3E8EDE"/>
            </w:tcBorders>
            <w:shd w:val="clear" w:color="auto" w:fill="3E8EDE"/>
          </w:tcPr>
          <w:p>
            <w:pPr>
              <w:ind w:left="300"/>
              <w:spacing w:after="0"/>
              <w:rPr>
                <w:sz w:val="20"/>
                <w:szCs w:val="20"/>
                <w:color w:val="auto"/>
              </w:rPr>
            </w:pPr>
            <w:r>
              <w:rPr>
                <w:rFonts w:ascii="Arial" w:cs="Arial" w:eastAsia="Arial" w:hAnsi="Arial"/>
                <w:sz w:val="14"/>
                <w:szCs w:val="14"/>
                <w:b w:val="1"/>
                <w:bCs w:val="1"/>
                <w:color w:val="FFFFFF"/>
              </w:rPr>
              <w:t>Year</w:t>
            </w:r>
          </w:p>
        </w:tc>
        <w:tc>
          <w:tcPr>
            <w:tcW w:w="820" w:type="dxa"/>
            <w:vAlign w:val="bottom"/>
            <w:tcBorders>
              <w:right w:val="single" w:sz="8" w:color="3E8EDE"/>
            </w:tcBorders>
            <w:shd w:val="clear" w:color="auto" w:fill="3E8EDE"/>
          </w:tcPr>
          <w:p>
            <w:pPr>
              <w:jc w:val="right"/>
              <w:ind w:right="251"/>
              <w:spacing w:after="0"/>
              <w:rPr>
                <w:sz w:val="20"/>
                <w:szCs w:val="20"/>
                <w:color w:val="auto"/>
              </w:rPr>
            </w:pPr>
            <w:r>
              <w:rPr>
                <w:rFonts w:ascii="Arial" w:cs="Arial" w:eastAsia="Arial" w:hAnsi="Arial"/>
                <w:sz w:val="14"/>
                <w:szCs w:val="14"/>
                <w:b w:val="1"/>
                <w:bCs w:val="1"/>
                <w:color w:val="FFFFFF"/>
              </w:rPr>
              <w:t>($)</w:t>
            </w:r>
          </w:p>
        </w:tc>
        <w:tc>
          <w:tcPr>
            <w:tcW w:w="80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w w:val="89"/>
              </w:rPr>
              <w:t>($)</w:t>
            </w:r>
            <w:r>
              <w:rPr>
                <w:rFonts w:ascii="Arial" w:cs="Arial" w:eastAsia="Arial" w:hAnsi="Arial"/>
                <w:sz w:val="20"/>
                <w:szCs w:val="20"/>
                <w:b w:val="1"/>
                <w:bCs w:val="1"/>
                <w:color w:val="FFFFFF"/>
                <w:w w:val="89"/>
                <w:vertAlign w:val="superscript"/>
              </w:rPr>
              <w:t>(1)</w:t>
            </w:r>
          </w:p>
        </w:tc>
        <w:tc>
          <w:tcPr>
            <w:tcW w:w="82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w w:val="83"/>
              </w:rPr>
              <w:t>($)</w:t>
            </w:r>
            <w:r>
              <w:rPr>
                <w:rFonts w:ascii="Arial" w:cs="Arial" w:eastAsia="Arial" w:hAnsi="Arial"/>
                <w:sz w:val="20"/>
                <w:szCs w:val="20"/>
                <w:b w:val="1"/>
                <w:bCs w:val="1"/>
                <w:color w:val="FFFFFF"/>
                <w:w w:val="83"/>
                <w:vertAlign w:val="superscript"/>
              </w:rPr>
              <w:t>(2)</w:t>
            </w:r>
          </w:p>
        </w:tc>
        <w:tc>
          <w:tcPr>
            <w:tcW w:w="184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w w:val="89"/>
              </w:rPr>
              <w:t>($)</w:t>
            </w:r>
            <w:r>
              <w:rPr>
                <w:rFonts w:ascii="Arial" w:cs="Arial" w:eastAsia="Arial" w:hAnsi="Arial"/>
                <w:sz w:val="20"/>
                <w:szCs w:val="20"/>
                <w:b w:val="1"/>
                <w:bCs w:val="1"/>
                <w:color w:val="FFFFFF"/>
                <w:w w:val="89"/>
                <w:vertAlign w:val="superscript"/>
              </w:rPr>
              <w:t>(3)</w:t>
            </w:r>
          </w:p>
        </w:tc>
        <w:tc>
          <w:tcPr>
            <w:tcW w:w="1620" w:type="dxa"/>
            <w:vAlign w:val="bottom"/>
            <w:tcBorders>
              <w:right w:val="single" w:sz="8" w:color="3E8EDE"/>
            </w:tcBorders>
            <w:shd w:val="clear" w:color="auto" w:fill="3E8EDE"/>
          </w:tcPr>
          <w:p>
            <w:pPr>
              <w:jc w:val="right"/>
              <w:ind w:right="611"/>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0"/>
                <w:szCs w:val="20"/>
                <w:b w:val="1"/>
                <w:bCs w:val="1"/>
                <w:color w:val="FFFFFF"/>
                <w:vertAlign w:val="superscript"/>
              </w:rPr>
              <w:t>(4)</w:t>
            </w:r>
          </w:p>
        </w:tc>
        <w:tc>
          <w:tcPr>
            <w:tcW w:w="840" w:type="dxa"/>
            <w:vAlign w:val="bottom"/>
            <w:shd w:val="clear" w:color="auto" w:fill="3E8EDE"/>
          </w:tcPr>
          <w:p>
            <w:pPr>
              <w:jc w:val="right"/>
              <w:ind w:right="71"/>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39"/>
        </w:trPr>
        <w:tc>
          <w:tcPr>
            <w:tcW w:w="2900" w:type="dxa"/>
            <w:vAlign w:val="bottom"/>
            <w:tcBorders>
              <w:bottom w:val="single" w:sz="8" w:color="E2EEFA"/>
              <w:right w:val="single" w:sz="8" w:color="E2EEFA"/>
            </w:tcBorders>
            <w:shd w:val="clear" w:color="auto" w:fill="E2EEFA"/>
          </w:tcPr>
          <w:p>
            <w:pPr>
              <w:spacing w:after="0"/>
              <w:rPr>
                <w:sz w:val="20"/>
                <w:szCs w:val="20"/>
                <w:color w:val="auto"/>
              </w:rPr>
            </w:pPr>
            <w:r>
              <w:rPr>
                <w:rFonts w:ascii="Arial" w:cs="Arial" w:eastAsia="Arial" w:hAnsi="Arial"/>
                <w:sz w:val="14"/>
                <w:szCs w:val="14"/>
                <w:color w:val="auto"/>
              </w:rPr>
              <w:t>  Daniel A. Carestio</w:t>
            </w:r>
          </w:p>
        </w:tc>
        <w:tc>
          <w:tcPr>
            <w:tcW w:w="920" w:type="dxa"/>
            <w:vAlign w:val="bottom"/>
            <w:tcBorders>
              <w:bottom w:val="single" w:sz="8" w:color="E2EEFA"/>
              <w:right w:val="single" w:sz="8" w:color="E2EEFA"/>
            </w:tcBorders>
            <w:shd w:val="clear" w:color="auto" w:fill="E2EEFA"/>
          </w:tcPr>
          <w:p>
            <w:pPr>
              <w:spacing w:after="0"/>
              <w:rPr>
                <w:sz w:val="20"/>
                <w:szCs w:val="20"/>
                <w:color w:val="auto"/>
              </w:rPr>
            </w:pPr>
          </w:p>
        </w:tc>
        <w:tc>
          <w:tcPr>
            <w:tcW w:w="820" w:type="dxa"/>
            <w:vAlign w:val="bottom"/>
            <w:tcBorders>
              <w:bottom w:val="single" w:sz="8" w:color="E2EEFA"/>
              <w:right w:val="single" w:sz="8" w:color="E2EEFA"/>
            </w:tcBorders>
            <w:shd w:val="clear" w:color="auto" w:fill="E2EEFA"/>
          </w:tcPr>
          <w:p>
            <w:pPr>
              <w:spacing w:after="0"/>
              <w:rPr>
                <w:sz w:val="20"/>
                <w:szCs w:val="20"/>
                <w:color w:val="auto"/>
              </w:rPr>
            </w:pPr>
          </w:p>
        </w:tc>
        <w:tc>
          <w:tcPr>
            <w:tcW w:w="800" w:type="dxa"/>
            <w:vAlign w:val="bottom"/>
            <w:tcBorders>
              <w:bottom w:val="single" w:sz="8" w:color="E2EEFA"/>
              <w:right w:val="single" w:sz="8" w:color="E2EEFA"/>
            </w:tcBorders>
            <w:shd w:val="clear" w:color="auto" w:fill="E2EEFA"/>
          </w:tcPr>
          <w:p>
            <w:pPr>
              <w:spacing w:after="0"/>
              <w:rPr>
                <w:sz w:val="20"/>
                <w:szCs w:val="20"/>
                <w:color w:val="auto"/>
              </w:rPr>
            </w:pPr>
          </w:p>
        </w:tc>
        <w:tc>
          <w:tcPr>
            <w:tcW w:w="820" w:type="dxa"/>
            <w:vAlign w:val="bottom"/>
            <w:tcBorders>
              <w:bottom w:val="single" w:sz="8" w:color="E2EEFA"/>
              <w:right w:val="single" w:sz="8" w:color="E2EEFA"/>
            </w:tcBorders>
            <w:shd w:val="clear" w:color="auto" w:fill="E2EEFA"/>
          </w:tcPr>
          <w:p>
            <w:pPr>
              <w:spacing w:after="0"/>
              <w:rPr>
                <w:sz w:val="20"/>
                <w:szCs w:val="20"/>
                <w:color w:val="auto"/>
              </w:rPr>
            </w:pPr>
          </w:p>
        </w:tc>
        <w:tc>
          <w:tcPr>
            <w:tcW w:w="1840" w:type="dxa"/>
            <w:vAlign w:val="bottom"/>
            <w:tcBorders>
              <w:bottom w:val="single" w:sz="8" w:color="E2EEFA"/>
              <w:right w:val="single" w:sz="8" w:color="E2EEFA"/>
            </w:tcBorders>
            <w:shd w:val="clear" w:color="auto" w:fill="E2EEFA"/>
          </w:tcPr>
          <w:p>
            <w:pPr>
              <w:spacing w:after="0"/>
              <w:rPr>
                <w:sz w:val="20"/>
                <w:szCs w:val="20"/>
                <w:color w:val="auto"/>
              </w:rPr>
            </w:pPr>
          </w:p>
        </w:tc>
        <w:tc>
          <w:tcPr>
            <w:tcW w:w="1620" w:type="dxa"/>
            <w:vAlign w:val="bottom"/>
            <w:tcBorders>
              <w:bottom w:val="single" w:sz="8" w:color="E2EEFA"/>
              <w:right w:val="single" w:sz="8" w:color="E2EEFA"/>
            </w:tcBorders>
            <w:shd w:val="clear" w:color="auto" w:fill="E2EEFA"/>
          </w:tcPr>
          <w:p>
            <w:pPr>
              <w:spacing w:after="0"/>
              <w:rPr>
                <w:sz w:val="20"/>
                <w:szCs w:val="20"/>
                <w:color w:val="auto"/>
              </w:rPr>
            </w:pPr>
          </w:p>
        </w:tc>
        <w:tc>
          <w:tcPr>
            <w:tcW w:w="840" w:type="dxa"/>
            <w:vAlign w:val="bottom"/>
            <w:tcBorders>
              <w:bottom w:val="single" w:sz="8" w:color="E2EEFA"/>
            </w:tcBorders>
            <w:shd w:val="clear" w:color="auto" w:fill="E2EEFA"/>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900" w:type="dxa"/>
            <w:vAlign w:val="bottom"/>
            <w:tcBorders>
              <w:right w:val="single" w:sz="8" w:color="B2B2B2"/>
            </w:tcBorders>
          </w:tcPr>
          <w:p>
            <w:pPr>
              <w:ind w:left="140"/>
              <w:spacing w:after="0"/>
              <w:rPr>
                <w:sz w:val="20"/>
                <w:szCs w:val="20"/>
                <w:color w:val="auto"/>
              </w:rPr>
            </w:pPr>
            <w:r>
              <w:rPr>
                <w:rFonts w:ascii="Arial" w:cs="Arial" w:eastAsia="Arial" w:hAnsi="Arial"/>
                <w:sz w:val="14"/>
                <w:szCs w:val="14"/>
                <w:color w:val="auto"/>
              </w:rPr>
              <w:t>  President and CEO</w:t>
            </w:r>
          </w:p>
        </w:tc>
        <w:tc>
          <w:tcPr>
            <w:tcW w:w="920" w:type="dxa"/>
            <w:vAlign w:val="bottom"/>
            <w:tcBorders>
              <w:right w:val="single" w:sz="8" w:color="B2B2B2"/>
            </w:tcBorders>
          </w:tcPr>
          <w:p>
            <w:pPr>
              <w:ind w:left="320"/>
              <w:spacing w:after="0"/>
              <w:rPr>
                <w:sz w:val="20"/>
                <w:szCs w:val="20"/>
                <w:color w:val="auto"/>
              </w:rPr>
            </w:pPr>
            <w:r>
              <w:rPr>
                <w:rFonts w:ascii="Arial" w:cs="Arial" w:eastAsia="Arial" w:hAnsi="Arial"/>
                <w:sz w:val="14"/>
                <w:szCs w:val="14"/>
                <w:color w:val="auto"/>
              </w:rPr>
              <w:t>2026 </w:t>
            </w:r>
          </w:p>
        </w:tc>
        <w:tc>
          <w:tcPr>
            <w:tcW w:w="82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1,095,707 </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4,333,951 </w:t>
            </w:r>
          </w:p>
        </w:tc>
        <w:tc>
          <w:tcPr>
            <w:tcW w:w="82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4,334,251 </w:t>
            </w:r>
          </w:p>
        </w:tc>
        <w:tc>
          <w:tcPr>
            <w:tcW w:w="1840" w:type="dxa"/>
            <w:vAlign w:val="bottom"/>
            <w:tcBorders>
              <w:right w:val="single" w:sz="8" w:color="B2B2B2"/>
            </w:tcBorders>
          </w:tcPr>
          <w:p>
            <w:pPr>
              <w:jc w:val="right"/>
              <w:ind w:right="491"/>
              <w:spacing w:after="0"/>
              <w:rPr>
                <w:sz w:val="20"/>
                <w:szCs w:val="20"/>
                <w:color w:val="auto"/>
              </w:rPr>
            </w:pPr>
            <w:r>
              <w:rPr>
                <w:rFonts w:ascii="Arial" w:cs="Arial" w:eastAsia="Arial" w:hAnsi="Arial"/>
                <w:sz w:val="14"/>
                <w:szCs w:val="14"/>
                <w:color w:val="auto"/>
              </w:rPr>
              <w:t>1,725,007 </w:t>
            </w:r>
          </w:p>
        </w:tc>
        <w:tc>
          <w:tcPr>
            <w:tcW w:w="1620" w:type="dxa"/>
            <w:vAlign w:val="bottom"/>
            <w:tcBorders>
              <w:right w:val="single" w:sz="8" w:color="B2B2B2"/>
            </w:tcBorders>
          </w:tcPr>
          <w:p>
            <w:pPr>
              <w:jc w:val="right"/>
              <w:ind w:right="491"/>
              <w:spacing w:after="0"/>
              <w:rPr>
                <w:sz w:val="20"/>
                <w:szCs w:val="20"/>
                <w:color w:val="auto"/>
              </w:rPr>
            </w:pPr>
            <w:r>
              <w:rPr>
                <w:rFonts w:ascii="Arial" w:cs="Arial" w:eastAsia="Arial" w:hAnsi="Arial"/>
                <w:sz w:val="14"/>
                <w:szCs w:val="14"/>
                <w:color w:val="auto"/>
              </w:rPr>
              <w:t>19,606 </w:t>
            </w:r>
          </w:p>
        </w:tc>
        <w:tc>
          <w:tcPr>
            <w:tcW w:w="840" w:type="dxa"/>
            <w:vAlign w:val="bottom"/>
          </w:tcPr>
          <w:p>
            <w:pPr>
              <w:jc w:val="right"/>
              <w:spacing w:after="0"/>
              <w:rPr>
                <w:sz w:val="20"/>
                <w:szCs w:val="20"/>
                <w:color w:val="auto"/>
              </w:rPr>
            </w:pPr>
            <w:r>
              <w:rPr>
                <w:rFonts w:ascii="Arial" w:cs="Arial" w:eastAsia="Arial" w:hAnsi="Arial"/>
                <w:sz w:val="14"/>
                <w:szCs w:val="14"/>
                <w:color w:val="auto"/>
              </w:rPr>
              <w:t>11,508,522</w:t>
            </w:r>
          </w:p>
        </w:tc>
        <w:tc>
          <w:tcPr>
            <w:tcW w:w="0" w:type="dxa"/>
            <w:vAlign w:val="bottom"/>
          </w:tcPr>
          <w:p>
            <w:pPr>
              <w:spacing w:after="0"/>
              <w:rPr>
                <w:sz w:val="1"/>
                <w:szCs w:val="1"/>
                <w:color w:val="auto"/>
              </w:rPr>
            </w:pPr>
          </w:p>
        </w:tc>
      </w:tr>
      <w:tr>
        <w:trPr>
          <w:trHeight w:val="34"/>
        </w:trPr>
        <w:tc>
          <w:tcPr>
            <w:tcW w:w="2900" w:type="dxa"/>
            <w:vAlign w:val="bottom"/>
            <w:tcBorders>
              <w:right w:val="single" w:sz="8" w:color="B2B2B2"/>
            </w:tcBorders>
          </w:tcPr>
          <w:p>
            <w:pPr>
              <w:spacing w:after="0"/>
              <w:rPr>
                <w:sz w:val="2"/>
                <w:szCs w:val="2"/>
                <w:color w:val="auto"/>
              </w:rPr>
            </w:pPr>
          </w:p>
        </w:tc>
        <w:tc>
          <w:tcPr>
            <w:tcW w:w="920" w:type="dxa"/>
            <w:vAlign w:val="bottom"/>
            <w:tcBorders>
              <w:bottom w:val="single" w:sz="8" w:color="B2B2B2"/>
              <w:right w:val="single" w:sz="8" w:color="B2B2B2"/>
            </w:tcBorders>
          </w:tcPr>
          <w:p>
            <w:pPr>
              <w:spacing w:after="0"/>
              <w:rPr>
                <w:sz w:val="2"/>
                <w:szCs w:val="2"/>
                <w:color w:val="auto"/>
              </w:rPr>
            </w:pPr>
          </w:p>
        </w:tc>
        <w:tc>
          <w:tcPr>
            <w:tcW w:w="82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820" w:type="dxa"/>
            <w:vAlign w:val="bottom"/>
            <w:tcBorders>
              <w:bottom w:val="single" w:sz="8" w:color="B2B2B2"/>
              <w:right w:val="single" w:sz="8" w:color="B2B2B2"/>
            </w:tcBorders>
          </w:tcPr>
          <w:p>
            <w:pPr>
              <w:spacing w:after="0"/>
              <w:rPr>
                <w:sz w:val="2"/>
                <w:szCs w:val="2"/>
                <w:color w:val="auto"/>
              </w:rPr>
            </w:pPr>
          </w:p>
        </w:tc>
        <w:tc>
          <w:tcPr>
            <w:tcW w:w="1840" w:type="dxa"/>
            <w:vAlign w:val="bottom"/>
            <w:tcBorders>
              <w:bottom w:val="single" w:sz="8" w:color="B2B2B2"/>
              <w:right w:val="single" w:sz="8" w:color="B2B2B2"/>
            </w:tcBorders>
          </w:tcPr>
          <w:p>
            <w:pPr>
              <w:spacing w:after="0"/>
              <w:rPr>
                <w:sz w:val="2"/>
                <w:szCs w:val="2"/>
                <w:color w:val="auto"/>
              </w:rPr>
            </w:pPr>
          </w:p>
        </w:tc>
        <w:tc>
          <w:tcPr>
            <w:tcW w:w="1620" w:type="dxa"/>
            <w:vAlign w:val="bottom"/>
            <w:tcBorders>
              <w:bottom w:val="single" w:sz="8" w:color="B2B2B2"/>
              <w:right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900" w:type="dxa"/>
            <w:vAlign w:val="bottom"/>
            <w:tcBorders>
              <w:right w:val="single" w:sz="8" w:color="B2B2B2"/>
            </w:tcBorders>
          </w:tcPr>
          <w:p>
            <w:pPr>
              <w:spacing w:after="0"/>
              <w:rPr>
                <w:sz w:val="15"/>
                <w:szCs w:val="15"/>
                <w:color w:val="auto"/>
              </w:rPr>
            </w:pPr>
          </w:p>
        </w:tc>
        <w:tc>
          <w:tcPr>
            <w:tcW w:w="920" w:type="dxa"/>
            <w:vAlign w:val="bottom"/>
            <w:tcBorders>
              <w:right w:val="single" w:sz="8" w:color="B2B2B2"/>
            </w:tcBorders>
          </w:tcPr>
          <w:p>
            <w:pPr>
              <w:ind w:left="320"/>
              <w:spacing w:after="0"/>
              <w:rPr>
                <w:sz w:val="20"/>
                <w:szCs w:val="20"/>
                <w:color w:val="auto"/>
              </w:rPr>
            </w:pPr>
            <w:r>
              <w:rPr>
                <w:rFonts w:ascii="Arial" w:cs="Arial" w:eastAsia="Arial" w:hAnsi="Arial"/>
                <w:sz w:val="14"/>
                <w:szCs w:val="14"/>
                <w:color w:val="auto"/>
              </w:rPr>
              <w:t>2025</w:t>
            </w:r>
          </w:p>
        </w:tc>
        <w:tc>
          <w:tcPr>
            <w:tcW w:w="820" w:type="dxa"/>
            <w:vAlign w:val="bottom"/>
            <w:tcBorders>
              <w:right w:val="single" w:sz="8" w:color="B2B2B2"/>
            </w:tcBorders>
          </w:tcPr>
          <w:p>
            <w:pPr>
              <w:jc w:val="right"/>
              <w:ind w:right="11"/>
              <w:spacing w:after="0"/>
              <w:rPr>
                <w:sz w:val="20"/>
                <w:szCs w:val="20"/>
                <w:color w:val="auto"/>
              </w:rPr>
            </w:pPr>
            <w:r>
              <w:rPr>
                <w:rFonts w:ascii="Arial" w:cs="Arial" w:eastAsia="Arial" w:hAnsi="Arial"/>
                <w:sz w:val="14"/>
                <w:szCs w:val="14"/>
                <w:color w:val="auto"/>
              </w:rPr>
              <w:t>1,063,860</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2,935,997</w:t>
            </w:r>
          </w:p>
        </w:tc>
        <w:tc>
          <w:tcPr>
            <w:tcW w:w="82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5,452,847</w:t>
            </w:r>
          </w:p>
        </w:tc>
        <w:tc>
          <w:tcPr>
            <w:tcW w:w="184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1,204,866</w:t>
            </w:r>
          </w:p>
        </w:tc>
        <w:tc>
          <w:tcPr>
            <w:tcW w:w="162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15,492</w:t>
            </w:r>
          </w:p>
        </w:tc>
        <w:tc>
          <w:tcPr>
            <w:tcW w:w="840" w:type="dxa"/>
            <w:vAlign w:val="bottom"/>
          </w:tcPr>
          <w:p>
            <w:pPr>
              <w:jc w:val="right"/>
              <w:spacing w:after="0"/>
              <w:rPr>
                <w:sz w:val="20"/>
                <w:szCs w:val="20"/>
                <w:color w:val="auto"/>
              </w:rPr>
            </w:pPr>
            <w:r>
              <w:rPr>
                <w:rFonts w:ascii="Arial" w:cs="Arial" w:eastAsia="Arial" w:hAnsi="Arial"/>
                <w:sz w:val="14"/>
                <w:szCs w:val="14"/>
                <w:color w:val="auto"/>
              </w:rPr>
              <w:t>10,673,062</w:t>
            </w:r>
          </w:p>
        </w:tc>
        <w:tc>
          <w:tcPr>
            <w:tcW w:w="0" w:type="dxa"/>
            <w:vAlign w:val="bottom"/>
          </w:tcPr>
          <w:p>
            <w:pPr>
              <w:spacing w:after="0"/>
              <w:rPr>
                <w:sz w:val="1"/>
                <w:szCs w:val="1"/>
                <w:color w:val="auto"/>
              </w:rPr>
            </w:pPr>
          </w:p>
        </w:tc>
      </w:tr>
      <w:tr>
        <w:trPr>
          <w:trHeight w:val="26"/>
        </w:trPr>
        <w:tc>
          <w:tcPr>
            <w:tcW w:w="2900" w:type="dxa"/>
            <w:vAlign w:val="bottom"/>
            <w:tcBorders>
              <w:right w:val="single" w:sz="8" w:color="B2B2B2"/>
            </w:tcBorders>
          </w:tcPr>
          <w:p>
            <w:pPr>
              <w:spacing w:after="0"/>
              <w:rPr>
                <w:sz w:val="2"/>
                <w:szCs w:val="2"/>
                <w:color w:val="auto"/>
              </w:rPr>
            </w:pPr>
          </w:p>
        </w:tc>
        <w:tc>
          <w:tcPr>
            <w:tcW w:w="920" w:type="dxa"/>
            <w:vAlign w:val="bottom"/>
            <w:tcBorders>
              <w:bottom w:val="single" w:sz="8" w:color="B2B2B2"/>
              <w:right w:val="single" w:sz="8" w:color="B2B2B2"/>
            </w:tcBorders>
          </w:tcPr>
          <w:p>
            <w:pPr>
              <w:spacing w:after="0"/>
              <w:rPr>
                <w:sz w:val="2"/>
                <w:szCs w:val="2"/>
                <w:color w:val="auto"/>
              </w:rPr>
            </w:pPr>
          </w:p>
        </w:tc>
        <w:tc>
          <w:tcPr>
            <w:tcW w:w="82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820" w:type="dxa"/>
            <w:vAlign w:val="bottom"/>
            <w:tcBorders>
              <w:bottom w:val="single" w:sz="8" w:color="B2B2B2"/>
              <w:right w:val="single" w:sz="8" w:color="B2B2B2"/>
            </w:tcBorders>
          </w:tcPr>
          <w:p>
            <w:pPr>
              <w:spacing w:after="0"/>
              <w:rPr>
                <w:sz w:val="2"/>
                <w:szCs w:val="2"/>
                <w:color w:val="auto"/>
              </w:rPr>
            </w:pPr>
          </w:p>
        </w:tc>
        <w:tc>
          <w:tcPr>
            <w:tcW w:w="1840" w:type="dxa"/>
            <w:vAlign w:val="bottom"/>
            <w:tcBorders>
              <w:bottom w:val="single" w:sz="8" w:color="B2B2B2"/>
              <w:right w:val="single" w:sz="8" w:color="B2B2B2"/>
            </w:tcBorders>
          </w:tcPr>
          <w:p>
            <w:pPr>
              <w:spacing w:after="0"/>
              <w:rPr>
                <w:sz w:val="2"/>
                <w:szCs w:val="2"/>
                <w:color w:val="auto"/>
              </w:rPr>
            </w:pPr>
          </w:p>
        </w:tc>
        <w:tc>
          <w:tcPr>
            <w:tcW w:w="1620" w:type="dxa"/>
            <w:vAlign w:val="bottom"/>
            <w:tcBorders>
              <w:bottom w:val="single" w:sz="8" w:color="B2B2B2"/>
              <w:right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900" w:type="dxa"/>
            <w:vAlign w:val="bottom"/>
            <w:tcBorders>
              <w:right w:val="single" w:sz="8" w:color="B2B2B2"/>
            </w:tcBorders>
          </w:tcPr>
          <w:p>
            <w:pPr>
              <w:spacing w:after="0"/>
              <w:rPr>
                <w:sz w:val="17"/>
                <w:szCs w:val="17"/>
                <w:color w:val="auto"/>
              </w:rPr>
            </w:pPr>
          </w:p>
        </w:tc>
        <w:tc>
          <w:tcPr>
            <w:tcW w:w="920" w:type="dxa"/>
            <w:vAlign w:val="bottom"/>
            <w:tcBorders>
              <w:right w:val="single" w:sz="8" w:color="B2B2B2"/>
            </w:tcBorders>
          </w:tcPr>
          <w:p>
            <w:pPr>
              <w:ind w:left="320"/>
              <w:spacing w:after="0"/>
              <w:rPr>
                <w:sz w:val="20"/>
                <w:szCs w:val="20"/>
                <w:color w:val="auto"/>
              </w:rPr>
            </w:pPr>
            <w:r>
              <w:rPr>
                <w:rFonts w:ascii="Arial" w:cs="Arial" w:eastAsia="Arial" w:hAnsi="Arial"/>
                <w:sz w:val="14"/>
                <w:szCs w:val="14"/>
                <w:color w:val="auto"/>
              </w:rPr>
              <w:t>2024</w:t>
            </w:r>
          </w:p>
        </w:tc>
        <w:tc>
          <w:tcPr>
            <w:tcW w:w="820" w:type="dxa"/>
            <w:vAlign w:val="bottom"/>
            <w:tcBorders>
              <w:right w:val="single" w:sz="8" w:color="B2B2B2"/>
            </w:tcBorders>
          </w:tcPr>
          <w:p>
            <w:pPr>
              <w:jc w:val="right"/>
              <w:ind w:right="11"/>
              <w:spacing w:after="0"/>
              <w:rPr>
                <w:sz w:val="20"/>
                <w:szCs w:val="20"/>
                <w:color w:val="auto"/>
              </w:rPr>
            </w:pPr>
            <w:r>
              <w:rPr>
                <w:rFonts w:ascii="Arial" w:cs="Arial" w:eastAsia="Arial" w:hAnsi="Arial"/>
                <w:sz w:val="14"/>
                <w:szCs w:val="14"/>
                <w:color w:val="auto"/>
              </w:rPr>
              <w:t>1,030,600</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2,584,412</w:t>
            </w:r>
          </w:p>
        </w:tc>
        <w:tc>
          <w:tcPr>
            <w:tcW w:w="82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4,800,238</w:t>
            </w:r>
          </w:p>
        </w:tc>
        <w:tc>
          <w:tcPr>
            <w:tcW w:w="184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1,123,539</w:t>
            </w:r>
          </w:p>
        </w:tc>
        <w:tc>
          <w:tcPr>
            <w:tcW w:w="162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11,987</w:t>
            </w:r>
          </w:p>
        </w:tc>
        <w:tc>
          <w:tcPr>
            <w:tcW w:w="840" w:type="dxa"/>
            <w:vAlign w:val="bottom"/>
          </w:tcPr>
          <w:p>
            <w:pPr>
              <w:jc w:val="right"/>
              <w:spacing w:after="0"/>
              <w:rPr>
                <w:sz w:val="20"/>
                <w:szCs w:val="20"/>
                <w:color w:val="auto"/>
              </w:rPr>
            </w:pPr>
            <w:r>
              <w:rPr>
                <w:rFonts w:ascii="Arial" w:cs="Arial" w:eastAsia="Arial" w:hAnsi="Arial"/>
                <w:sz w:val="14"/>
                <w:szCs w:val="14"/>
                <w:color w:val="auto"/>
              </w:rPr>
              <w:t>9,550,776</w:t>
            </w:r>
          </w:p>
        </w:tc>
        <w:tc>
          <w:tcPr>
            <w:tcW w:w="0" w:type="dxa"/>
            <w:vAlign w:val="bottom"/>
          </w:tcPr>
          <w:p>
            <w:pPr>
              <w:spacing w:after="0"/>
              <w:rPr>
                <w:sz w:val="1"/>
                <w:szCs w:val="1"/>
                <w:color w:val="auto"/>
              </w:rPr>
            </w:pPr>
          </w:p>
        </w:tc>
      </w:tr>
      <w:tr>
        <w:trPr>
          <w:trHeight w:val="239"/>
        </w:trPr>
        <w:tc>
          <w:tcPr>
            <w:tcW w:w="2900" w:type="dxa"/>
            <w:vAlign w:val="bottom"/>
            <w:tcBorders>
              <w:bottom w:val="single" w:sz="8" w:color="E2EEFA"/>
              <w:right w:val="single" w:sz="8" w:color="E2EEFA"/>
            </w:tcBorders>
            <w:shd w:val="clear" w:color="auto" w:fill="E2EEFA"/>
          </w:tcPr>
          <w:p>
            <w:pPr>
              <w:spacing w:after="0"/>
              <w:rPr>
                <w:sz w:val="20"/>
                <w:szCs w:val="20"/>
                <w:color w:val="auto"/>
              </w:rPr>
            </w:pPr>
            <w:r>
              <w:rPr>
                <w:rFonts w:ascii="Arial" w:cs="Arial" w:eastAsia="Arial" w:hAnsi="Arial"/>
                <w:sz w:val="14"/>
                <w:szCs w:val="14"/>
                <w:color w:val="auto"/>
              </w:rPr>
              <w:t>  Karen L. Burton</w:t>
            </w:r>
          </w:p>
        </w:tc>
        <w:tc>
          <w:tcPr>
            <w:tcW w:w="920" w:type="dxa"/>
            <w:vAlign w:val="bottom"/>
            <w:tcBorders>
              <w:bottom w:val="single" w:sz="8" w:color="E2EEFA"/>
              <w:right w:val="single" w:sz="8" w:color="E2EEFA"/>
            </w:tcBorders>
            <w:shd w:val="clear" w:color="auto" w:fill="E2EEFA"/>
          </w:tcPr>
          <w:p>
            <w:pPr>
              <w:spacing w:after="0"/>
              <w:rPr>
                <w:sz w:val="20"/>
                <w:szCs w:val="20"/>
                <w:color w:val="auto"/>
              </w:rPr>
            </w:pPr>
          </w:p>
        </w:tc>
        <w:tc>
          <w:tcPr>
            <w:tcW w:w="820" w:type="dxa"/>
            <w:vAlign w:val="bottom"/>
            <w:tcBorders>
              <w:bottom w:val="single" w:sz="8" w:color="E2EEFA"/>
              <w:right w:val="single" w:sz="8" w:color="E2EEFA"/>
            </w:tcBorders>
            <w:shd w:val="clear" w:color="auto" w:fill="E2EEFA"/>
          </w:tcPr>
          <w:p>
            <w:pPr>
              <w:spacing w:after="0"/>
              <w:rPr>
                <w:sz w:val="20"/>
                <w:szCs w:val="20"/>
                <w:color w:val="auto"/>
              </w:rPr>
            </w:pPr>
          </w:p>
        </w:tc>
        <w:tc>
          <w:tcPr>
            <w:tcW w:w="800" w:type="dxa"/>
            <w:vAlign w:val="bottom"/>
            <w:tcBorders>
              <w:bottom w:val="single" w:sz="8" w:color="E2EEFA"/>
              <w:right w:val="single" w:sz="8" w:color="E2EEFA"/>
            </w:tcBorders>
            <w:shd w:val="clear" w:color="auto" w:fill="E2EEFA"/>
          </w:tcPr>
          <w:p>
            <w:pPr>
              <w:spacing w:after="0"/>
              <w:rPr>
                <w:sz w:val="20"/>
                <w:szCs w:val="20"/>
                <w:color w:val="auto"/>
              </w:rPr>
            </w:pPr>
          </w:p>
        </w:tc>
        <w:tc>
          <w:tcPr>
            <w:tcW w:w="820" w:type="dxa"/>
            <w:vAlign w:val="bottom"/>
            <w:tcBorders>
              <w:bottom w:val="single" w:sz="8" w:color="E2EEFA"/>
              <w:right w:val="single" w:sz="8" w:color="E2EEFA"/>
            </w:tcBorders>
            <w:shd w:val="clear" w:color="auto" w:fill="E2EEFA"/>
          </w:tcPr>
          <w:p>
            <w:pPr>
              <w:spacing w:after="0"/>
              <w:rPr>
                <w:sz w:val="20"/>
                <w:szCs w:val="20"/>
                <w:color w:val="auto"/>
              </w:rPr>
            </w:pPr>
          </w:p>
        </w:tc>
        <w:tc>
          <w:tcPr>
            <w:tcW w:w="1840" w:type="dxa"/>
            <w:vAlign w:val="bottom"/>
            <w:tcBorders>
              <w:bottom w:val="single" w:sz="8" w:color="E2EEFA"/>
              <w:right w:val="single" w:sz="8" w:color="E2EEFA"/>
            </w:tcBorders>
            <w:shd w:val="clear" w:color="auto" w:fill="E2EEFA"/>
          </w:tcPr>
          <w:p>
            <w:pPr>
              <w:spacing w:after="0"/>
              <w:rPr>
                <w:sz w:val="20"/>
                <w:szCs w:val="20"/>
                <w:color w:val="auto"/>
              </w:rPr>
            </w:pPr>
          </w:p>
        </w:tc>
        <w:tc>
          <w:tcPr>
            <w:tcW w:w="1620" w:type="dxa"/>
            <w:vAlign w:val="bottom"/>
            <w:tcBorders>
              <w:bottom w:val="single" w:sz="8" w:color="E2EEFA"/>
              <w:right w:val="single" w:sz="8" w:color="E2EEFA"/>
            </w:tcBorders>
            <w:shd w:val="clear" w:color="auto" w:fill="E2EEFA"/>
          </w:tcPr>
          <w:p>
            <w:pPr>
              <w:spacing w:after="0"/>
              <w:rPr>
                <w:sz w:val="20"/>
                <w:szCs w:val="20"/>
                <w:color w:val="auto"/>
              </w:rPr>
            </w:pPr>
          </w:p>
        </w:tc>
        <w:tc>
          <w:tcPr>
            <w:tcW w:w="840" w:type="dxa"/>
            <w:vAlign w:val="bottom"/>
            <w:tcBorders>
              <w:bottom w:val="single" w:sz="8" w:color="E2EEFA"/>
            </w:tcBorders>
            <w:shd w:val="clear" w:color="auto" w:fill="E2EEFA"/>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900" w:type="dxa"/>
            <w:vAlign w:val="bottom"/>
            <w:tcBorders>
              <w:right w:val="single" w:sz="8" w:color="B2B2B2"/>
            </w:tcBorders>
          </w:tcPr>
          <w:p>
            <w:pPr>
              <w:ind w:left="140"/>
              <w:spacing w:after="0"/>
              <w:rPr>
                <w:sz w:val="20"/>
                <w:szCs w:val="20"/>
                <w:color w:val="auto"/>
              </w:rPr>
            </w:pPr>
            <w:r>
              <w:rPr>
                <w:rFonts w:ascii="Arial" w:cs="Arial" w:eastAsia="Arial" w:hAnsi="Arial"/>
                <w:sz w:val="14"/>
                <w:szCs w:val="14"/>
                <w:color w:val="auto"/>
              </w:rPr>
              <w:t>  Senior Vice President</w:t>
            </w:r>
          </w:p>
        </w:tc>
        <w:tc>
          <w:tcPr>
            <w:tcW w:w="920" w:type="dxa"/>
            <w:vAlign w:val="bottom"/>
            <w:tcBorders>
              <w:right w:val="single" w:sz="8" w:color="B2B2B2"/>
            </w:tcBorders>
          </w:tcPr>
          <w:p>
            <w:pPr>
              <w:ind w:left="320"/>
              <w:spacing w:after="0"/>
              <w:rPr>
                <w:sz w:val="20"/>
                <w:szCs w:val="20"/>
                <w:color w:val="auto"/>
              </w:rPr>
            </w:pPr>
            <w:r>
              <w:rPr>
                <w:rFonts w:ascii="Arial" w:cs="Arial" w:eastAsia="Arial" w:hAnsi="Arial"/>
                <w:sz w:val="14"/>
                <w:szCs w:val="14"/>
                <w:color w:val="auto"/>
              </w:rPr>
              <w:t>2026</w:t>
            </w:r>
          </w:p>
        </w:tc>
        <w:tc>
          <w:tcPr>
            <w:tcW w:w="820" w:type="dxa"/>
            <w:vAlign w:val="bottom"/>
            <w:tcBorders>
              <w:right w:val="single" w:sz="8" w:color="B2B2B2"/>
            </w:tcBorders>
          </w:tcPr>
          <w:p>
            <w:pPr>
              <w:jc w:val="right"/>
              <w:ind w:right="11"/>
              <w:spacing w:after="0"/>
              <w:rPr>
                <w:sz w:val="20"/>
                <w:szCs w:val="20"/>
                <w:color w:val="auto"/>
              </w:rPr>
            </w:pPr>
            <w:r>
              <w:rPr>
                <w:rFonts w:ascii="Arial" w:cs="Arial" w:eastAsia="Arial" w:hAnsi="Arial"/>
                <w:sz w:val="14"/>
                <w:szCs w:val="14"/>
                <w:color w:val="auto"/>
              </w:rPr>
              <w:t>530,762</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1,042,037</w:t>
            </w:r>
          </w:p>
        </w:tc>
        <w:tc>
          <w:tcPr>
            <w:tcW w:w="82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1,111,148</w:t>
            </w:r>
          </w:p>
        </w:tc>
        <w:tc>
          <w:tcPr>
            <w:tcW w:w="184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491,493</w:t>
            </w:r>
          </w:p>
        </w:tc>
        <w:tc>
          <w:tcPr>
            <w:tcW w:w="162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16,977</w:t>
            </w:r>
          </w:p>
        </w:tc>
        <w:tc>
          <w:tcPr>
            <w:tcW w:w="840" w:type="dxa"/>
            <w:vAlign w:val="bottom"/>
          </w:tcPr>
          <w:p>
            <w:pPr>
              <w:jc w:val="right"/>
              <w:spacing w:after="0"/>
              <w:rPr>
                <w:sz w:val="20"/>
                <w:szCs w:val="20"/>
                <w:color w:val="auto"/>
              </w:rPr>
            </w:pPr>
            <w:r>
              <w:rPr>
                <w:rFonts w:ascii="Arial" w:cs="Arial" w:eastAsia="Arial" w:hAnsi="Arial"/>
                <w:sz w:val="14"/>
                <w:szCs w:val="14"/>
                <w:color w:val="auto"/>
              </w:rPr>
              <w:t>3,192,417</w:t>
            </w:r>
          </w:p>
        </w:tc>
        <w:tc>
          <w:tcPr>
            <w:tcW w:w="0" w:type="dxa"/>
            <w:vAlign w:val="bottom"/>
          </w:tcPr>
          <w:p>
            <w:pPr>
              <w:spacing w:after="0"/>
              <w:rPr>
                <w:sz w:val="1"/>
                <w:szCs w:val="1"/>
                <w:color w:val="auto"/>
              </w:rPr>
            </w:pPr>
          </w:p>
        </w:tc>
      </w:tr>
      <w:tr>
        <w:trPr>
          <w:trHeight w:val="228"/>
        </w:trPr>
        <w:tc>
          <w:tcPr>
            <w:tcW w:w="2900" w:type="dxa"/>
            <w:vAlign w:val="bottom"/>
            <w:tcBorders>
              <w:right w:val="single" w:sz="8" w:color="B2B2B2"/>
            </w:tcBorders>
          </w:tcPr>
          <w:p>
            <w:pPr>
              <w:ind w:left="140"/>
              <w:spacing w:after="0"/>
              <w:rPr>
                <w:sz w:val="20"/>
                <w:szCs w:val="20"/>
                <w:color w:val="auto"/>
              </w:rPr>
            </w:pPr>
            <w:r>
              <w:rPr>
                <w:rFonts w:ascii="Arial" w:cs="Arial" w:eastAsia="Arial" w:hAnsi="Arial"/>
                <w:sz w:val="14"/>
                <w:szCs w:val="14"/>
                <w:color w:val="auto"/>
              </w:rPr>
              <w:t>  and Chief Financial Officer</w:t>
            </w:r>
          </w:p>
        </w:tc>
        <w:tc>
          <w:tcPr>
            <w:tcW w:w="920" w:type="dxa"/>
            <w:vAlign w:val="bottom"/>
            <w:tcBorders>
              <w:right w:val="single" w:sz="8" w:color="B2B2B2"/>
            </w:tcBorders>
          </w:tcPr>
          <w:p>
            <w:pPr>
              <w:spacing w:after="0"/>
              <w:rPr>
                <w:sz w:val="19"/>
                <w:szCs w:val="19"/>
                <w:color w:val="auto"/>
              </w:rPr>
            </w:pPr>
          </w:p>
        </w:tc>
        <w:tc>
          <w:tcPr>
            <w:tcW w:w="820" w:type="dxa"/>
            <w:vAlign w:val="bottom"/>
            <w:tcBorders>
              <w:right w:val="single" w:sz="8" w:color="B2B2B2"/>
            </w:tcBorders>
          </w:tcPr>
          <w:p>
            <w:pPr>
              <w:spacing w:after="0"/>
              <w:rPr>
                <w:sz w:val="19"/>
                <w:szCs w:val="19"/>
                <w:color w:val="auto"/>
              </w:rPr>
            </w:pPr>
          </w:p>
        </w:tc>
        <w:tc>
          <w:tcPr>
            <w:tcW w:w="800" w:type="dxa"/>
            <w:vAlign w:val="bottom"/>
            <w:tcBorders>
              <w:right w:val="single" w:sz="8" w:color="B2B2B2"/>
            </w:tcBorders>
          </w:tcPr>
          <w:p>
            <w:pPr>
              <w:spacing w:after="0"/>
              <w:rPr>
                <w:sz w:val="19"/>
                <w:szCs w:val="19"/>
                <w:color w:val="auto"/>
              </w:rPr>
            </w:pPr>
          </w:p>
        </w:tc>
        <w:tc>
          <w:tcPr>
            <w:tcW w:w="820" w:type="dxa"/>
            <w:vAlign w:val="bottom"/>
            <w:tcBorders>
              <w:right w:val="single" w:sz="8" w:color="B2B2B2"/>
            </w:tcBorders>
          </w:tcPr>
          <w:p>
            <w:pPr>
              <w:spacing w:after="0"/>
              <w:rPr>
                <w:sz w:val="19"/>
                <w:szCs w:val="19"/>
                <w:color w:val="auto"/>
              </w:rPr>
            </w:pPr>
          </w:p>
        </w:tc>
        <w:tc>
          <w:tcPr>
            <w:tcW w:w="1840" w:type="dxa"/>
            <w:vAlign w:val="bottom"/>
            <w:tcBorders>
              <w:right w:val="single" w:sz="8" w:color="B2B2B2"/>
            </w:tcBorders>
          </w:tcPr>
          <w:p>
            <w:pPr>
              <w:spacing w:after="0"/>
              <w:rPr>
                <w:sz w:val="19"/>
                <w:szCs w:val="19"/>
                <w:color w:val="auto"/>
              </w:rPr>
            </w:pPr>
          </w:p>
        </w:tc>
        <w:tc>
          <w:tcPr>
            <w:tcW w:w="1620" w:type="dxa"/>
            <w:vAlign w:val="bottom"/>
            <w:tcBorders>
              <w:right w:val="single" w:sz="8" w:color="B2B2B2"/>
            </w:tcBorders>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00" w:type="dxa"/>
            <w:vAlign w:val="bottom"/>
            <w:tcBorders>
              <w:bottom w:val="single" w:sz="8" w:color="E2EEFA"/>
              <w:right w:val="single" w:sz="8" w:color="E2EEFA"/>
            </w:tcBorders>
            <w:shd w:val="clear" w:color="auto" w:fill="E2EEFA"/>
          </w:tcPr>
          <w:p>
            <w:pPr>
              <w:spacing w:after="0"/>
              <w:rPr>
                <w:sz w:val="20"/>
                <w:szCs w:val="20"/>
                <w:color w:val="auto"/>
              </w:rPr>
            </w:pPr>
            <w:r>
              <w:rPr>
                <w:rFonts w:ascii="Arial" w:cs="Arial" w:eastAsia="Arial" w:hAnsi="Arial"/>
                <w:sz w:val="14"/>
                <w:szCs w:val="14"/>
                <w:color w:val="auto"/>
              </w:rPr>
              <w:t>  Michael J. Tokich</w:t>
            </w:r>
          </w:p>
        </w:tc>
        <w:tc>
          <w:tcPr>
            <w:tcW w:w="920" w:type="dxa"/>
            <w:vAlign w:val="bottom"/>
            <w:tcBorders>
              <w:bottom w:val="single" w:sz="8" w:color="E2EEFA"/>
              <w:right w:val="single" w:sz="8" w:color="E2EEFA"/>
            </w:tcBorders>
            <w:shd w:val="clear" w:color="auto" w:fill="E2EEFA"/>
          </w:tcPr>
          <w:p>
            <w:pPr>
              <w:spacing w:after="0"/>
              <w:rPr>
                <w:sz w:val="20"/>
                <w:szCs w:val="20"/>
                <w:color w:val="auto"/>
              </w:rPr>
            </w:pPr>
          </w:p>
        </w:tc>
        <w:tc>
          <w:tcPr>
            <w:tcW w:w="820" w:type="dxa"/>
            <w:vAlign w:val="bottom"/>
            <w:tcBorders>
              <w:bottom w:val="single" w:sz="8" w:color="E2EEFA"/>
              <w:right w:val="single" w:sz="8" w:color="E2EEFA"/>
            </w:tcBorders>
            <w:shd w:val="clear" w:color="auto" w:fill="E2EEFA"/>
          </w:tcPr>
          <w:p>
            <w:pPr>
              <w:spacing w:after="0"/>
              <w:rPr>
                <w:sz w:val="20"/>
                <w:szCs w:val="20"/>
                <w:color w:val="auto"/>
              </w:rPr>
            </w:pPr>
          </w:p>
        </w:tc>
        <w:tc>
          <w:tcPr>
            <w:tcW w:w="800" w:type="dxa"/>
            <w:vAlign w:val="bottom"/>
            <w:tcBorders>
              <w:bottom w:val="single" w:sz="8" w:color="E2EEFA"/>
              <w:right w:val="single" w:sz="8" w:color="E2EEFA"/>
            </w:tcBorders>
            <w:shd w:val="clear" w:color="auto" w:fill="E2EEFA"/>
          </w:tcPr>
          <w:p>
            <w:pPr>
              <w:spacing w:after="0"/>
              <w:rPr>
                <w:sz w:val="20"/>
                <w:szCs w:val="20"/>
                <w:color w:val="auto"/>
              </w:rPr>
            </w:pPr>
          </w:p>
        </w:tc>
        <w:tc>
          <w:tcPr>
            <w:tcW w:w="820" w:type="dxa"/>
            <w:vAlign w:val="bottom"/>
            <w:tcBorders>
              <w:bottom w:val="single" w:sz="8" w:color="E2EEFA"/>
              <w:right w:val="single" w:sz="8" w:color="E2EEFA"/>
            </w:tcBorders>
            <w:shd w:val="clear" w:color="auto" w:fill="E2EEFA"/>
          </w:tcPr>
          <w:p>
            <w:pPr>
              <w:spacing w:after="0"/>
              <w:rPr>
                <w:sz w:val="20"/>
                <w:szCs w:val="20"/>
                <w:color w:val="auto"/>
              </w:rPr>
            </w:pPr>
          </w:p>
        </w:tc>
        <w:tc>
          <w:tcPr>
            <w:tcW w:w="1840" w:type="dxa"/>
            <w:vAlign w:val="bottom"/>
            <w:tcBorders>
              <w:bottom w:val="single" w:sz="8" w:color="E2EEFA"/>
              <w:right w:val="single" w:sz="8" w:color="E2EEFA"/>
            </w:tcBorders>
            <w:shd w:val="clear" w:color="auto" w:fill="E2EEFA"/>
          </w:tcPr>
          <w:p>
            <w:pPr>
              <w:spacing w:after="0"/>
              <w:rPr>
                <w:sz w:val="20"/>
                <w:szCs w:val="20"/>
                <w:color w:val="auto"/>
              </w:rPr>
            </w:pPr>
          </w:p>
        </w:tc>
        <w:tc>
          <w:tcPr>
            <w:tcW w:w="1620" w:type="dxa"/>
            <w:vAlign w:val="bottom"/>
            <w:tcBorders>
              <w:bottom w:val="single" w:sz="8" w:color="E2EEFA"/>
              <w:right w:val="single" w:sz="8" w:color="E2EEFA"/>
            </w:tcBorders>
            <w:shd w:val="clear" w:color="auto" w:fill="E2EEFA"/>
          </w:tcPr>
          <w:p>
            <w:pPr>
              <w:spacing w:after="0"/>
              <w:rPr>
                <w:sz w:val="20"/>
                <w:szCs w:val="20"/>
                <w:color w:val="auto"/>
              </w:rPr>
            </w:pPr>
          </w:p>
        </w:tc>
        <w:tc>
          <w:tcPr>
            <w:tcW w:w="840" w:type="dxa"/>
            <w:vAlign w:val="bottom"/>
            <w:tcBorders>
              <w:bottom w:val="single" w:sz="8" w:color="E2EEFA"/>
            </w:tcBorders>
            <w:shd w:val="clear" w:color="auto" w:fill="E2EEFA"/>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900" w:type="dxa"/>
            <w:vAlign w:val="bottom"/>
            <w:tcBorders>
              <w:right w:val="single" w:sz="8" w:color="B2B2B2"/>
            </w:tcBorders>
          </w:tcPr>
          <w:p>
            <w:pPr>
              <w:ind w:left="140"/>
              <w:spacing w:after="0"/>
              <w:rPr>
                <w:sz w:val="20"/>
                <w:szCs w:val="20"/>
                <w:color w:val="auto"/>
              </w:rPr>
            </w:pPr>
            <w:r>
              <w:rPr>
                <w:rFonts w:ascii="Arial" w:cs="Arial" w:eastAsia="Arial" w:hAnsi="Arial"/>
                <w:sz w:val="14"/>
                <w:szCs w:val="14"/>
                <w:color w:val="auto"/>
              </w:rPr>
              <w:t>  Senior Financial Advisor</w:t>
            </w:r>
          </w:p>
        </w:tc>
        <w:tc>
          <w:tcPr>
            <w:tcW w:w="920" w:type="dxa"/>
            <w:vAlign w:val="bottom"/>
            <w:tcBorders>
              <w:right w:val="single" w:sz="8" w:color="B2B2B2"/>
            </w:tcBorders>
          </w:tcPr>
          <w:p>
            <w:pPr>
              <w:ind w:left="320"/>
              <w:spacing w:after="0"/>
              <w:rPr>
                <w:sz w:val="20"/>
                <w:szCs w:val="20"/>
                <w:color w:val="auto"/>
              </w:rPr>
            </w:pPr>
            <w:r>
              <w:rPr>
                <w:rFonts w:ascii="Arial" w:cs="Arial" w:eastAsia="Arial" w:hAnsi="Arial"/>
                <w:sz w:val="14"/>
                <w:szCs w:val="14"/>
                <w:color w:val="auto"/>
              </w:rPr>
              <w:t>2026</w:t>
            </w:r>
          </w:p>
        </w:tc>
        <w:tc>
          <w:tcPr>
            <w:tcW w:w="820" w:type="dxa"/>
            <w:vAlign w:val="bottom"/>
            <w:tcBorders>
              <w:right w:val="single" w:sz="8" w:color="B2B2B2"/>
            </w:tcBorders>
          </w:tcPr>
          <w:p>
            <w:pPr>
              <w:jc w:val="right"/>
              <w:ind w:right="11"/>
              <w:spacing w:after="0"/>
              <w:rPr>
                <w:sz w:val="20"/>
                <w:szCs w:val="20"/>
                <w:color w:val="auto"/>
              </w:rPr>
            </w:pPr>
            <w:r>
              <w:rPr>
                <w:rFonts w:ascii="Arial" w:cs="Arial" w:eastAsia="Arial" w:hAnsi="Arial"/>
                <w:sz w:val="14"/>
                <w:szCs w:val="14"/>
                <w:color w:val="auto"/>
              </w:rPr>
              <w:t>511,409</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540,923</w:t>
            </w:r>
          </w:p>
        </w:tc>
        <w:tc>
          <w:tcPr>
            <w:tcW w:w="82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541,234</w:t>
            </w:r>
          </w:p>
        </w:tc>
        <w:tc>
          <w:tcPr>
            <w:tcW w:w="184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616,644</w:t>
            </w:r>
          </w:p>
        </w:tc>
        <w:tc>
          <w:tcPr>
            <w:tcW w:w="162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19,783</w:t>
            </w:r>
          </w:p>
        </w:tc>
        <w:tc>
          <w:tcPr>
            <w:tcW w:w="840" w:type="dxa"/>
            <w:vAlign w:val="bottom"/>
          </w:tcPr>
          <w:p>
            <w:pPr>
              <w:jc w:val="right"/>
              <w:spacing w:after="0"/>
              <w:rPr>
                <w:sz w:val="20"/>
                <w:szCs w:val="20"/>
                <w:color w:val="auto"/>
              </w:rPr>
            </w:pPr>
            <w:r>
              <w:rPr>
                <w:rFonts w:ascii="Arial" w:cs="Arial" w:eastAsia="Arial" w:hAnsi="Arial"/>
                <w:sz w:val="14"/>
                <w:szCs w:val="14"/>
                <w:color w:val="auto"/>
              </w:rPr>
              <w:t>2,229,993</w:t>
            </w:r>
          </w:p>
        </w:tc>
        <w:tc>
          <w:tcPr>
            <w:tcW w:w="0" w:type="dxa"/>
            <w:vAlign w:val="bottom"/>
          </w:tcPr>
          <w:p>
            <w:pPr>
              <w:spacing w:after="0"/>
              <w:rPr>
                <w:sz w:val="1"/>
                <w:szCs w:val="1"/>
                <w:color w:val="auto"/>
              </w:rPr>
            </w:pPr>
          </w:p>
        </w:tc>
      </w:tr>
      <w:tr>
        <w:trPr>
          <w:trHeight w:val="34"/>
        </w:trPr>
        <w:tc>
          <w:tcPr>
            <w:tcW w:w="2900" w:type="dxa"/>
            <w:vAlign w:val="bottom"/>
            <w:tcBorders>
              <w:right w:val="single" w:sz="8" w:color="B2B2B2"/>
            </w:tcBorders>
          </w:tcPr>
          <w:p>
            <w:pPr>
              <w:spacing w:after="0"/>
              <w:rPr>
                <w:sz w:val="2"/>
                <w:szCs w:val="2"/>
                <w:color w:val="auto"/>
              </w:rPr>
            </w:pPr>
          </w:p>
        </w:tc>
        <w:tc>
          <w:tcPr>
            <w:tcW w:w="920" w:type="dxa"/>
            <w:vAlign w:val="bottom"/>
            <w:tcBorders>
              <w:bottom w:val="single" w:sz="8" w:color="B2B2B2"/>
              <w:right w:val="single" w:sz="8" w:color="B2B2B2"/>
            </w:tcBorders>
          </w:tcPr>
          <w:p>
            <w:pPr>
              <w:spacing w:after="0"/>
              <w:rPr>
                <w:sz w:val="2"/>
                <w:szCs w:val="2"/>
                <w:color w:val="auto"/>
              </w:rPr>
            </w:pPr>
          </w:p>
        </w:tc>
        <w:tc>
          <w:tcPr>
            <w:tcW w:w="82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820" w:type="dxa"/>
            <w:vAlign w:val="bottom"/>
            <w:tcBorders>
              <w:bottom w:val="single" w:sz="8" w:color="B2B2B2"/>
              <w:right w:val="single" w:sz="8" w:color="B2B2B2"/>
            </w:tcBorders>
          </w:tcPr>
          <w:p>
            <w:pPr>
              <w:spacing w:after="0"/>
              <w:rPr>
                <w:sz w:val="2"/>
                <w:szCs w:val="2"/>
                <w:color w:val="auto"/>
              </w:rPr>
            </w:pPr>
          </w:p>
        </w:tc>
        <w:tc>
          <w:tcPr>
            <w:tcW w:w="1840" w:type="dxa"/>
            <w:vAlign w:val="bottom"/>
            <w:tcBorders>
              <w:bottom w:val="single" w:sz="8" w:color="B2B2B2"/>
              <w:right w:val="single" w:sz="8" w:color="B2B2B2"/>
            </w:tcBorders>
          </w:tcPr>
          <w:p>
            <w:pPr>
              <w:spacing w:after="0"/>
              <w:rPr>
                <w:sz w:val="2"/>
                <w:szCs w:val="2"/>
                <w:color w:val="auto"/>
              </w:rPr>
            </w:pPr>
          </w:p>
        </w:tc>
        <w:tc>
          <w:tcPr>
            <w:tcW w:w="1620" w:type="dxa"/>
            <w:vAlign w:val="bottom"/>
            <w:tcBorders>
              <w:bottom w:val="single" w:sz="8" w:color="B2B2B2"/>
              <w:right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900" w:type="dxa"/>
            <w:vAlign w:val="bottom"/>
            <w:tcBorders>
              <w:right w:val="single" w:sz="8" w:color="B2B2B2"/>
            </w:tcBorders>
          </w:tcPr>
          <w:p>
            <w:pPr>
              <w:spacing w:after="0"/>
              <w:rPr>
                <w:sz w:val="15"/>
                <w:szCs w:val="15"/>
                <w:color w:val="auto"/>
              </w:rPr>
            </w:pPr>
          </w:p>
        </w:tc>
        <w:tc>
          <w:tcPr>
            <w:tcW w:w="920" w:type="dxa"/>
            <w:vAlign w:val="bottom"/>
            <w:tcBorders>
              <w:right w:val="single" w:sz="8" w:color="B2B2B2"/>
            </w:tcBorders>
          </w:tcPr>
          <w:p>
            <w:pPr>
              <w:ind w:left="320"/>
              <w:spacing w:after="0"/>
              <w:rPr>
                <w:sz w:val="20"/>
                <w:szCs w:val="20"/>
                <w:color w:val="auto"/>
              </w:rPr>
            </w:pPr>
            <w:r>
              <w:rPr>
                <w:rFonts w:ascii="Arial" w:cs="Arial" w:eastAsia="Arial" w:hAnsi="Arial"/>
                <w:sz w:val="14"/>
                <w:szCs w:val="14"/>
                <w:color w:val="auto"/>
              </w:rPr>
              <w:t>2025</w:t>
            </w:r>
          </w:p>
        </w:tc>
        <w:tc>
          <w:tcPr>
            <w:tcW w:w="820" w:type="dxa"/>
            <w:vAlign w:val="bottom"/>
            <w:tcBorders>
              <w:right w:val="single" w:sz="8" w:color="B2B2B2"/>
            </w:tcBorders>
          </w:tcPr>
          <w:p>
            <w:pPr>
              <w:jc w:val="right"/>
              <w:ind w:right="11"/>
              <w:spacing w:after="0"/>
              <w:rPr>
                <w:sz w:val="20"/>
                <w:szCs w:val="20"/>
                <w:color w:val="auto"/>
              </w:rPr>
            </w:pPr>
            <w:r>
              <w:rPr>
                <w:rFonts w:ascii="Arial" w:cs="Arial" w:eastAsia="Arial" w:hAnsi="Arial"/>
                <w:sz w:val="14"/>
                <w:szCs w:val="14"/>
                <w:color w:val="auto"/>
              </w:rPr>
              <w:t>633,463</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782,156</w:t>
            </w:r>
          </w:p>
        </w:tc>
        <w:tc>
          <w:tcPr>
            <w:tcW w:w="82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1,452,416</w:t>
            </w:r>
          </w:p>
        </w:tc>
        <w:tc>
          <w:tcPr>
            <w:tcW w:w="184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430,708</w:t>
            </w:r>
          </w:p>
        </w:tc>
        <w:tc>
          <w:tcPr>
            <w:tcW w:w="162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13,994</w:t>
            </w:r>
          </w:p>
        </w:tc>
        <w:tc>
          <w:tcPr>
            <w:tcW w:w="840" w:type="dxa"/>
            <w:vAlign w:val="bottom"/>
          </w:tcPr>
          <w:p>
            <w:pPr>
              <w:jc w:val="right"/>
              <w:spacing w:after="0"/>
              <w:rPr>
                <w:sz w:val="20"/>
                <w:szCs w:val="20"/>
                <w:color w:val="auto"/>
              </w:rPr>
            </w:pPr>
            <w:r>
              <w:rPr>
                <w:rFonts w:ascii="Arial" w:cs="Arial" w:eastAsia="Arial" w:hAnsi="Arial"/>
                <w:sz w:val="14"/>
                <w:szCs w:val="14"/>
                <w:color w:val="auto"/>
              </w:rPr>
              <w:t>3,312,737</w:t>
            </w:r>
          </w:p>
        </w:tc>
        <w:tc>
          <w:tcPr>
            <w:tcW w:w="0" w:type="dxa"/>
            <w:vAlign w:val="bottom"/>
          </w:tcPr>
          <w:p>
            <w:pPr>
              <w:spacing w:after="0"/>
              <w:rPr>
                <w:sz w:val="1"/>
                <w:szCs w:val="1"/>
                <w:color w:val="auto"/>
              </w:rPr>
            </w:pPr>
          </w:p>
        </w:tc>
      </w:tr>
      <w:tr>
        <w:trPr>
          <w:trHeight w:val="26"/>
        </w:trPr>
        <w:tc>
          <w:tcPr>
            <w:tcW w:w="2900" w:type="dxa"/>
            <w:vAlign w:val="bottom"/>
            <w:tcBorders>
              <w:right w:val="single" w:sz="8" w:color="B2B2B2"/>
            </w:tcBorders>
          </w:tcPr>
          <w:p>
            <w:pPr>
              <w:spacing w:after="0"/>
              <w:rPr>
                <w:sz w:val="2"/>
                <w:szCs w:val="2"/>
                <w:color w:val="auto"/>
              </w:rPr>
            </w:pPr>
          </w:p>
        </w:tc>
        <w:tc>
          <w:tcPr>
            <w:tcW w:w="920" w:type="dxa"/>
            <w:vAlign w:val="bottom"/>
            <w:tcBorders>
              <w:bottom w:val="single" w:sz="8" w:color="B2B2B2"/>
              <w:right w:val="single" w:sz="8" w:color="B2B2B2"/>
            </w:tcBorders>
          </w:tcPr>
          <w:p>
            <w:pPr>
              <w:spacing w:after="0"/>
              <w:rPr>
                <w:sz w:val="2"/>
                <w:szCs w:val="2"/>
                <w:color w:val="auto"/>
              </w:rPr>
            </w:pPr>
          </w:p>
        </w:tc>
        <w:tc>
          <w:tcPr>
            <w:tcW w:w="82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820" w:type="dxa"/>
            <w:vAlign w:val="bottom"/>
            <w:tcBorders>
              <w:bottom w:val="single" w:sz="8" w:color="B2B2B2"/>
              <w:right w:val="single" w:sz="8" w:color="B2B2B2"/>
            </w:tcBorders>
          </w:tcPr>
          <w:p>
            <w:pPr>
              <w:spacing w:after="0"/>
              <w:rPr>
                <w:sz w:val="2"/>
                <w:szCs w:val="2"/>
                <w:color w:val="auto"/>
              </w:rPr>
            </w:pPr>
          </w:p>
        </w:tc>
        <w:tc>
          <w:tcPr>
            <w:tcW w:w="1840" w:type="dxa"/>
            <w:vAlign w:val="bottom"/>
            <w:tcBorders>
              <w:bottom w:val="single" w:sz="8" w:color="B2B2B2"/>
              <w:right w:val="single" w:sz="8" w:color="B2B2B2"/>
            </w:tcBorders>
          </w:tcPr>
          <w:p>
            <w:pPr>
              <w:spacing w:after="0"/>
              <w:rPr>
                <w:sz w:val="2"/>
                <w:szCs w:val="2"/>
                <w:color w:val="auto"/>
              </w:rPr>
            </w:pPr>
          </w:p>
        </w:tc>
        <w:tc>
          <w:tcPr>
            <w:tcW w:w="1620" w:type="dxa"/>
            <w:vAlign w:val="bottom"/>
            <w:tcBorders>
              <w:bottom w:val="single" w:sz="8" w:color="B2B2B2"/>
              <w:right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900" w:type="dxa"/>
            <w:vAlign w:val="bottom"/>
            <w:tcBorders>
              <w:right w:val="single" w:sz="8" w:color="B2B2B2"/>
            </w:tcBorders>
          </w:tcPr>
          <w:p>
            <w:pPr>
              <w:spacing w:after="0"/>
              <w:rPr>
                <w:sz w:val="17"/>
                <w:szCs w:val="17"/>
                <w:color w:val="auto"/>
              </w:rPr>
            </w:pPr>
          </w:p>
        </w:tc>
        <w:tc>
          <w:tcPr>
            <w:tcW w:w="920" w:type="dxa"/>
            <w:vAlign w:val="bottom"/>
            <w:tcBorders>
              <w:right w:val="single" w:sz="8" w:color="B2B2B2"/>
            </w:tcBorders>
          </w:tcPr>
          <w:p>
            <w:pPr>
              <w:ind w:left="320"/>
              <w:spacing w:after="0"/>
              <w:rPr>
                <w:sz w:val="20"/>
                <w:szCs w:val="20"/>
                <w:color w:val="auto"/>
              </w:rPr>
            </w:pPr>
            <w:r>
              <w:rPr>
                <w:rFonts w:ascii="Arial" w:cs="Arial" w:eastAsia="Arial" w:hAnsi="Arial"/>
                <w:sz w:val="14"/>
                <w:szCs w:val="14"/>
                <w:color w:val="auto"/>
              </w:rPr>
              <w:t>2024</w:t>
            </w:r>
          </w:p>
        </w:tc>
        <w:tc>
          <w:tcPr>
            <w:tcW w:w="820" w:type="dxa"/>
            <w:vAlign w:val="bottom"/>
            <w:tcBorders>
              <w:right w:val="single" w:sz="8" w:color="B2B2B2"/>
            </w:tcBorders>
          </w:tcPr>
          <w:p>
            <w:pPr>
              <w:jc w:val="right"/>
              <w:ind w:right="11"/>
              <w:spacing w:after="0"/>
              <w:rPr>
                <w:sz w:val="20"/>
                <w:szCs w:val="20"/>
                <w:color w:val="auto"/>
              </w:rPr>
            </w:pPr>
            <w:r>
              <w:rPr>
                <w:rFonts w:ascii="Arial" w:cs="Arial" w:eastAsia="Arial" w:hAnsi="Arial"/>
                <w:sz w:val="14"/>
                <w:szCs w:val="14"/>
                <w:color w:val="auto"/>
              </w:rPr>
              <w:t>613,770</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775,684</w:t>
            </w:r>
          </w:p>
        </w:tc>
        <w:tc>
          <w:tcPr>
            <w:tcW w:w="82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1,441,226</w:t>
            </w:r>
          </w:p>
        </w:tc>
        <w:tc>
          <w:tcPr>
            <w:tcW w:w="184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401,456</w:t>
            </w:r>
          </w:p>
        </w:tc>
        <w:tc>
          <w:tcPr>
            <w:tcW w:w="162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11,758</w:t>
            </w:r>
          </w:p>
        </w:tc>
        <w:tc>
          <w:tcPr>
            <w:tcW w:w="840" w:type="dxa"/>
            <w:vAlign w:val="bottom"/>
          </w:tcPr>
          <w:p>
            <w:pPr>
              <w:jc w:val="right"/>
              <w:spacing w:after="0"/>
              <w:rPr>
                <w:sz w:val="20"/>
                <w:szCs w:val="20"/>
                <w:color w:val="auto"/>
              </w:rPr>
            </w:pPr>
            <w:r>
              <w:rPr>
                <w:rFonts w:ascii="Arial" w:cs="Arial" w:eastAsia="Arial" w:hAnsi="Arial"/>
                <w:sz w:val="14"/>
                <w:szCs w:val="14"/>
                <w:color w:val="auto"/>
              </w:rPr>
              <w:t>3,243,894</w:t>
            </w:r>
          </w:p>
        </w:tc>
        <w:tc>
          <w:tcPr>
            <w:tcW w:w="0" w:type="dxa"/>
            <w:vAlign w:val="bottom"/>
          </w:tcPr>
          <w:p>
            <w:pPr>
              <w:spacing w:after="0"/>
              <w:rPr>
                <w:sz w:val="1"/>
                <w:szCs w:val="1"/>
                <w:color w:val="auto"/>
              </w:rPr>
            </w:pPr>
          </w:p>
        </w:tc>
      </w:tr>
      <w:tr>
        <w:trPr>
          <w:trHeight w:val="239"/>
        </w:trPr>
        <w:tc>
          <w:tcPr>
            <w:tcW w:w="2900" w:type="dxa"/>
            <w:vAlign w:val="bottom"/>
            <w:tcBorders>
              <w:bottom w:val="single" w:sz="8" w:color="E2EEFA"/>
              <w:right w:val="single" w:sz="8" w:color="E2EEFA"/>
            </w:tcBorders>
            <w:shd w:val="clear" w:color="auto" w:fill="E2EEFA"/>
          </w:tcPr>
          <w:p>
            <w:pPr>
              <w:spacing w:after="0"/>
              <w:rPr>
                <w:sz w:val="20"/>
                <w:szCs w:val="20"/>
                <w:color w:val="auto"/>
              </w:rPr>
            </w:pPr>
            <w:r>
              <w:rPr>
                <w:rFonts w:ascii="Arial" w:cs="Arial" w:eastAsia="Arial" w:hAnsi="Arial"/>
                <w:sz w:val="14"/>
                <w:szCs w:val="14"/>
                <w:color w:val="auto"/>
              </w:rPr>
              <w:t>  J. Adam Zangerle</w:t>
            </w:r>
          </w:p>
        </w:tc>
        <w:tc>
          <w:tcPr>
            <w:tcW w:w="920" w:type="dxa"/>
            <w:vAlign w:val="bottom"/>
            <w:tcBorders>
              <w:bottom w:val="single" w:sz="8" w:color="E2EEFA"/>
              <w:right w:val="single" w:sz="8" w:color="E2EEFA"/>
            </w:tcBorders>
            <w:shd w:val="clear" w:color="auto" w:fill="E2EEFA"/>
          </w:tcPr>
          <w:p>
            <w:pPr>
              <w:spacing w:after="0"/>
              <w:rPr>
                <w:sz w:val="20"/>
                <w:szCs w:val="20"/>
                <w:color w:val="auto"/>
              </w:rPr>
            </w:pPr>
          </w:p>
        </w:tc>
        <w:tc>
          <w:tcPr>
            <w:tcW w:w="820" w:type="dxa"/>
            <w:vAlign w:val="bottom"/>
            <w:tcBorders>
              <w:bottom w:val="single" w:sz="8" w:color="E2EEFA"/>
              <w:right w:val="single" w:sz="8" w:color="E2EEFA"/>
            </w:tcBorders>
            <w:shd w:val="clear" w:color="auto" w:fill="E2EEFA"/>
          </w:tcPr>
          <w:p>
            <w:pPr>
              <w:spacing w:after="0"/>
              <w:rPr>
                <w:sz w:val="20"/>
                <w:szCs w:val="20"/>
                <w:color w:val="auto"/>
              </w:rPr>
            </w:pPr>
          </w:p>
        </w:tc>
        <w:tc>
          <w:tcPr>
            <w:tcW w:w="800" w:type="dxa"/>
            <w:vAlign w:val="bottom"/>
            <w:tcBorders>
              <w:bottom w:val="single" w:sz="8" w:color="E2EEFA"/>
              <w:right w:val="single" w:sz="8" w:color="E2EEFA"/>
            </w:tcBorders>
            <w:shd w:val="clear" w:color="auto" w:fill="E2EEFA"/>
          </w:tcPr>
          <w:p>
            <w:pPr>
              <w:spacing w:after="0"/>
              <w:rPr>
                <w:sz w:val="20"/>
                <w:szCs w:val="20"/>
                <w:color w:val="auto"/>
              </w:rPr>
            </w:pPr>
          </w:p>
        </w:tc>
        <w:tc>
          <w:tcPr>
            <w:tcW w:w="820" w:type="dxa"/>
            <w:vAlign w:val="bottom"/>
            <w:tcBorders>
              <w:bottom w:val="single" w:sz="8" w:color="E2EEFA"/>
              <w:right w:val="single" w:sz="8" w:color="E2EEFA"/>
            </w:tcBorders>
            <w:shd w:val="clear" w:color="auto" w:fill="E2EEFA"/>
          </w:tcPr>
          <w:p>
            <w:pPr>
              <w:spacing w:after="0"/>
              <w:rPr>
                <w:sz w:val="20"/>
                <w:szCs w:val="20"/>
                <w:color w:val="auto"/>
              </w:rPr>
            </w:pPr>
          </w:p>
        </w:tc>
        <w:tc>
          <w:tcPr>
            <w:tcW w:w="1840" w:type="dxa"/>
            <w:vAlign w:val="bottom"/>
            <w:tcBorders>
              <w:bottom w:val="single" w:sz="8" w:color="E2EEFA"/>
              <w:right w:val="single" w:sz="8" w:color="E2EEFA"/>
            </w:tcBorders>
            <w:shd w:val="clear" w:color="auto" w:fill="E2EEFA"/>
          </w:tcPr>
          <w:p>
            <w:pPr>
              <w:spacing w:after="0"/>
              <w:rPr>
                <w:sz w:val="20"/>
                <w:szCs w:val="20"/>
                <w:color w:val="auto"/>
              </w:rPr>
            </w:pPr>
          </w:p>
        </w:tc>
        <w:tc>
          <w:tcPr>
            <w:tcW w:w="1620" w:type="dxa"/>
            <w:vAlign w:val="bottom"/>
            <w:tcBorders>
              <w:bottom w:val="single" w:sz="8" w:color="E2EEFA"/>
              <w:right w:val="single" w:sz="8" w:color="E2EEFA"/>
            </w:tcBorders>
            <w:shd w:val="clear" w:color="auto" w:fill="E2EEFA"/>
          </w:tcPr>
          <w:p>
            <w:pPr>
              <w:spacing w:after="0"/>
              <w:rPr>
                <w:sz w:val="20"/>
                <w:szCs w:val="20"/>
                <w:color w:val="auto"/>
              </w:rPr>
            </w:pPr>
          </w:p>
        </w:tc>
        <w:tc>
          <w:tcPr>
            <w:tcW w:w="840" w:type="dxa"/>
            <w:vAlign w:val="bottom"/>
            <w:tcBorders>
              <w:bottom w:val="single" w:sz="8" w:color="E2EEFA"/>
            </w:tcBorders>
            <w:shd w:val="clear" w:color="auto" w:fill="E2EEFA"/>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900" w:type="dxa"/>
            <w:vAlign w:val="bottom"/>
            <w:tcBorders>
              <w:right w:val="single" w:sz="8" w:color="B2B2B2"/>
            </w:tcBorders>
          </w:tcPr>
          <w:p>
            <w:pPr>
              <w:ind w:left="140"/>
              <w:spacing w:after="0"/>
              <w:rPr>
                <w:sz w:val="20"/>
                <w:szCs w:val="20"/>
                <w:color w:val="auto"/>
              </w:rPr>
            </w:pPr>
            <w:r>
              <w:rPr>
                <w:rFonts w:ascii="Arial" w:cs="Arial" w:eastAsia="Arial" w:hAnsi="Arial"/>
                <w:sz w:val="14"/>
                <w:szCs w:val="14"/>
                <w:color w:val="auto"/>
              </w:rPr>
              <w:t>  Senior Vice President,</w:t>
            </w:r>
          </w:p>
        </w:tc>
        <w:tc>
          <w:tcPr>
            <w:tcW w:w="920" w:type="dxa"/>
            <w:vAlign w:val="bottom"/>
            <w:tcBorders>
              <w:right w:val="single" w:sz="8" w:color="B2B2B2"/>
            </w:tcBorders>
          </w:tcPr>
          <w:p>
            <w:pPr>
              <w:ind w:left="320"/>
              <w:spacing w:after="0"/>
              <w:rPr>
                <w:sz w:val="20"/>
                <w:szCs w:val="20"/>
                <w:color w:val="auto"/>
              </w:rPr>
            </w:pPr>
            <w:r>
              <w:rPr>
                <w:rFonts w:ascii="Arial" w:cs="Arial" w:eastAsia="Arial" w:hAnsi="Arial"/>
                <w:sz w:val="14"/>
                <w:szCs w:val="14"/>
                <w:color w:val="auto"/>
              </w:rPr>
              <w:t>2026</w:t>
            </w:r>
          </w:p>
        </w:tc>
        <w:tc>
          <w:tcPr>
            <w:tcW w:w="820" w:type="dxa"/>
            <w:vAlign w:val="bottom"/>
            <w:tcBorders>
              <w:right w:val="single" w:sz="8" w:color="B2B2B2"/>
            </w:tcBorders>
          </w:tcPr>
          <w:p>
            <w:pPr>
              <w:jc w:val="right"/>
              <w:ind w:right="11"/>
              <w:spacing w:after="0"/>
              <w:rPr>
                <w:sz w:val="20"/>
                <w:szCs w:val="20"/>
                <w:color w:val="auto"/>
              </w:rPr>
            </w:pPr>
            <w:r>
              <w:rPr>
                <w:rFonts w:ascii="Arial" w:cs="Arial" w:eastAsia="Arial" w:hAnsi="Arial"/>
                <w:sz w:val="14"/>
                <w:szCs w:val="14"/>
                <w:color w:val="auto"/>
              </w:rPr>
              <w:t>570,417</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913,947</w:t>
            </w:r>
          </w:p>
        </w:tc>
        <w:tc>
          <w:tcPr>
            <w:tcW w:w="82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914,376</w:t>
            </w:r>
          </w:p>
        </w:tc>
        <w:tc>
          <w:tcPr>
            <w:tcW w:w="184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538,815</w:t>
            </w:r>
          </w:p>
        </w:tc>
        <w:tc>
          <w:tcPr>
            <w:tcW w:w="162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16,910</w:t>
            </w:r>
          </w:p>
        </w:tc>
        <w:tc>
          <w:tcPr>
            <w:tcW w:w="840" w:type="dxa"/>
            <w:vAlign w:val="bottom"/>
          </w:tcPr>
          <w:p>
            <w:pPr>
              <w:jc w:val="right"/>
              <w:spacing w:after="0"/>
              <w:rPr>
                <w:sz w:val="20"/>
                <w:szCs w:val="20"/>
                <w:color w:val="auto"/>
              </w:rPr>
            </w:pPr>
            <w:r>
              <w:rPr>
                <w:rFonts w:ascii="Arial" w:cs="Arial" w:eastAsia="Arial" w:hAnsi="Arial"/>
                <w:sz w:val="14"/>
                <w:szCs w:val="14"/>
                <w:color w:val="auto"/>
              </w:rPr>
              <w:t>2,954,465</w:t>
            </w:r>
          </w:p>
        </w:tc>
        <w:tc>
          <w:tcPr>
            <w:tcW w:w="0" w:type="dxa"/>
            <w:vAlign w:val="bottom"/>
          </w:tcPr>
          <w:p>
            <w:pPr>
              <w:spacing w:after="0"/>
              <w:rPr>
                <w:sz w:val="1"/>
                <w:szCs w:val="1"/>
                <w:color w:val="auto"/>
              </w:rPr>
            </w:pPr>
          </w:p>
        </w:tc>
      </w:tr>
      <w:tr>
        <w:trPr>
          <w:trHeight w:val="59"/>
        </w:trPr>
        <w:tc>
          <w:tcPr>
            <w:tcW w:w="2900" w:type="dxa"/>
            <w:vAlign w:val="bottom"/>
            <w:tcBorders>
              <w:right w:val="single" w:sz="8" w:color="B2B2B2"/>
            </w:tcBorders>
            <w:vMerge w:val="restart"/>
          </w:tcPr>
          <w:p>
            <w:pPr>
              <w:ind w:left="140"/>
              <w:spacing w:after="0" w:line="155" w:lineRule="exact"/>
              <w:rPr>
                <w:sz w:val="20"/>
                <w:szCs w:val="20"/>
                <w:color w:val="auto"/>
              </w:rPr>
            </w:pPr>
            <w:r>
              <w:rPr>
                <w:rFonts w:ascii="Arial" w:cs="Arial" w:eastAsia="Arial" w:hAnsi="Arial"/>
                <w:sz w:val="14"/>
                <w:szCs w:val="14"/>
                <w:color w:val="auto"/>
              </w:rPr>
              <w:t>  General Counsel, and</w:t>
            </w:r>
          </w:p>
        </w:tc>
        <w:tc>
          <w:tcPr>
            <w:tcW w:w="920" w:type="dxa"/>
            <w:vAlign w:val="bottom"/>
            <w:tcBorders>
              <w:bottom w:val="single" w:sz="8" w:color="B2B2B2"/>
              <w:right w:val="single" w:sz="8" w:color="B2B2B2"/>
            </w:tcBorders>
          </w:tcPr>
          <w:p>
            <w:pPr>
              <w:spacing w:after="0"/>
              <w:rPr>
                <w:sz w:val="5"/>
                <w:szCs w:val="5"/>
                <w:color w:val="auto"/>
              </w:rPr>
            </w:pPr>
          </w:p>
        </w:tc>
        <w:tc>
          <w:tcPr>
            <w:tcW w:w="820" w:type="dxa"/>
            <w:vAlign w:val="bottom"/>
            <w:tcBorders>
              <w:bottom w:val="single" w:sz="8" w:color="B2B2B2"/>
              <w:right w:val="single" w:sz="8" w:color="B2B2B2"/>
            </w:tcBorders>
          </w:tcPr>
          <w:p>
            <w:pPr>
              <w:spacing w:after="0"/>
              <w:rPr>
                <w:sz w:val="5"/>
                <w:szCs w:val="5"/>
                <w:color w:val="auto"/>
              </w:rPr>
            </w:pPr>
          </w:p>
        </w:tc>
        <w:tc>
          <w:tcPr>
            <w:tcW w:w="800" w:type="dxa"/>
            <w:vAlign w:val="bottom"/>
            <w:tcBorders>
              <w:bottom w:val="single" w:sz="8" w:color="B2B2B2"/>
              <w:right w:val="single" w:sz="8" w:color="B2B2B2"/>
            </w:tcBorders>
          </w:tcPr>
          <w:p>
            <w:pPr>
              <w:spacing w:after="0"/>
              <w:rPr>
                <w:sz w:val="5"/>
                <w:szCs w:val="5"/>
                <w:color w:val="auto"/>
              </w:rPr>
            </w:pPr>
          </w:p>
        </w:tc>
        <w:tc>
          <w:tcPr>
            <w:tcW w:w="820" w:type="dxa"/>
            <w:vAlign w:val="bottom"/>
            <w:tcBorders>
              <w:bottom w:val="single" w:sz="8" w:color="B2B2B2"/>
              <w:right w:val="single" w:sz="8" w:color="B2B2B2"/>
            </w:tcBorders>
          </w:tcPr>
          <w:p>
            <w:pPr>
              <w:spacing w:after="0"/>
              <w:rPr>
                <w:sz w:val="5"/>
                <w:szCs w:val="5"/>
                <w:color w:val="auto"/>
              </w:rPr>
            </w:pPr>
          </w:p>
        </w:tc>
        <w:tc>
          <w:tcPr>
            <w:tcW w:w="1840" w:type="dxa"/>
            <w:vAlign w:val="bottom"/>
            <w:tcBorders>
              <w:bottom w:val="single" w:sz="8" w:color="B2B2B2"/>
              <w:right w:val="single" w:sz="8" w:color="B2B2B2"/>
            </w:tcBorders>
          </w:tcPr>
          <w:p>
            <w:pPr>
              <w:spacing w:after="0"/>
              <w:rPr>
                <w:sz w:val="5"/>
                <w:szCs w:val="5"/>
                <w:color w:val="auto"/>
              </w:rPr>
            </w:pPr>
          </w:p>
        </w:tc>
        <w:tc>
          <w:tcPr>
            <w:tcW w:w="1620" w:type="dxa"/>
            <w:vAlign w:val="bottom"/>
            <w:tcBorders>
              <w:bottom w:val="single" w:sz="8" w:color="B2B2B2"/>
              <w:right w:val="single" w:sz="8" w:color="B2B2B2"/>
            </w:tcBorders>
          </w:tcPr>
          <w:p>
            <w:pPr>
              <w:spacing w:after="0"/>
              <w:rPr>
                <w:sz w:val="5"/>
                <w:szCs w:val="5"/>
                <w:color w:val="auto"/>
              </w:rPr>
            </w:pPr>
          </w:p>
        </w:tc>
        <w:tc>
          <w:tcPr>
            <w:tcW w:w="84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900" w:type="dxa"/>
            <w:vAlign w:val="bottom"/>
            <w:tcBorders>
              <w:right w:val="single" w:sz="8" w:color="B2B2B2"/>
            </w:tcBorders>
            <w:vMerge w:val="continue"/>
          </w:tcPr>
          <w:p>
            <w:pPr>
              <w:spacing w:after="0"/>
              <w:rPr>
                <w:sz w:val="6"/>
                <w:szCs w:val="6"/>
                <w:color w:val="auto"/>
              </w:rPr>
            </w:pPr>
          </w:p>
        </w:tc>
        <w:tc>
          <w:tcPr>
            <w:tcW w:w="920" w:type="dxa"/>
            <w:vAlign w:val="bottom"/>
            <w:tcBorders>
              <w:right w:val="single" w:sz="8" w:color="B2B2B2"/>
            </w:tcBorders>
            <w:vMerge w:val="restart"/>
          </w:tcPr>
          <w:p>
            <w:pPr>
              <w:ind w:left="320"/>
              <w:spacing w:after="0"/>
              <w:rPr>
                <w:sz w:val="20"/>
                <w:szCs w:val="20"/>
                <w:color w:val="auto"/>
              </w:rPr>
            </w:pPr>
            <w:r>
              <w:rPr>
                <w:rFonts w:ascii="Arial" w:cs="Arial" w:eastAsia="Arial" w:hAnsi="Arial"/>
                <w:sz w:val="14"/>
                <w:szCs w:val="14"/>
                <w:color w:val="auto"/>
              </w:rPr>
              <w:t>2025</w:t>
            </w:r>
          </w:p>
        </w:tc>
        <w:tc>
          <w:tcPr>
            <w:tcW w:w="820" w:type="dxa"/>
            <w:vAlign w:val="bottom"/>
            <w:tcBorders>
              <w:right w:val="single" w:sz="8" w:color="B2B2B2"/>
            </w:tcBorders>
            <w:vMerge w:val="restart"/>
          </w:tcPr>
          <w:p>
            <w:pPr>
              <w:jc w:val="right"/>
              <w:ind w:right="11"/>
              <w:spacing w:after="0"/>
              <w:rPr>
                <w:sz w:val="20"/>
                <w:szCs w:val="20"/>
                <w:color w:val="auto"/>
              </w:rPr>
            </w:pPr>
            <w:r>
              <w:rPr>
                <w:rFonts w:ascii="Arial" w:cs="Arial" w:eastAsia="Arial" w:hAnsi="Arial"/>
                <w:sz w:val="14"/>
                <w:szCs w:val="14"/>
                <w:color w:val="auto"/>
              </w:rPr>
              <w:t>553,511</w:t>
            </w:r>
          </w:p>
        </w:tc>
        <w:tc>
          <w:tcPr>
            <w:tcW w:w="80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auto"/>
              </w:rPr>
              <w:t>943,248</w:t>
            </w:r>
          </w:p>
        </w:tc>
        <w:tc>
          <w:tcPr>
            <w:tcW w:w="82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auto"/>
              </w:rPr>
              <w:t>1,048,789</w:t>
            </w:r>
          </w:p>
        </w:tc>
        <w:tc>
          <w:tcPr>
            <w:tcW w:w="1840" w:type="dxa"/>
            <w:vAlign w:val="bottom"/>
            <w:tcBorders>
              <w:right w:val="single" w:sz="8" w:color="B2B2B2"/>
            </w:tcBorders>
            <w:vMerge w:val="restart"/>
          </w:tcPr>
          <w:p>
            <w:pPr>
              <w:jc w:val="right"/>
              <w:ind w:right="511"/>
              <w:spacing w:after="0"/>
              <w:rPr>
                <w:sz w:val="20"/>
                <w:szCs w:val="20"/>
                <w:color w:val="auto"/>
              </w:rPr>
            </w:pPr>
            <w:r>
              <w:rPr>
                <w:rFonts w:ascii="Arial" w:cs="Arial" w:eastAsia="Arial" w:hAnsi="Arial"/>
                <w:sz w:val="14"/>
                <w:szCs w:val="14"/>
                <w:color w:val="auto"/>
              </w:rPr>
              <w:t>376,346</w:t>
            </w:r>
          </w:p>
        </w:tc>
        <w:tc>
          <w:tcPr>
            <w:tcW w:w="1620" w:type="dxa"/>
            <w:vAlign w:val="bottom"/>
            <w:tcBorders>
              <w:right w:val="single" w:sz="8" w:color="B2B2B2"/>
            </w:tcBorders>
            <w:vMerge w:val="restart"/>
          </w:tcPr>
          <w:p>
            <w:pPr>
              <w:jc w:val="right"/>
              <w:ind w:right="511"/>
              <w:spacing w:after="0"/>
              <w:rPr>
                <w:sz w:val="20"/>
                <w:szCs w:val="20"/>
                <w:color w:val="auto"/>
              </w:rPr>
            </w:pPr>
            <w:r>
              <w:rPr>
                <w:rFonts w:ascii="Arial" w:cs="Arial" w:eastAsia="Arial" w:hAnsi="Arial"/>
                <w:sz w:val="14"/>
                <w:szCs w:val="14"/>
                <w:color w:val="auto"/>
              </w:rPr>
              <w:t>13,935</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2,935,829</w:t>
            </w:r>
          </w:p>
        </w:tc>
        <w:tc>
          <w:tcPr>
            <w:tcW w:w="0" w:type="dxa"/>
            <w:vAlign w:val="bottom"/>
          </w:tcPr>
          <w:p>
            <w:pPr>
              <w:spacing w:after="0"/>
              <w:rPr>
                <w:sz w:val="1"/>
                <w:szCs w:val="1"/>
                <w:color w:val="auto"/>
              </w:rPr>
            </w:pPr>
          </w:p>
        </w:tc>
      </w:tr>
      <w:tr>
        <w:trPr>
          <w:trHeight w:val="98"/>
        </w:trPr>
        <w:tc>
          <w:tcPr>
            <w:tcW w:w="2900" w:type="dxa"/>
            <w:vAlign w:val="bottom"/>
            <w:tcBorders>
              <w:right w:val="single" w:sz="8" w:color="B2B2B2"/>
            </w:tcBorders>
            <w:vMerge w:val="restart"/>
          </w:tcPr>
          <w:p>
            <w:pPr>
              <w:ind w:left="140"/>
              <w:spacing w:after="0" w:line="117" w:lineRule="exact"/>
              <w:rPr>
                <w:sz w:val="20"/>
                <w:szCs w:val="20"/>
                <w:color w:val="auto"/>
              </w:rPr>
            </w:pPr>
            <w:r>
              <w:rPr>
                <w:rFonts w:ascii="Arial" w:cs="Arial" w:eastAsia="Arial" w:hAnsi="Arial"/>
                <w:sz w:val="13"/>
                <w:szCs w:val="13"/>
                <w:color w:val="auto"/>
              </w:rPr>
              <w:t>  Company Secretary</w:t>
            </w:r>
          </w:p>
        </w:tc>
        <w:tc>
          <w:tcPr>
            <w:tcW w:w="920" w:type="dxa"/>
            <w:vAlign w:val="bottom"/>
            <w:tcBorders>
              <w:right w:val="single" w:sz="8" w:color="B2B2B2"/>
            </w:tcBorders>
            <w:vMerge w:val="continue"/>
          </w:tcPr>
          <w:p>
            <w:pPr>
              <w:spacing w:after="0"/>
              <w:rPr>
                <w:sz w:val="8"/>
                <w:szCs w:val="8"/>
                <w:color w:val="auto"/>
              </w:rPr>
            </w:pPr>
          </w:p>
        </w:tc>
        <w:tc>
          <w:tcPr>
            <w:tcW w:w="820" w:type="dxa"/>
            <w:vAlign w:val="bottom"/>
            <w:tcBorders>
              <w:right w:val="single" w:sz="8" w:color="B2B2B2"/>
            </w:tcBorders>
            <w:vMerge w:val="continue"/>
          </w:tcPr>
          <w:p>
            <w:pPr>
              <w:spacing w:after="0"/>
              <w:rPr>
                <w:sz w:val="8"/>
                <w:szCs w:val="8"/>
                <w:color w:val="auto"/>
              </w:rPr>
            </w:pPr>
          </w:p>
        </w:tc>
        <w:tc>
          <w:tcPr>
            <w:tcW w:w="800" w:type="dxa"/>
            <w:vAlign w:val="bottom"/>
            <w:tcBorders>
              <w:right w:val="single" w:sz="8" w:color="B2B2B2"/>
            </w:tcBorders>
            <w:vMerge w:val="continue"/>
          </w:tcPr>
          <w:p>
            <w:pPr>
              <w:spacing w:after="0"/>
              <w:rPr>
                <w:sz w:val="8"/>
                <w:szCs w:val="8"/>
                <w:color w:val="auto"/>
              </w:rPr>
            </w:pPr>
          </w:p>
        </w:tc>
        <w:tc>
          <w:tcPr>
            <w:tcW w:w="820" w:type="dxa"/>
            <w:vAlign w:val="bottom"/>
            <w:tcBorders>
              <w:right w:val="single" w:sz="8" w:color="B2B2B2"/>
            </w:tcBorders>
            <w:vMerge w:val="continue"/>
          </w:tcPr>
          <w:p>
            <w:pPr>
              <w:spacing w:after="0"/>
              <w:rPr>
                <w:sz w:val="8"/>
                <w:szCs w:val="8"/>
                <w:color w:val="auto"/>
              </w:rPr>
            </w:pPr>
          </w:p>
        </w:tc>
        <w:tc>
          <w:tcPr>
            <w:tcW w:w="1840" w:type="dxa"/>
            <w:vAlign w:val="bottom"/>
            <w:tcBorders>
              <w:right w:val="single" w:sz="8" w:color="B2B2B2"/>
            </w:tcBorders>
            <w:vMerge w:val="continue"/>
          </w:tcPr>
          <w:p>
            <w:pPr>
              <w:spacing w:after="0"/>
              <w:rPr>
                <w:sz w:val="8"/>
                <w:szCs w:val="8"/>
                <w:color w:val="auto"/>
              </w:rPr>
            </w:pPr>
          </w:p>
        </w:tc>
        <w:tc>
          <w:tcPr>
            <w:tcW w:w="1620" w:type="dxa"/>
            <w:vAlign w:val="bottom"/>
            <w:tcBorders>
              <w:right w:val="single" w:sz="8" w:color="B2B2B2"/>
            </w:tcBorders>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900" w:type="dxa"/>
            <w:vAlign w:val="bottom"/>
            <w:tcBorders>
              <w:right w:val="single" w:sz="8" w:color="B2B2B2"/>
            </w:tcBorders>
            <w:vMerge w:val="continue"/>
          </w:tcPr>
          <w:p>
            <w:pPr>
              <w:spacing w:after="0"/>
              <w:rPr>
                <w:sz w:val="2"/>
                <w:szCs w:val="2"/>
                <w:color w:val="auto"/>
              </w:rPr>
            </w:pPr>
          </w:p>
        </w:tc>
        <w:tc>
          <w:tcPr>
            <w:tcW w:w="920" w:type="dxa"/>
            <w:vAlign w:val="bottom"/>
            <w:tcBorders>
              <w:bottom w:val="single" w:sz="8" w:color="B2B2B2"/>
              <w:right w:val="single" w:sz="8" w:color="B2B2B2"/>
            </w:tcBorders>
          </w:tcPr>
          <w:p>
            <w:pPr>
              <w:spacing w:after="0"/>
              <w:rPr>
                <w:sz w:val="2"/>
                <w:szCs w:val="2"/>
                <w:color w:val="auto"/>
              </w:rPr>
            </w:pPr>
          </w:p>
        </w:tc>
        <w:tc>
          <w:tcPr>
            <w:tcW w:w="82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820" w:type="dxa"/>
            <w:vAlign w:val="bottom"/>
            <w:tcBorders>
              <w:bottom w:val="single" w:sz="8" w:color="B2B2B2"/>
              <w:right w:val="single" w:sz="8" w:color="B2B2B2"/>
            </w:tcBorders>
          </w:tcPr>
          <w:p>
            <w:pPr>
              <w:spacing w:after="0"/>
              <w:rPr>
                <w:sz w:val="2"/>
                <w:szCs w:val="2"/>
                <w:color w:val="auto"/>
              </w:rPr>
            </w:pPr>
          </w:p>
        </w:tc>
        <w:tc>
          <w:tcPr>
            <w:tcW w:w="1840" w:type="dxa"/>
            <w:vAlign w:val="bottom"/>
            <w:tcBorders>
              <w:bottom w:val="single" w:sz="8" w:color="B2B2B2"/>
              <w:right w:val="single" w:sz="8" w:color="B2B2B2"/>
            </w:tcBorders>
          </w:tcPr>
          <w:p>
            <w:pPr>
              <w:spacing w:after="0"/>
              <w:rPr>
                <w:sz w:val="2"/>
                <w:szCs w:val="2"/>
                <w:color w:val="auto"/>
              </w:rPr>
            </w:pPr>
          </w:p>
        </w:tc>
        <w:tc>
          <w:tcPr>
            <w:tcW w:w="1620" w:type="dxa"/>
            <w:vAlign w:val="bottom"/>
            <w:tcBorders>
              <w:bottom w:val="single" w:sz="8" w:color="B2B2B2"/>
              <w:right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900" w:type="dxa"/>
            <w:vAlign w:val="bottom"/>
            <w:tcBorders>
              <w:right w:val="single" w:sz="8" w:color="B2B2B2"/>
            </w:tcBorders>
          </w:tcPr>
          <w:p>
            <w:pPr>
              <w:spacing w:after="0"/>
              <w:rPr>
                <w:sz w:val="17"/>
                <w:szCs w:val="17"/>
                <w:color w:val="auto"/>
              </w:rPr>
            </w:pPr>
          </w:p>
        </w:tc>
        <w:tc>
          <w:tcPr>
            <w:tcW w:w="920" w:type="dxa"/>
            <w:vAlign w:val="bottom"/>
            <w:tcBorders>
              <w:right w:val="single" w:sz="8" w:color="B2B2B2"/>
            </w:tcBorders>
          </w:tcPr>
          <w:p>
            <w:pPr>
              <w:ind w:left="320"/>
              <w:spacing w:after="0"/>
              <w:rPr>
                <w:sz w:val="20"/>
                <w:szCs w:val="20"/>
                <w:color w:val="auto"/>
              </w:rPr>
            </w:pPr>
            <w:r>
              <w:rPr>
                <w:rFonts w:ascii="Arial" w:cs="Arial" w:eastAsia="Arial" w:hAnsi="Arial"/>
                <w:sz w:val="14"/>
                <w:szCs w:val="14"/>
                <w:color w:val="auto"/>
              </w:rPr>
              <w:t>2024</w:t>
            </w:r>
          </w:p>
        </w:tc>
        <w:tc>
          <w:tcPr>
            <w:tcW w:w="820" w:type="dxa"/>
            <w:vAlign w:val="bottom"/>
            <w:tcBorders>
              <w:right w:val="single" w:sz="8" w:color="B2B2B2"/>
            </w:tcBorders>
          </w:tcPr>
          <w:p>
            <w:pPr>
              <w:jc w:val="right"/>
              <w:ind w:right="11"/>
              <w:spacing w:after="0"/>
              <w:rPr>
                <w:sz w:val="20"/>
                <w:szCs w:val="20"/>
                <w:color w:val="auto"/>
              </w:rPr>
            </w:pPr>
            <w:r>
              <w:rPr>
                <w:rFonts w:ascii="Arial" w:cs="Arial" w:eastAsia="Arial" w:hAnsi="Arial"/>
                <w:sz w:val="14"/>
                <w:szCs w:val="14"/>
                <w:color w:val="auto"/>
              </w:rPr>
              <w:t>536,475</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694,096</w:t>
            </w:r>
          </w:p>
        </w:tc>
        <w:tc>
          <w:tcPr>
            <w:tcW w:w="82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1,041,206</w:t>
            </w:r>
          </w:p>
        </w:tc>
        <w:tc>
          <w:tcPr>
            <w:tcW w:w="184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350,896</w:t>
            </w:r>
          </w:p>
        </w:tc>
        <w:tc>
          <w:tcPr>
            <w:tcW w:w="162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11,742</w:t>
            </w:r>
          </w:p>
        </w:tc>
        <w:tc>
          <w:tcPr>
            <w:tcW w:w="840" w:type="dxa"/>
            <w:vAlign w:val="bottom"/>
          </w:tcPr>
          <w:p>
            <w:pPr>
              <w:jc w:val="right"/>
              <w:spacing w:after="0"/>
              <w:rPr>
                <w:sz w:val="20"/>
                <w:szCs w:val="20"/>
                <w:color w:val="auto"/>
              </w:rPr>
            </w:pPr>
            <w:r>
              <w:rPr>
                <w:rFonts w:ascii="Arial" w:cs="Arial" w:eastAsia="Arial" w:hAnsi="Arial"/>
                <w:sz w:val="14"/>
                <w:szCs w:val="14"/>
                <w:color w:val="auto"/>
              </w:rPr>
              <w:t>2,634,415</w:t>
            </w:r>
          </w:p>
        </w:tc>
        <w:tc>
          <w:tcPr>
            <w:tcW w:w="0" w:type="dxa"/>
            <w:vAlign w:val="bottom"/>
          </w:tcPr>
          <w:p>
            <w:pPr>
              <w:spacing w:after="0"/>
              <w:rPr>
                <w:sz w:val="1"/>
                <w:szCs w:val="1"/>
                <w:color w:val="auto"/>
              </w:rPr>
            </w:pPr>
          </w:p>
        </w:tc>
      </w:tr>
      <w:tr>
        <w:trPr>
          <w:trHeight w:val="239"/>
        </w:trPr>
        <w:tc>
          <w:tcPr>
            <w:tcW w:w="2900" w:type="dxa"/>
            <w:vAlign w:val="bottom"/>
            <w:tcBorders>
              <w:bottom w:val="single" w:sz="8" w:color="E2EEFA"/>
              <w:right w:val="single" w:sz="8" w:color="E2EEFA"/>
            </w:tcBorders>
            <w:shd w:val="clear" w:color="auto" w:fill="E2EEFA"/>
          </w:tcPr>
          <w:p>
            <w:pPr>
              <w:spacing w:after="0"/>
              <w:rPr>
                <w:sz w:val="20"/>
                <w:szCs w:val="20"/>
                <w:color w:val="auto"/>
              </w:rPr>
            </w:pPr>
            <w:r>
              <w:rPr>
                <w:rFonts w:ascii="Arial" w:cs="Arial" w:eastAsia="Arial" w:hAnsi="Arial"/>
                <w:sz w:val="14"/>
                <w:szCs w:val="14"/>
                <w:color w:val="auto"/>
              </w:rPr>
              <w:t>  Cary L. Majors</w:t>
            </w:r>
          </w:p>
        </w:tc>
        <w:tc>
          <w:tcPr>
            <w:tcW w:w="920" w:type="dxa"/>
            <w:vAlign w:val="bottom"/>
            <w:tcBorders>
              <w:bottom w:val="single" w:sz="8" w:color="E2EEFA"/>
              <w:right w:val="single" w:sz="8" w:color="E2EEFA"/>
            </w:tcBorders>
            <w:shd w:val="clear" w:color="auto" w:fill="E2EEFA"/>
          </w:tcPr>
          <w:p>
            <w:pPr>
              <w:spacing w:after="0"/>
              <w:rPr>
                <w:sz w:val="20"/>
                <w:szCs w:val="20"/>
                <w:color w:val="auto"/>
              </w:rPr>
            </w:pPr>
          </w:p>
        </w:tc>
        <w:tc>
          <w:tcPr>
            <w:tcW w:w="820" w:type="dxa"/>
            <w:vAlign w:val="bottom"/>
            <w:tcBorders>
              <w:bottom w:val="single" w:sz="8" w:color="E2EEFA"/>
              <w:right w:val="single" w:sz="8" w:color="E2EEFA"/>
            </w:tcBorders>
            <w:shd w:val="clear" w:color="auto" w:fill="E2EEFA"/>
          </w:tcPr>
          <w:p>
            <w:pPr>
              <w:spacing w:after="0"/>
              <w:rPr>
                <w:sz w:val="20"/>
                <w:szCs w:val="20"/>
                <w:color w:val="auto"/>
              </w:rPr>
            </w:pPr>
          </w:p>
        </w:tc>
        <w:tc>
          <w:tcPr>
            <w:tcW w:w="800" w:type="dxa"/>
            <w:vAlign w:val="bottom"/>
            <w:tcBorders>
              <w:bottom w:val="single" w:sz="8" w:color="E2EEFA"/>
              <w:right w:val="single" w:sz="8" w:color="E2EEFA"/>
            </w:tcBorders>
            <w:shd w:val="clear" w:color="auto" w:fill="E2EEFA"/>
          </w:tcPr>
          <w:p>
            <w:pPr>
              <w:spacing w:after="0"/>
              <w:rPr>
                <w:sz w:val="20"/>
                <w:szCs w:val="20"/>
                <w:color w:val="auto"/>
              </w:rPr>
            </w:pPr>
          </w:p>
        </w:tc>
        <w:tc>
          <w:tcPr>
            <w:tcW w:w="820" w:type="dxa"/>
            <w:vAlign w:val="bottom"/>
            <w:tcBorders>
              <w:bottom w:val="single" w:sz="8" w:color="E2EEFA"/>
              <w:right w:val="single" w:sz="8" w:color="E2EEFA"/>
            </w:tcBorders>
            <w:shd w:val="clear" w:color="auto" w:fill="E2EEFA"/>
          </w:tcPr>
          <w:p>
            <w:pPr>
              <w:spacing w:after="0"/>
              <w:rPr>
                <w:sz w:val="20"/>
                <w:szCs w:val="20"/>
                <w:color w:val="auto"/>
              </w:rPr>
            </w:pPr>
          </w:p>
        </w:tc>
        <w:tc>
          <w:tcPr>
            <w:tcW w:w="1840" w:type="dxa"/>
            <w:vAlign w:val="bottom"/>
            <w:tcBorders>
              <w:bottom w:val="single" w:sz="8" w:color="E2EEFA"/>
              <w:right w:val="single" w:sz="8" w:color="E2EEFA"/>
            </w:tcBorders>
            <w:shd w:val="clear" w:color="auto" w:fill="E2EEFA"/>
          </w:tcPr>
          <w:p>
            <w:pPr>
              <w:spacing w:after="0"/>
              <w:rPr>
                <w:sz w:val="20"/>
                <w:szCs w:val="20"/>
                <w:color w:val="auto"/>
              </w:rPr>
            </w:pPr>
          </w:p>
        </w:tc>
        <w:tc>
          <w:tcPr>
            <w:tcW w:w="1620" w:type="dxa"/>
            <w:vAlign w:val="bottom"/>
            <w:tcBorders>
              <w:bottom w:val="single" w:sz="8" w:color="E2EEFA"/>
              <w:right w:val="single" w:sz="8" w:color="E2EEFA"/>
            </w:tcBorders>
            <w:shd w:val="clear" w:color="auto" w:fill="E2EEFA"/>
          </w:tcPr>
          <w:p>
            <w:pPr>
              <w:spacing w:after="0"/>
              <w:rPr>
                <w:sz w:val="20"/>
                <w:szCs w:val="20"/>
                <w:color w:val="auto"/>
              </w:rPr>
            </w:pPr>
          </w:p>
        </w:tc>
        <w:tc>
          <w:tcPr>
            <w:tcW w:w="840" w:type="dxa"/>
            <w:vAlign w:val="bottom"/>
            <w:tcBorders>
              <w:bottom w:val="single" w:sz="8" w:color="E2EEFA"/>
            </w:tcBorders>
            <w:shd w:val="clear" w:color="auto" w:fill="E2EEFA"/>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900" w:type="dxa"/>
            <w:vAlign w:val="bottom"/>
            <w:tcBorders>
              <w:right w:val="single" w:sz="8" w:color="B2B2B2"/>
            </w:tcBorders>
          </w:tcPr>
          <w:p>
            <w:pPr>
              <w:ind w:left="140"/>
              <w:spacing w:after="0"/>
              <w:rPr>
                <w:sz w:val="20"/>
                <w:szCs w:val="20"/>
                <w:color w:val="auto"/>
              </w:rPr>
            </w:pPr>
            <w:r>
              <w:rPr>
                <w:rFonts w:ascii="Arial" w:cs="Arial" w:eastAsia="Arial" w:hAnsi="Arial"/>
                <w:sz w:val="14"/>
                <w:szCs w:val="14"/>
                <w:color w:val="auto"/>
              </w:rPr>
              <w:t>  Senior Vice President</w:t>
            </w:r>
          </w:p>
        </w:tc>
        <w:tc>
          <w:tcPr>
            <w:tcW w:w="920" w:type="dxa"/>
            <w:vAlign w:val="bottom"/>
            <w:tcBorders>
              <w:right w:val="single" w:sz="8" w:color="B2B2B2"/>
            </w:tcBorders>
          </w:tcPr>
          <w:p>
            <w:pPr>
              <w:ind w:left="320"/>
              <w:spacing w:after="0"/>
              <w:rPr>
                <w:sz w:val="20"/>
                <w:szCs w:val="20"/>
                <w:color w:val="auto"/>
              </w:rPr>
            </w:pPr>
            <w:r>
              <w:rPr>
                <w:rFonts w:ascii="Arial" w:cs="Arial" w:eastAsia="Arial" w:hAnsi="Arial"/>
                <w:sz w:val="14"/>
                <w:szCs w:val="14"/>
                <w:color w:val="auto"/>
              </w:rPr>
              <w:t>2026</w:t>
            </w:r>
          </w:p>
        </w:tc>
        <w:tc>
          <w:tcPr>
            <w:tcW w:w="820" w:type="dxa"/>
            <w:vAlign w:val="bottom"/>
            <w:tcBorders>
              <w:right w:val="single" w:sz="8" w:color="B2B2B2"/>
            </w:tcBorders>
          </w:tcPr>
          <w:p>
            <w:pPr>
              <w:jc w:val="right"/>
              <w:ind w:right="11"/>
              <w:spacing w:after="0"/>
              <w:rPr>
                <w:sz w:val="20"/>
                <w:szCs w:val="20"/>
                <w:color w:val="auto"/>
              </w:rPr>
            </w:pPr>
            <w:r>
              <w:rPr>
                <w:rFonts w:ascii="Arial" w:cs="Arial" w:eastAsia="Arial" w:hAnsi="Arial"/>
                <w:sz w:val="14"/>
                <w:szCs w:val="14"/>
                <w:color w:val="auto"/>
              </w:rPr>
              <w:t>537,115</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711,010</w:t>
            </w:r>
          </w:p>
        </w:tc>
        <w:tc>
          <w:tcPr>
            <w:tcW w:w="82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711,242</w:t>
            </w:r>
          </w:p>
        </w:tc>
        <w:tc>
          <w:tcPr>
            <w:tcW w:w="184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473,535</w:t>
            </w:r>
          </w:p>
        </w:tc>
        <w:tc>
          <w:tcPr>
            <w:tcW w:w="162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17,522</w:t>
            </w:r>
          </w:p>
        </w:tc>
        <w:tc>
          <w:tcPr>
            <w:tcW w:w="840" w:type="dxa"/>
            <w:vAlign w:val="bottom"/>
          </w:tcPr>
          <w:p>
            <w:pPr>
              <w:jc w:val="right"/>
              <w:spacing w:after="0"/>
              <w:rPr>
                <w:sz w:val="20"/>
                <w:szCs w:val="20"/>
                <w:color w:val="auto"/>
              </w:rPr>
            </w:pPr>
            <w:r>
              <w:rPr>
                <w:rFonts w:ascii="Arial" w:cs="Arial" w:eastAsia="Arial" w:hAnsi="Arial"/>
                <w:sz w:val="14"/>
                <w:szCs w:val="14"/>
                <w:color w:val="auto"/>
              </w:rPr>
              <w:t>2,450,424</w:t>
            </w:r>
          </w:p>
        </w:tc>
        <w:tc>
          <w:tcPr>
            <w:tcW w:w="0" w:type="dxa"/>
            <w:vAlign w:val="bottom"/>
          </w:tcPr>
          <w:p>
            <w:pPr>
              <w:spacing w:after="0"/>
              <w:rPr>
                <w:sz w:val="1"/>
                <w:szCs w:val="1"/>
                <w:color w:val="auto"/>
              </w:rPr>
            </w:pPr>
          </w:p>
        </w:tc>
      </w:tr>
      <w:tr>
        <w:trPr>
          <w:trHeight w:val="59"/>
        </w:trPr>
        <w:tc>
          <w:tcPr>
            <w:tcW w:w="2900" w:type="dxa"/>
            <w:vAlign w:val="bottom"/>
            <w:tcBorders>
              <w:right w:val="single" w:sz="8" w:color="B2B2B2"/>
            </w:tcBorders>
            <w:vMerge w:val="restart"/>
          </w:tcPr>
          <w:p>
            <w:pPr>
              <w:ind w:left="140"/>
              <w:spacing w:after="0" w:line="155" w:lineRule="exact"/>
              <w:rPr>
                <w:sz w:val="20"/>
                <w:szCs w:val="20"/>
                <w:color w:val="auto"/>
              </w:rPr>
            </w:pPr>
            <w:r>
              <w:rPr>
                <w:rFonts w:ascii="Arial" w:cs="Arial" w:eastAsia="Arial" w:hAnsi="Arial"/>
                <w:sz w:val="14"/>
                <w:szCs w:val="14"/>
                <w:color w:val="auto"/>
              </w:rPr>
              <w:t>  and President,</w:t>
            </w:r>
          </w:p>
        </w:tc>
        <w:tc>
          <w:tcPr>
            <w:tcW w:w="920" w:type="dxa"/>
            <w:vAlign w:val="bottom"/>
            <w:tcBorders>
              <w:bottom w:val="single" w:sz="8" w:color="B2B2B2"/>
              <w:right w:val="single" w:sz="8" w:color="B2B2B2"/>
            </w:tcBorders>
          </w:tcPr>
          <w:p>
            <w:pPr>
              <w:spacing w:after="0"/>
              <w:rPr>
                <w:sz w:val="5"/>
                <w:szCs w:val="5"/>
                <w:color w:val="auto"/>
              </w:rPr>
            </w:pPr>
          </w:p>
        </w:tc>
        <w:tc>
          <w:tcPr>
            <w:tcW w:w="820" w:type="dxa"/>
            <w:vAlign w:val="bottom"/>
            <w:tcBorders>
              <w:bottom w:val="single" w:sz="8" w:color="B2B2B2"/>
              <w:right w:val="single" w:sz="8" w:color="B2B2B2"/>
            </w:tcBorders>
          </w:tcPr>
          <w:p>
            <w:pPr>
              <w:spacing w:after="0"/>
              <w:rPr>
                <w:sz w:val="5"/>
                <w:szCs w:val="5"/>
                <w:color w:val="auto"/>
              </w:rPr>
            </w:pPr>
          </w:p>
        </w:tc>
        <w:tc>
          <w:tcPr>
            <w:tcW w:w="800" w:type="dxa"/>
            <w:vAlign w:val="bottom"/>
            <w:tcBorders>
              <w:bottom w:val="single" w:sz="8" w:color="B2B2B2"/>
              <w:right w:val="single" w:sz="8" w:color="B2B2B2"/>
            </w:tcBorders>
          </w:tcPr>
          <w:p>
            <w:pPr>
              <w:spacing w:after="0"/>
              <w:rPr>
                <w:sz w:val="5"/>
                <w:szCs w:val="5"/>
                <w:color w:val="auto"/>
              </w:rPr>
            </w:pPr>
          </w:p>
        </w:tc>
        <w:tc>
          <w:tcPr>
            <w:tcW w:w="820" w:type="dxa"/>
            <w:vAlign w:val="bottom"/>
            <w:tcBorders>
              <w:bottom w:val="single" w:sz="8" w:color="B2B2B2"/>
              <w:right w:val="single" w:sz="8" w:color="B2B2B2"/>
            </w:tcBorders>
          </w:tcPr>
          <w:p>
            <w:pPr>
              <w:spacing w:after="0"/>
              <w:rPr>
                <w:sz w:val="5"/>
                <w:szCs w:val="5"/>
                <w:color w:val="auto"/>
              </w:rPr>
            </w:pPr>
          </w:p>
        </w:tc>
        <w:tc>
          <w:tcPr>
            <w:tcW w:w="1840" w:type="dxa"/>
            <w:vAlign w:val="bottom"/>
            <w:tcBorders>
              <w:bottom w:val="single" w:sz="8" w:color="B2B2B2"/>
              <w:right w:val="single" w:sz="8" w:color="B2B2B2"/>
            </w:tcBorders>
          </w:tcPr>
          <w:p>
            <w:pPr>
              <w:spacing w:after="0"/>
              <w:rPr>
                <w:sz w:val="5"/>
                <w:szCs w:val="5"/>
                <w:color w:val="auto"/>
              </w:rPr>
            </w:pPr>
          </w:p>
        </w:tc>
        <w:tc>
          <w:tcPr>
            <w:tcW w:w="1620" w:type="dxa"/>
            <w:vAlign w:val="bottom"/>
            <w:tcBorders>
              <w:bottom w:val="single" w:sz="8" w:color="B2B2B2"/>
              <w:right w:val="single" w:sz="8" w:color="B2B2B2"/>
            </w:tcBorders>
          </w:tcPr>
          <w:p>
            <w:pPr>
              <w:spacing w:after="0"/>
              <w:rPr>
                <w:sz w:val="5"/>
                <w:szCs w:val="5"/>
                <w:color w:val="auto"/>
              </w:rPr>
            </w:pPr>
          </w:p>
        </w:tc>
        <w:tc>
          <w:tcPr>
            <w:tcW w:w="84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900" w:type="dxa"/>
            <w:vAlign w:val="bottom"/>
            <w:tcBorders>
              <w:right w:val="single" w:sz="8" w:color="B2B2B2"/>
            </w:tcBorders>
            <w:vMerge w:val="continue"/>
          </w:tcPr>
          <w:p>
            <w:pPr>
              <w:spacing w:after="0"/>
              <w:rPr>
                <w:sz w:val="6"/>
                <w:szCs w:val="6"/>
                <w:color w:val="auto"/>
              </w:rPr>
            </w:pPr>
          </w:p>
        </w:tc>
        <w:tc>
          <w:tcPr>
            <w:tcW w:w="920" w:type="dxa"/>
            <w:vAlign w:val="bottom"/>
            <w:tcBorders>
              <w:right w:val="single" w:sz="8" w:color="B2B2B2"/>
            </w:tcBorders>
            <w:vMerge w:val="restart"/>
          </w:tcPr>
          <w:p>
            <w:pPr>
              <w:ind w:left="320"/>
              <w:spacing w:after="0"/>
              <w:rPr>
                <w:sz w:val="20"/>
                <w:szCs w:val="20"/>
                <w:color w:val="auto"/>
              </w:rPr>
            </w:pPr>
            <w:r>
              <w:rPr>
                <w:rFonts w:ascii="Arial" w:cs="Arial" w:eastAsia="Arial" w:hAnsi="Arial"/>
                <w:sz w:val="14"/>
                <w:szCs w:val="14"/>
                <w:color w:val="auto"/>
              </w:rPr>
              <w:t>2025</w:t>
            </w:r>
          </w:p>
        </w:tc>
        <w:tc>
          <w:tcPr>
            <w:tcW w:w="820" w:type="dxa"/>
            <w:vAlign w:val="bottom"/>
            <w:tcBorders>
              <w:right w:val="single" w:sz="8" w:color="B2B2B2"/>
            </w:tcBorders>
            <w:vMerge w:val="restart"/>
          </w:tcPr>
          <w:p>
            <w:pPr>
              <w:jc w:val="right"/>
              <w:ind w:right="11"/>
              <w:spacing w:after="0"/>
              <w:rPr>
                <w:sz w:val="20"/>
                <w:szCs w:val="20"/>
                <w:color w:val="auto"/>
              </w:rPr>
            </w:pPr>
            <w:r>
              <w:rPr>
                <w:rFonts w:ascii="Arial" w:cs="Arial" w:eastAsia="Arial" w:hAnsi="Arial"/>
                <w:sz w:val="14"/>
                <w:szCs w:val="14"/>
                <w:color w:val="auto"/>
              </w:rPr>
              <w:t>519,247</w:t>
            </w:r>
          </w:p>
        </w:tc>
        <w:tc>
          <w:tcPr>
            <w:tcW w:w="80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auto"/>
              </w:rPr>
              <w:t>543,602</w:t>
            </w:r>
          </w:p>
        </w:tc>
        <w:tc>
          <w:tcPr>
            <w:tcW w:w="82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auto"/>
              </w:rPr>
              <w:t>815,814</w:t>
            </w:r>
          </w:p>
        </w:tc>
        <w:tc>
          <w:tcPr>
            <w:tcW w:w="1840" w:type="dxa"/>
            <w:vAlign w:val="bottom"/>
            <w:tcBorders>
              <w:right w:val="single" w:sz="8" w:color="B2B2B2"/>
            </w:tcBorders>
            <w:vMerge w:val="restart"/>
          </w:tcPr>
          <w:p>
            <w:pPr>
              <w:jc w:val="right"/>
              <w:ind w:right="511"/>
              <w:spacing w:after="0"/>
              <w:rPr>
                <w:sz w:val="20"/>
                <w:szCs w:val="20"/>
                <w:color w:val="auto"/>
              </w:rPr>
            </w:pPr>
            <w:r>
              <w:rPr>
                <w:rFonts w:ascii="Arial" w:cs="Arial" w:eastAsia="Arial" w:hAnsi="Arial"/>
                <w:sz w:val="14"/>
                <w:szCs w:val="14"/>
                <w:color w:val="auto"/>
              </w:rPr>
              <w:t>330,750</w:t>
            </w:r>
          </w:p>
        </w:tc>
        <w:tc>
          <w:tcPr>
            <w:tcW w:w="1620" w:type="dxa"/>
            <w:vAlign w:val="bottom"/>
            <w:tcBorders>
              <w:right w:val="single" w:sz="8" w:color="B2B2B2"/>
            </w:tcBorders>
            <w:vMerge w:val="restart"/>
          </w:tcPr>
          <w:p>
            <w:pPr>
              <w:jc w:val="right"/>
              <w:ind w:right="511"/>
              <w:spacing w:after="0"/>
              <w:rPr>
                <w:sz w:val="20"/>
                <w:szCs w:val="20"/>
                <w:color w:val="auto"/>
              </w:rPr>
            </w:pPr>
            <w:r>
              <w:rPr>
                <w:rFonts w:ascii="Arial" w:cs="Arial" w:eastAsia="Arial" w:hAnsi="Arial"/>
                <w:sz w:val="14"/>
                <w:szCs w:val="14"/>
                <w:color w:val="auto"/>
              </w:rPr>
              <w:t>11,816</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2,221,229</w:t>
            </w:r>
          </w:p>
        </w:tc>
        <w:tc>
          <w:tcPr>
            <w:tcW w:w="0" w:type="dxa"/>
            <w:vAlign w:val="bottom"/>
          </w:tcPr>
          <w:p>
            <w:pPr>
              <w:spacing w:after="0"/>
              <w:rPr>
                <w:sz w:val="1"/>
                <w:szCs w:val="1"/>
                <w:color w:val="auto"/>
              </w:rPr>
            </w:pPr>
          </w:p>
        </w:tc>
      </w:tr>
      <w:tr>
        <w:trPr>
          <w:trHeight w:val="98"/>
        </w:trPr>
        <w:tc>
          <w:tcPr>
            <w:tcW w:w="2900" w:type="dxa"/>
            <w:vAlign w:val="bottom"/>
            <w:tcBorders>
              <w:right w:val="single" w:sz="8" w:color="B2B2B2"/>
            </w:tcBorders>
            <w:vMerge w:val="restart"/>
          </w:tcPr>
          <w:p>
            <w:pPr>
              <w:ind w:left="140"/>
              <w:spacing w:after="0" w:line="117" w:lineRule="exact"/>
              <w:rPr>
                <w:sz w:val="20"/>
                <w:szCs w:val="20"/>
                <w:color w:val="auto"/>
              </w:rPr>
            </w:pPr>
            <w:r>
              <w:rPr>
                <w:rFonts w:ascii="Arial" w:cs="Arial" w:eastAsia="Arial" w:hAnsi="Arial"/>
                <w:sz w:val="13"/>
                <w:szCs w:val="13"/>
                <w:color w:val="auto"/>
              </w:rPr>
              <w:t>  Healthcare</w:t>
            </w:r>
          </w:p>
        </w:tc>
        <w:tc>
          <w:tcPr>
            <w:tcW w:w="920" w:type="dxa"/>
            <w:vAlign w:val="bottom"/>
            <w:tcBorders>
              <w:right w:val="single" w:sz="8" w:color="B2B2B2"/>
            </w:tcBorders>
            <w:vMerge w:val="continue"/>
          </w:tcPr>
          <w:p>
            <w:pPr>
              <w:spacing w:after="0"/>
              <w:rPr>
                <w:sz w:val="8"/>
                <w:szCs w:val="8"/>
                <w:color w:val="auto"/>
              </w:rPr>
            </w:pPr>
          </w:p>
        </w:tc>
        <w:tc>
          <w:tcPr>
            <w:tcW w:w="820" w:type="dxa"/>
            <w:vAlign w:val="bottom"/>
            <w:tcBorders>
              <w:right w:val="single" w:sz="8" w:color="B2B2B2"/>
            </w:tcBorders>
            <w:vMerge w:val="continue"/>
          </w:tcPr>
          <w:p>
            <w:pPr>
              <w:spacing w:after="0"/>
              <w:rPr>
                <w:sz w:val="8"/>
                <w:szCs w:val="8"/>
                <w:color w:val="auto"/>
              </w:rPr>
            </w:pPr>
          </w:p>
        </w:tc>
        <w:tc>
          <w:tcPr>
            <w:tcW w:w="800" w:type="dxa"/>
            <w:vAlign w:val="bottom"/>
            <w:tcBorders>
              <w:right w:val="single" w:sz="8" w:color="B2B2B2"/>
            </w:tcBorders>
            <w:vMerge w:val="continue"/>
          </w:tcPr>
          <w:p>
            <w:pPr>
              <w:spacing w:after="0"/>
              <w:rPr>
                <w:sz w:val="8"/>
                <w:szCs w:val="8"/>
                <w:color w:val="auto"/>
              </w:rPr>
            </w:pPr>
          </w:p>
        </w:tc>
        <w:tc>
          <w:tcPr>
            <w:tcW w:w="820" w:type="dxa"/>
            <w:vAlign w:val="bottom"/>
            <w:tcBorders>
              <w:right w:val="single" w:sz="8" w:color="B2B2B2"/>
            </w:tcBorders>
            <w:vMerge w:val="continue"/>
          </w:tcPr>
          <w:p>
            <w:pPr>
              <w:spacing w:after="0"/>
              <w:rPr>
                <w:sz w:val="8"/>
                <w:szCs w:val="8"/>
                <w:color w:val="auto"/>
              </w:rPr>
            </w:pPr>
          </w:p>
        </w:tc>
        <w:tc>
          <w:tcPr>
            <w:tcW w:w="1840" w:type="dxa"/>
            <w:vAlign w:val="bottom"/>
            <w:tcBorders>
              <w:right w:val="single" w:sz="8" w:color="B2B2B2"/>
            </w:tcBorders>
            <w:vMerge w:val="continue"/>
          </w:tcPr>
          <w:p>
            <w:pPr>
              <w:spacing w:after="0"/>
              <w:rPr>
                <w:sz w:val="8"/>
                <w:szCs w:val="8"/>
                <w:color w:val="auto"/>
              </w:rPr>
            </w:pPr>
          </w:p>
        </w:tc>
        <w:tc>
          <w:tcPr>
            <w:tcW w:w="1620" w:type="dxa"/>
            <w:vAlign w:val="bottom"/>
            <w:tcBorders>
              <w:right w:val="single" w:sz="8" w:color="B2B2B2"/>
            </w:tcBorders>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900" w:type="dxa"/>
            <w:vAlign w:val="bottom"/>
            <w:tcBorders>
              <w:right w:val="single" w:sz="8" w:color="B2B2B2"/>
            </w:tcBorders>
            <w:vMerge w:val="continue"/>
          </w:tcPr>
          <w:p>
            <w:pPr>
              <w:spacing w:after="0"/>
              <w:rPr>
                <w:sz w:val="2"/>
                <w:szCs w:val="2"/>
                <w:color w:val="auto"/>
              </w:rPr>
            </w:pPr>
          </w:p>
        </w:tc>
        <w:tc>
          <w:tcPr>
            <w:tcW w:w="920" w:type="dxa"/>
            <w:vAlign w:val="bottom"/>
            <w:tcBorders>
              <w:bottom w:val="single" w:sz="8" w:color="B2B2B2"/>
              <w:right w:val="single" w:sz="8" w:color="B2B2B2"/>
            </w:tcBorders>
          </w:tcPr>
          <w:p>
            <w:pPr>
              <w:spacing w:after="0"/>
              <w:rPr>
                <w:sz w:val="2"/>
                <w:szCs w:val="2"/>
                <w:color w:val="auto"/>
              </w:rPr>
            </w:pPr>
          </w:p>
        </w:tc>
        <w:tc>
          <w:tcPr>
            <w:tcW w:w="82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820" w:type="dxa"/>
            <w:vAlign w:val="bottom"/>
            <w:tcBorders>
              <w:bottom w:val="single" w:sz="8" w:color="B2B2B2"/>
              <w:right w:val="single" w:sz="8" w:color="B2B2B2"/>
            </w:tcBorders>
          </w:tcPr>
          <w:p>
            <w:pPr>
              <w:spacing w:after="0"/>
              <w:rPr>
                <w:sz w:val="2"/>
                <w:szCs w:val="2"/>
                <w:color w:val="auto"/>
              </w:rPr>
            </w:pPr>
          </w:p>
        </w:tc>
        <w:tc>
          <w:tcPr>
            <w:tcW w:w="1840" w:type="dxa"/>
            <w:vAlign w:val="bottom"/>
            <w:tcBorders>
              <w:bottom w:val="single" w:sz="8" w:color="B2B2B2"/>
              <w:right w:val="single" w:sz="8" w:color="B2B2B2"/>
            </w:tcBorders>
          </w:tcPr>
          <w:p>
            <w:pPr>
              <w:spacing w:after="0"/>
              <w:rPr>
                <w:sz w:val="2"/>
                <w:szCs w:val="2"/>
                <w:color w:val="auto"/>
              </w:rPr>
            </w:pPr>
          </w:p>
        </w:tc>
        <w:tc>
          <w:tcPr>
            <w:tcW w:w="1620" w:type="dxa"/>
            <w:vAlign w:val="bottom"/>
            <w:tcBorders>
              <w:bottom w:val="single" w:sz="8" w:color="B2B2B2"/>
              <w:right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900" w:type="dxa"/>
            <w:vAlign w:val="bottom"/>
            <w:tcBorders>
              <w:right w:val="single" w:sz="8" w:color="B2B2B2"/>
            </w:tcBorders>
          </w:tcPr>
          <w:p>
            <w:pPr>
              <w:spacing w:after="0"/>
              <w:rPr>
                <w:sz w:val="17"/>
                <w:szCs w:val="17"/>
                <w:color w:val="auto"/>
              </w:rPr>
            </w:pPr>
          </w:p>
        </w:tc>
        <w:tc>
          <w:tcPr>
            <w:tcW w:w="920" w:type="dxa"/>
            <w:vAlign w:val="bottom"/>
            <w:tcBorders>
              <w:right w:val="single" w:sz="8" w:color="B2B2B2"/>
            </w:tcBorders>
          </w:tcPr>
          <w:p>
            <w:pPr>
              <w:ind w:left="320"/>
              <w:spacing w:after="0"/>
              <w:rPr>
                <w:sz w:val="20"/>
                <w:szCs w:val="20"/>
                <w:color w:val="auto"/>
              </w:rPr>
            </w:pPr>
            <w:r>
              <w:rPr>
                <w:rFonts w:ascii="Arial" w:cs="Arial" w:eastAsia="Arial" w:hAnsi="Arial"/>
                <w:sz w:val="14"/>
                <w:szCs w:val="14"/>
                <w:color w:val="auto"/>
              </w:rPr>
              <w:t>2024</w:t>
            </w:r>
          </w:p>
        </w:tc>
        <w:tc>
          <w:tcPr>
            <w:tcW w:w="820" w:type="dxa"/>
            <w:vAlign w:val="bottom"/>
            <w:tcBorders>
              <w:right w:val="single" w:sz="8" w:color="B2B2B2"/>
            </w:tcBorders>
          </w:tcPr>
          <w:p>
            <w:pPr>
              <w:jc w:val="right"/>
              <w:ind w:right="11"/>
              <w:spacing w:after="0"/>
              <w:rPr>
                <w:sz w:val="20"/>
                <w:szCs w:val="20"/>
                <w:color w:val="auto"/>
              </w:rPr>
            </w:pPr>
            <w:r>
              <w:rPr>
                <w:rFonts w:ascii="Arial" w:cs="Arial" w:eastAsia="Arial" w:hAnsi="Arial"/>
                <w:sz w:val="14"/>
                <w:szCs w:val="14"/>
                <w:color w:val="auto"/>
              </w:rPr>
              <w:t>488,250</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539,319</w:t>
            </w:r>
          </w:p>
        </w:tc>
        <w:tc>
          <w:tcPr>
            <w:tcW w:w="82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809,661</w:t>
            </w:r>
          </w:p>
        </w:tc>
        <w:tc>
          <w:tcPr>
            <w:tcW w:w="184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298,157</w:t>
            </w:r>
          </w:p>
        </w:tc>
        <w:tc>
          <w:tcPr>
            <w:tcW w:w="162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10,543</w:t>
            </w:r>
          </w:p>
        </w:tc>
        <w:tc>
          <w:tcPr>
            <w:tcW w:w="840" w:type="dxa"/>
            <w:vAlign w:val="bottom"/>
          </w:tcPr>
          <w:p>
            <w:pPr>
              <w:jc w:val="right"/>
              <w:spacing w:after="0"/>
              <w:rPr>
                <w:sz w:val="20"/>
                <w:szCs w:val="20"/>
                <w:color w:val="auto"/>
              </w:rPr>
            </w:pPr>
            <w:r>
              <w:rPr>
                <w:rFonts w:ascii="Arial" w:cs="Arial" w:eastAsia="Arial" w:hAnsi="Arial"/>
                <w:sz w:val="14"/>
                <w:szCs w:val="14"/>
                <w:color w:val="auto"/>
              </w:rPr>
              <w:t>2,145,930</w:t>
            </w:r>
          </w:p>
        </w:tc>
        <w:tc>
          <w:tcPr>
            <w:tcW w:w="0" w:type="dxa"/>
            <w:vAlign w:val="bottom"/>
          </w:tcPr>
          <w:p>
            <w:pPr>
              <w:spacing w:after="0"/>
              <w:rPr>
                <w:sz w:val="1"/>
                <w:szCs w:val="1"/>
                <w:color w:val="auto"/>
              </w:rPr>
            </w:pPr>
          </w:p>
        </w:tc>
      </w:tr>
      <w:tr>
        <w:trPr>
          <w:trHeight w:val="239"/>
        </w:trPr>
        <w:tc>
          <w:tcPr>
            <w:tcW w:w="2900" w:type="dxa"/>
            <w:vAlign w:val="bottom"/>
            <w:tcBorders>
              <w:bottom w:val="single" w:sz="8" w:color="E2EEFA"/>
              <w:right w:val="single" w:sz="8" w:color="E2EEFA"/>
            </w:tcBorders>
            <w:shd w:val="clear" w:color="auto" w:fill="E2EEFA"/>
          </w:tcPr>
          <w:p>
            <w:pPr>
              <w:spacing w:after="0"/>
              <w:rPr>
                <w:sz w:val="20"/>
                <w:szCs w:val="20"/>
                <w:color w:val="auto"/>
              </w:rPr>
            </w:pPr>
            <w:r>
              <w:rPr>
                <w:rFonts w:ascii="Arial" w:cs="Arial" w:eastAsia="Arial" w:hAnsi="Arial"/>
                <w:sz w:val="14"/>
                <w:szCs w:val="14"/>
                <w:color w:val="auto"/>
              </w:rPr>
              <w:t>  Mary Clare Fraser</w:t>
            </w:r>
          </w:p>
        </w:tc>
        <w:tc>
          <w:tcPr>
            <w:tcW w:w="920" w:type="dxa"/>
            <w:vAlign w:val="bottom"/>
            <w:tcBorders>
              <w:bottom w:val="single" w:sz="8" w:color="E2EEFA"/>
              <w:right w:val="single" w:sz="8" w:color="E2EEFA"/>
            </w:tcBorders>
            <w:shd w:val="clear" w:color="auto" w:fill="E2EEFA"/>
          </w:tcPr>
          <w:p>
            <w:pPr>
              <w:spacing w:after="0"/>
              <w:rPr>
                <w:sz w:val="20"/>
                <w:szCs w:val="20"/>
                <w:color w:val="auto"/>
              </w:rPr>
            </w:pPr>
          </w:p>
        </w:tc>
        <w:tc>
          <w:tcPr>
            <w:tcW w:w="820" w:type="dxa"/>
            <w:vAlign w:val="bottom"/>
            <w:tcBorders>
              <w:bottom w:val="single" w:sz="8" w:color="E2EEFA"/>
              <w:right w:val="single" w:sz="8" w:color="E2EEFA"/>
            </w:tcBorders>
            <w:shd w:val="clear" w:color="auto" w:fill="E2EEFA"/>
          </w:tcPr>
          <w:p>
            <w:pPr>
              <w:spacing w:after="0"/>
              <w:rPr>
                <w:sz w:val="20"/>
                <w:szCs w:val="20"/>
                <w:color w:val="auto"/>
              </w:rPr>
            </w:pPr>
          </w:p>
        </w:tc>
        <w:tc>
          <w:tcPr>
            <w:tcW w:w="800" w:type="dxa"/>
            <w:vAlign w:val="bottom"/>
            <w:tcBorders>
              <w:bottom w:val="single" w:sz="8" w:color="E2EEFA"/>
              <w:right w:val="single" w:sz="8" w:color="E2EEFA"/>
            </w:tcBorders>
            <w:shd w:val="clear" w:color="auto" w:fill="E2EEFA"/>
          </w:tcPr>
          <w:p>
            <w:pPr>
              <w:spacing w:after="0"/>
              <w:rPr>
                <w:sz w:val="20"/>
                <w:szCs w:val="20"/>
                <w:color w:val="auto"/>
              </w:rPr>
            </w:pPr>
          </w:p>
        </w:tc>
        <w:tc>
          <w:tcPr>
            <w:tcW w:w="820" w:type="dxa"/>
            <w:vAlign w:val="bottom"/>
            <w:tcBorders>
              <w:bottom w:val="single" w:sz="8" w:color="E2EEFA"/>
              <w:right w:val="single" w:sz="8" w:color="E2EEFA"/>
            </w:tcBorders>
            <w:shd w:val="clear" w:color="auto" w:fill="E2EEFA"/>
          </w:tcPr>
          <w:p>
            <w:pPr>
              <w:spacing w:after="0"/>
              <w:rPr>
                <w:sz w:val="20"/>
                <w:szCs w:val="20"/>
                <w:color w:val="auto"/>
              </w:rPr>
            </w:pPr>
          </w:p>
        </w:tc>
        <w:tc>
          <w:tcPr>
            <w:tcW w:w="1840" w:type="dxa"/>
            <w:vAlign w:val="bottom"/>
            <w:tcBorders>
              <w:bottom w:val="single" w:sz="8" w:color="E2EEFA"/>
              <w:right w:val="single" w:sz="8" w:color="E2EEFA"/>
            </w:tcBorders>
            <w:shd w:val="clear" w:color="auto" w:fill="E2EEFA"/>
          </w:tcPr>
          <w:p>
            <w:pPr>
              <w:spacing w:after="0"/>
              <w:rPr>
                <w:sz w:val="20"/>
                <w:szCs w:val="20"/>
                <w:color w:val="auto"/>
              </w:rPr>
            </w:pPr>
          </w:p>
        </w:tc>
        <w:tc>
          <w:tcPr>
            <w:tcW w:w="1620" w:type="dxa"/>
            <w:vAlign w:val="bottom"/>
            <w:tcBorders>
              <w:bottom w:val="single" w:sz="8" w:color="E2EEFA"/>
              <w:right w:val="single" w:sz="8" w:color="E2EEFA"/>
            </w:tcBorders>
            <w:shd w:val="clear" w:color="auto" w:fill="E2EEFA"/>
          </w:tcPr>
          <w:p>
            <w:pPr>
              <w:spacing w:after="0"/>
              <w:rPr>
                <w:sz w:val="20"/>
                <w:szCs w:val="20"/>
                <w:color w:val="auto"/>
              </w:rPr>
            </w:pPr>
          </w:p>
        </w:tc>
        <w:tc>
          <w:tcPr>
            <w:tcW w:w="840" w:type="dxa"/>
            <w:vAlign w:val="bottom"/>
            <w:tcBorders>
              <w:bottom w:val="single" w:sz="8" w:color="E2EEFA"/>
            </w:tcBorders>
            <w:shd w:val="clear" w:color="auto" w:fill="E2EEFA"/>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900" w:type="dxa"/>
            <w:vAlign w:val="bottom"/>
            <w:tcBorders>
              <w:right w:val="single" w:sz="8" w:color="B2B2B2"/>
            </w:tcBorders>
          </w:tcPr>
          <w:p>
            <w:pPr>
              <w:ind w:left="140"/>
              <w:spacing w:after="0"/>
              <w:rPr>
                <w:sz w:val="20"/>
                <w:szCs w:val="20"/>
                <w:color w:val="auto"/>
              </w:rPr>
            </w:pPr>
            <w:r>
              <w:rPr>
                <w:rFonts w:ascii="Arial" w:cs="Arial" w:eastAsia="Arial" w:hAnsi="Arial"/>
                <w:sz w:val="14"/>
                <w:szCs w:val="14"/>
                <w:color w:val="auto"/>
              </w:rPr>
              <w:t>  Senior Vice President</w:t>
            </w:r>
          </w:p>
        </w:tc>
        <w:tc>
          <w:tcPr>
            <w:tcW w:w="920" w:type="dxa"/>
            <w:vAlign w:val="bottom"/>
            <w:tcBorders>
              <w:right w:val="single" w:sz="8" w:color="B2B2B2"/>
            </w:tcBorders>
          </w:tcPr>
          <w:p>
            <w:pPr>
              <w:ind w:left="320"/>
              <w:spacing w:after="0"/>
              <w:rPr>
                <w:sz w:val="20"/>
                <w:szCs w:val="20"/>
                <w:color w:val="auto"/>
              </w:rPr>
            </w:pPr>
            <w:r>
              <w:rPr>
                <w:rFonts w:ascii="Arial" w:cs="Arial" w:eastAsia="Arial" w:hAnsi="Arial"/>
                <w:sz w:val="14"/>
                <w:szCs w:val="14"/>
                <w:color w:val="auto"/>
              </w:rPr>
              <w:t>2026</w:t>
            </w:r>
          </w:p>
        </w:tc>
        <w:tc>
          <w:tcPr>
            <w:tcW w:w="820" w:type="dxa"/>
            <w:vAlign w:val="bottom"/>
            <w:tcBorders>
              <w:right w:val="single" w:sz="8" w:color="B2B2B2"/>
            </w:tcBorders>
          </w:tcPr>
          <w:p>
            <w:pPr>
              <w:jc w:val="right"/>
              <w:ind w:right="11"/>
              <w:spacing w:after="0"/>
              <w:rPr>
                <w:sz w:val="20"/>
                <w:szCs w:val="20"/>
                <w:color w:val="auto"/>
              </w:rPr>
            </w:pPr>
            <w:r>
              <w:rPr>
                <w:rFonts w:ascii="Arial" w:cs="Arial" w:eastAsia="Arial" w:hAnsi="Arial"/>
                <w:sz w:val="14"/>
                <w:szCs w:val="14"/>
                <w:color w:val="auto"/>
              </w:rPr>
              <w:t>461,615</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609,542</w:t>
            </w:r>
          </w:p>
        </w:tc>
        <w:tc>
          <w:tcPr>
            <w:tcW w:w="82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609,401</w:t>
            </w:r>
          </w:p>
        </w:tc>
        <w:tc>
          <w:tcPr>
            <w:tcW w:w="184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377,902</w:t>
            </w:r>
          </w:p>
        </w:tc>
        <w:tc>
          <w:tcPr>
            <w:tcW w:w="162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15,262</w:t>
            </w:r>
          </w:p>
        </w:tc>
        <w:tc>
          <w:tcPr>
            <w:tcW w:w="840" w:type="dxa"/>
            <w:vAlign w:val="bottom"/>
          </w:tcPr>
          <w:p>
            <w:pPr>
              <w:jc w:val="right"/>
              <w:spacing w:after="0"/>
              <w:rPr>
                <w:sz w:val="20"/>
                <w:szCs w:val="20"/>
                <w:color w:val="auto"/>
              </w:rPr>
            </w:pPr>
            <w:r>
              <w:rPr>
                <w:rFonts w:ascii="Arial" w:cs="Arial" w:eastAsia="Arial" w:hAnsi="Arial"/>
                <w:sz w:val="14"/>
                <w:szCs w:val="14"/>
                <w:color w:val="auto"/>
              </w:rPr>
              <w:t>2,073,722</w:t>
            </w:r>
          </w:p>
        </w:tc>
        <w:tc>
          <w:tcPr>
            <w:tcW w:w="0" w:type="dxa"/>
            <w:vAlign w:val="bottom"/>
          </w:tcPr>
          <w:p>
            <w:pPr>
              <w:spacing w:after="0"/>
              <w:rPr>
                <w:sz w:val="1"/>
                <w:szCs w:val="1"/>
                <w:color w:val="auto"/>
              </w:rPr>
            </w:pPr>
          </w:p>
        </w:tc>
      </w:tr>
      <w:tr>
        <w:trPr>
          <w:trHeight w:val="59"/>
        </w:trPr>
        <w:tc>
          <w:tcPr>
            <w:tcW w:w="2900" w:type="dxa"/>
            <w:vAlign w:val="bottom"/>
            <w:tcBorders>
              <w:right w:val="single" w:sz="8" w:color="B2B2B2"/>
            </w:tcBorders>
            <w:vMerge w:val="restart"/>
          </w:tcPr>
          <w:p>
            <w:pPr>
              <w:ind w:left="140"/>
              <w:spacing w:after="0" w:line="155" w:lineRule="exact"/>
              <w:rPr>
                <w:sz w:val="20"/>
                <w:szCs w:val="20"/>
                <w:color w:val="auto"/>
              </w:rPr>
            </w:pPr>
            <w:r>
              <w:rPr>
                <w:rFonts w:ascii="Arial" w:cs="Arial" w:eastAsia="Arial" w:hAnsi="Arial"/>
                <w:sz w:val="14"/>
                <w:szCs w:val="14"/>
                <w:color w:val="auto"/>
              </w:rPr>
              <w:t>  and Chief Human</w:t>
            </w:r>
          </w:p>
        </w:tc>
        <w:tc>
          <w:tcPr>
            <w:tcW w:w="920" w:type="dxa"/>
            <w:vAlign w:val="bottom"/>
            <w:tcBorders>
              <w:bottom w:val="single" w:sz="8" w:color="B2B2B2"/>
              <w:right w:val="single" w:sz="8" w:color="B2B2B2"/>
            </w:tcBorders>
          </w:tcPr>
          <w:p>
            <w:pPr>
              <w:spacing w:after="0"/>
              <w:rPr>
                <w:sz w:val="5"/>
                <w:szCs w:val="5"/>
                <w:color w:val="auto"/>
              </w:rPr>
            </w:pPr>
          </w:p>
        </w:tc>
        <w:tc>
          <w:tcPr>
            <w:tcW w:w="820" w:type="dxa"/>
            <w:vAlign w:val="bottom"/>
            <w:tcBorders>
              <w:bottom w:val="single" w:sz="8" w:color="B2B2B2"/>
              <w:right w:val="single" w:sz="8" w:color="B2B2B2"/>
            </w:tcBorders>
          </w:tcPr>
          <w:p>
            <w:pPr>
              <w:spacing w:after="0"/>
              <w:rPr>
                <w:sz w:val="5"/>
                <w:szCs w:val="5"/>
                <w:color w:val="auto"/>
              </w:rPr>
            </w:pPr>
          </w:p>
        </w:tc>
        <w:tc>
          <w:tcPr>
            <w:tcW w:w="800" w:type="dxa"/>
            <w:vAlign w:val="bottom"/>
            <w:tcBorders>
              <w:bottom w:val="single" w:sz="8" w:color="B2B2B2"/>
              <w:right w:val="single" w:sz="8" w:color="B2B2B2"/>
            </w:tcBorders>
          </w:tcPr>
          <w:p>
            <w:pPr>
              <w:spacing w:after="0"/>
              <w:rPr>
                <w:sz w:val="5"/>
                <w:szCs w:val="5"/>
                <w:color w:val="auto"/>
              </w:rPr>
            </w:pPr>
          </w:p>
        </w:tc>
        <w:tc>
          <w:tcPr>
            <w:tcW w:w="820" w:type="dxa"/>
            <w:vAlign w:val="bottom"/>
            <w:tcBorders>
              <w:bottom w:val="single" w:sz="8" w:color="B2B2B2"/>
              <w:right w:val="single" w:sz="8" w:color="B2B2B2"/>
            </w:tcBorders>
          </w:tcPr>
          <w:p>
            <w:pPr>
              <w:spacing w:after="0"/>
              <w:rPr>
                <w:sz w:val="5"/>
                <w:szCs w:val="5"/>
                <w:color w:val="auto"/>
              </w:rPr>
            </w:pPr>
          </w:p>
        </w:tc>
        <w:tc>
          <w:tcPr>
            <w:tcW w:w="1840" w:type="dxa"/>
            <w:vAlign w:val="bottom"/>
            <w:tcBorders>
              <w:bottom w:val="single" w:sz="8" w:color="B2B2B2"/>
              <w:right w:val="single" w:sz="8" w:color="B2B2B2"/>
            </w:tcBorders>
          </w:tcPr>
          <w:p>
            <w:pPr>
              <w:spacing w:after="0"/>
              <w:rPr>
                <w:sz w:val="5"/>
                <w:szCs w:val="5"/>
                <w:color w:val="auto"/>
              </w:rPr>
            </w:pPr>
          </w:p>
        </w:tc>
        <w:tc>
          <w:tcPr>
            <w:tcW w:w="1620" w:type="dxa"/>
            <w:vAlign w:val="bottom"/>
            <w:tcBorders>
              <w:bottom w:val="single" w:sz="8" w:color="B2B2B2"/>
              <w:right w:val="single" w:sz="8" w:color="B2B2B2"/>
            </w:tcBorders>
          </w:tcPr>
          <w:p>
            <w:pPr>
              <w:spacing w:after="0"/>
              <w:rPr>
                <w:sz w:val="5"/>
                <w:szCs w:val="5"/>
                <w:color w:val="auto"/>
              </w:rPr>
            </w:pPr>
          </w:p>
        </w:tc>
        <w:tc>
          <w:tcPr>
            <w:tcW w:w="84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900" w:type="dxa"/>
            <w:vAlign w:val="bottom"/>
            <w:tcBorders>
              <w:right w:val="single" w:sz="8" w:color="B2B2B2"/>
            </w:tcBorders>
            <w:vMerge w:val="continue"/>
          </w:tcPr>
          <w:p>
            <w:pPr>
              <w:spacing w:after="0"/>
              <w:rPr>
                <w:sz w:val="6"/>
                <w:szCs w:val="6"/>
                <w:color w:val="auto"/>
              </w:rPr>
            </w:pPr>
          </w:p>
        </w:tc>
        <w:tc>
          <w:tcPr>
            <w:tcW w:w="920" w:type="dxa"/>
            <w:vAlign w:val="bottom"/>
            <w:tcBorders>
              <w:right w:val="single" w:sz="8" w:color="B2B2B2"/>
            </w:tcBorders>
            <w:vMerge w:val="restart"/>
          </w:tcPr>
          <w:p>
            <w:pPr>
              <w:ind w:left="320"/>
              <w:spacing w:after="0"/>
              <w:rPr>
                <w:sz w:val="20"/>
                <w:szCs w:val="20"/>
                <w:color w:val="auto"/>
              </w:rPr>
            </w:pPr>
            <w:r>
              <w:rPr>
                <w:rFonts w:ascii="Arial" w:cs="Arial" w:eastAsia="Arial" w:hAnsi="Arial"/>
                <w:sz w:val="14"/>
                <w:szCs w:val="14"/>
                <w:color w:val="auto"/>
              </w:rPr>
              <w:t>2025</w:t>
            </w:r>
          </w:p>
        </w:tc>
        <w:tc>
          <w:tcPr>
            <w:tcW w:w="820" w:type="dxa"/>
            <w:vAlign w:val="bottom"/>
            <w:tcBorders>
              <w:right w:val="single" w:sz="8" w:color="B2B2B2"/>
            </w:tcBorders>
            <w:vMerge w:val="restart"/>
          </w:tcPr>
          <w:p>
            <w:pPr>
              <w:jc w:val="right"/>
              <w:ind w:right="11"/>
              <w:spacing w:after="0"/>
              <w:rPr>
                <w:sz w:val="20"/>
                <w:szCs w:val="20"/>
                <w:color w:val="auto"/>
              </w:rPr>
            </w:pPr>
            <w:r>
              <w:rPr>
                <w:rFonts w:ascii="Arial" w:cs="Arial" w:eastAsia="Arial" w:hAnsi="Arial"/>
                <w:sz w:val="14"/>
                <w:szCs w:val="14"/>
                <w:color w:val="auto"/>
              </w:rPr>
              <w:t>447,934</w:t>
            </w:r>
          </w:p>
        </w:tc>
        <w:tc>
          <w:tcPr>
            <w:tcW w:w="80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auto"/>
              </w:rPr>
              <w:t>466,140</w:t>
            </w:r>
          </w:p>
        </w:tc>
        <w:tc>
          <w:tcPr>
            <w:tcW w:w="82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auto"/>
              </w:rPr>
              <w:t>699,192</w:t>
            </w:r>
          </w:p>
        </w:tc>
        <w:tc>
          <w:tcPr>
            <w:tcW w:w="1840" w:type="dxa"/>
            <w:vAlign w:val="bottom"/>
            <w:tcBorders>
              <w:right w:val="single" w:sz="8" w:color="B2B2B2"/>
            </w:tcBorders>
            <w:vMerge w:val="restart"/>
          </w:tcPr>
          <w:p>
            <w:pPr>
              <w:jc w:val="right"/>
              <w:ind w:right="511"/>
              <w:spacing w:after="0"/>
              <w:rPr>
                <w:sz w:val="20"/>
                <w:szCs w:val="20"/>
                <w:color w:val="auto"/>
              </w:rPr>
            </w:pPr>
            <w:r>
              <w:rPr>
                <w:rFonts w:ascii="Arial" w:cs="Arial" w:eastAsia="Arial" w:hAnsi="Arial"/>
                <w:sz w:val="14"/>
                <w:szCs w:val="14"/>
                <w:color w:val="auto"/>
              </w:rPr>
              <w:t>263,954</w:t>
            </w:r>
          </w:p>
        </w:tc>
        <w:tc>
          <w:tcPr>
            <w:tcW w:w="1620" w:type="dxa"/>
            <w:vAlign w:val="bottom"/>
            <w:tcBorders>
              <w:right w:val="single" w:sz="8" w:color="B2B2B2"/>
            </w:tcBorders>
            <w:vMerge w:val="restart"/>
          </w:tcPr>
          <w:p>
            <w:pPr>
              <w:jc w:val="right"/>
              <w:ind w:right="511"/>
              <w:spacing w:after="0"/>
              <w:rPr>
                <w:sz w:val="20"/>
                <w:szCs w:val="20"/>
                <w:color w:val="auto"/>
              </w:rPr>
            </w:pPr>
            <w:r>
              <w:rPr>
                <w:rFonts w:ascii="Arial" w:cs="Arial" w:eastAsia="Arial" w:hAnsi="Arial"/>
                <w:sz w:val="14"/>
                <w:szCs w:val="14"/>
                <w:color w:val="auto"/>
              </w:rPr>
              <w:t>13,780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1,891,000</w:t>
            </w:r>
          </w:p>
        </w:tc>
        <w:tc>
          <w:tcPr>
            <w:tcW w:w="0" w:type="dxa"/>
            <w:vAlign w:val="bottom"/>
          </w:tcPr>
          <w:p>
            <w:pPr>
              <w:spacing w:after="0"/>
              <w:rPr>
                <w:sz w:val="1"/>
                <w:szCs w:val="1"/>
                <w:color w:val="auto"/>
              </w:rPr>
            </w:pPr>
          </w:p>
        </w:tc>
      </w:tr>
      <w:tr>
        <w:trPr>
          <w:trHeight w:val="98"/>
        </w:trPr>
        <w:tc>
          <w:tcPr>
            <w:tcW w:w="2900" w:type="dxa"/>
            <w:vAlign w:val="bottom"/>
            <w:tcBorders>
              <w:right w:val="single" w:sz="8" w:color="B2B2B2"/>
            </w:tcBorders>
            <w:vMerge w:val="restart"/>
          </w:tcPr>
          <w:p>
            <w:pPr>
              <w:ind w:left="140"/>
              <w:spacing w:after="0" w:line="117" w:lineRule="exact"/>
              <w:rPr>
                <w:sz w:val="20"/>
                <w:szCs w:val="20"/>
                <w:color w:val="auto"/>
              </w:rPr>
            </w:pPr>
            <w:r>
              <w:rPr>
                <w:rFonts w:ascii="Arial" w:cs="Arial" w:eastAsia="Arial" w:hAnsi="Arial"/>
                <w:sz w:val="13"/>
                <w:szCs w:val="13"/>
                <w:color w:val="auto"/>
              </w:rPr>
              <w:t>  Resources Officer</w:t>
            </w:r>
          </w:p>
        </w:tc>
        <w:tc>
          <w:tcPr>
            <w:tcW w:w="920" w:type="dxa"/>
            <w:vAlign w:val="bottom"/>
            <w:tcBorders>
              <w:right w:val="single" w:sz="8" w:color="B2B2B2"/>
            </w:tcBorders>
            <w:vMerge w:val="continue"/>
          </w:tcPr>
          <w:p>
            <w:pPr>
              <w:spacing w:after="0"/>
              <w:rPr>
                <w:sz w:val="8"/>
                <w:szCs w:val="8"/>
                <w:color w:val="auto"/>
              </w:rPr>
            </w:pPr>
          </w:p>
        </w:tc>
        <w:tc>
          <w:tcPr>
            <w:tcW w:w="820" w:type="dxa"/>
            <w:vAlign w:val="bottom"/>
            <w:tcBorders>
              <w:right w:val="single" w:sz="8" w:color="B2B2B2"/>
            </w:tcBorders>
            <w:vMerge w:val="continue"/>
          </w:tcPr>
          <w:p>
            <w:pPr>
              <w:spacing w:after="0"/>
              <w:rPr>
                <w:sz w:val="8"/>
                <w:szCs w:val="8"/>
                <w:color w:val="auto"/>
              </w:rPr>
            </w:pPr>
          </w:p>
        </w:tc>
        <w:tc>
          <w:tcPr>
            <w:tcW w:w="800" w:type="dxa"/>
            <w:vAlign w:val="bottom"/>
            <w:tcBorders>
              <w:right w:val="single" w:sz="8" w:color="B2B2B2"/>
            </w:tcBorders>
            <w:vMerge w:val="continue"/>
          </w:tcPr>
          <w:p>
            <w:pPr>
              <w:spacing w:after="0"/>
              <w:rPr>
                <w:sz w:val="8"/>
                <w:szCs w:val="8"/>
                <w:color w:val="auto"/>
              </w:rPr>
            </w:pPr>
          </w:p>
        </w:tc>
        <w:tc>
          <w:tcPr>
            <w:tcW w:w="820" w:type="dxa"/>
            <w:vAlign w:val="bottom"/>
            <w:tcBorders>
              <w:right w:val="single" w:sz="8" w:color="B2B2B2"/>
            </w:tcBorders>
            <w:vMerge w:val="continue"/>
          </w:tcPr>
          <w:p>
            <w:pPr>
              <w:spacing w:after="0"/>
              <w:rPr>
                <w:sz w:val="8"/>
                <w:szCs w:val="8"/>
                <w:color w:val="auto"/>
              </w:rPr>
            </w:pPr>
          </w:p>
        </w:tc>
        <w:tc>
          <w:tcPr>
            <w:tcW w:w="1840" w:type="dxa"/>
            <w:vAlign w:val="bottom"/>
            <w:tcBorders>
              <w:right w:val="single" w:sz="8" w:color="B2B2B2"/>
            </w:tcBorders>
            <w:vMerge w:val="continue"/>
          </w:tcPr>
          <w:p>
            <w:pPr>
              <w:spacing w:after="0"/>
              <w:rPr>
                <w:sz w:val="8"/>
                <w:szCs w:val="8"/>
                <w:color w:val="auto"/>
              </w:rPr>
            </w:pPr>
          </w:p>
        </w:tc>
        <w:tc>
          <w:tcPr>
            <w:tcW w:w="1620" w:type="dxa"/>
            <w:vAlign w:val="bottom"/>
            <w:tcBorders>
              <w:right w:val="single" w:sz="8" w:color="B2B2B2"/>
            </w:tcBorders>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900" w:type="dxa"/>
            <w:vAlign w:val="bottom"/>
            <w:tcBorders>
              <w:right w:val="single" w:sz="8" w:color="B2B2B2"/>
            </w:tcBorders>
            <w:vMerge w:val="continue"/>
          </w:tcPr>
          <w:p>
            <w:pPr>
              <w:spacing w:after="0"/>
              <w:rPr>
                <w:sz w:val="2"/>
                <w:szCs w:val="2"/>
                <w:color w:val="auto"/>
              </w:rPr>
            </w:pPr>
          </w:p>
        </w:tc>
        <w:tc>
          <w:tcPr>
            <w:tcW w:w="920" w:type="dxa"/>
            <w:vAlign w:val="bottom"/>
            <w:tcBorders>
              <w:bottom w:val="single" w:sz="8" w:color="B2B2B2"/>
              <w:right w:val="single" w:sz="8" w:color="B2B2B2"/>
            </w:tcBorders>
          </w:tcPr>
          <w:p>
            <w:pPr>
              <w:spacing w:after="0"/>
              <w:rPr>
                <w:sz w:val="2"/>
                <w:szCs w:val="2"/>
                <w:color w:val="auto"/>
              </w:rPr>
            </w:pPr>
          </w:p>
        </w:tc>
        <w:tc>
          <w:tcPr>
            <w:tcW w:w="82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820" w:type="dxa"/>
            <w:vAlign w:val="bottom"/>
            <w:tcBorders>
              <w:bottom w:val="single" w:sz="8" w:color="B2B2B2"/>
              <w:right w:val="single" w:sz="8" w:color="B2B2B2"/>
            </w:tcBorders>
          </w:tcPr>
          <w:p>
            <w:pPr>
              <w:spacing w:after="0"/>
              <w:rPr>
                <w:sz w:val="2"/>
                <w:szCs w:val="2"/>
                <w:color w:val="auto"/>
              </w:rPr>
            </w:pPr>
          </w:p>
        </w:tc>
        <w:tc>
          <w:tcPr>
            <w:tcW w:w="1840" w:type="dxa"/>
            <w:vAlign w:val="bottom"/>
            <w:tcBorders>
              <w:bottom w:val="single" w:sz="8" w:color="B2B2B2"/>
              <w:right w:val="single" w:sz="8" w:color="B2B2B2"/>
            </w:tcBorders>
          </w:tcPr>
          <w:p>
            <w:pPr>
              <w:spacing w:after="0"/>
              <w:rPr>
                <w:sz w:val="2"/>
                <w:szCs w:val="2"/>
                <w:color w:val="auto"/>
              </w:rPr>
            </w:pPr>
          </w:p>
        </w:tc>
        <w:tc>
          <w:tcPr>
            <w:tcW w:w="1620" w:type="dxa"/>
            <w:vAlign w:val="bottom"/>
            <w:tcBorders>
              <w:bottom w:val="single" w:sz="8" w:color="B2B2B2"/>
              <w:right w:val="single" w:sz="8" w:color="B2B2B2"/>
            </w:tcBorders>
          </w:tcPr>
          <w:p>
            <w:pPr>
              <w:spacing w:after="0"/>
              <w:rPr>
                <w:sz w:val="2"/>
                <w:szCs w:val="2"/>
                <w:color w:val="auto"/>
              </w:rPr>
            </w:pPr>
          </w:p>
        </w:tc>
        <w:tc>
          <w:tcPr>
            <w:tcW w:w="84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900" w:type="dxa"/>
            <w:vAlign w:val="bottom"/>
            <w:tcBorders>
              <w:right w:val="single" w:sz="8" w:color="B2B2B2"/>
            </w:tcBorders>
          </w:tcPr>
          <w:p>
            <w:pPr>
              <w:spacing w:after="0"/>
              <w:rPr>
                <w:sz w:val="15"/>
                <w:szCs w:val="15"/>
                <w:color w:val="auto"/>
              </w:rPr>
            </w:pPr>
          </w:p>
        </w:tc>
        <w:tc>
          <w:tcPr>
            <w:tcW w:w="920" w:type="dxa"/>
            <w:vAlign w:val="bottom"/>
            <w:tcBorders>
              <w:right w:val="single" w:sz="8" w:color="B2B2B2"/>
            </w:tcBorders>
          </w:tcPr>
          <w:p>
            <w:pPr>
              <w:ind w:left="320"/>
              <w:spacing w:after="0"/>
              <w:rPr>
                <w:sz w:val="20"/>
                <w:szCs w:val="20"/>
                <w:color w:val="auto"/>
              </w:rPr>
            </w:pPr>
            <w:r>
              <w:rPr>
                <w:rFonts w:ascii="Arial" w:cs="Arial" w:eastAsia="Arial" w:hAnsi="Arial"/>
                <w:sz w:val="14"/>
                <w:szCs w:val="14"/>
                <w:color w:val="auto"/>
              </w:rPr>
              <w:t>2024</w:t>
            </w:r>
          </w:p>
        </w:tc>
        <w:tc>
          <w:tcPr>
            <w:tcW w:w="820" w:type="dxa"/>
            <w:vAlign w:val="bottom"/>
            <w:tcBorders>
              <w:right w:val="single" w:sz="8" w:color="B2B2B2"/>
            </w:tcBorders>
          </w:tcPr>
          <w:p>
            <w:pPr>
              <w:jc w:val="right"/>
              <w:ind w:right="11"/>
              <w:spacing w:after="0"/>
              <w:rPr>
                <w:sz w:val="20"/>
                <w:szCs w:val="20"/>
                <w:color w:val="auto"/>
              </w:rPr>
            </w:pPr>
            <w:r>
              <w:rPr>
                <w:rFonts w:ascii="Arial" w:cs="Arial" w:eastAsia="Arial" w:hAnsi="Arial"/>
                <w:sz w:val="14"/>
                <w:szCs w:val="14"/>
                <w:color w:val="auto"/>
              </w:rPr>
              <w:t>434,180</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462,531</w:t>
            </w:r>
          </w:p>
        </w:tc>
        <w:tc>
          <w:tcPr>
            <w:tcW w:w="820" w:type="dxa"/>
            <w:vAlign w:val="bottom"/>
            <w:tcBorders>
              <w:right w:val="single" w:sz="8" w:color="B2B2B2"/>
            </w:tcBorders>
          </w:tcPr>
          <w:p>
            <w:pPr>
              <w:jc w:val="right"/>
              <w:spacing w:after="0"/>
              <w:rPr>
                <w:sz w:val="20"/>
                <w:szCs w:val="20"/>
                <w:color w:val="auto"/>
              </w:rPr>
            </w:pPr>
            <w:r>
              <w:rPr>
                <w:rFonts w:ascii="Arial" w:cs="Arial" w:eastAsia="Arial" w:hAnsi="Arial"/>
                <w:sz w:val="14"/>
                <w:szCs w:val="14"/>
                <w:color w:val="auto"/>
              </w:rPr>
              <w:t>693,995</w:t>
            </w:r>
          </w:p>
        </w:tc>
        <w:tc>
          <w:tcPr>
            <w:tcW w:w="184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246,122</w:t>
            </w:r>
          </w:p>
        </w:tc>
        <w:tc>
          <w:tcPr>
            <w:tcW w:w="1620" w:type="dxa"/>
            <w:vAlign w:val="bottom"/>
            <w:tcBorders>
              <w:right w:val="single" w:sz="8" w:color="B2B2B2"/>
            </w:tcBorders>
          </w:tcPr>
          <w:p>
            <w:pPr>
              <w:jc w:val="right"/>
              <w:ind w:right="511"/>
              <w:spacing w:after="0"/>
              <w:rPr>
                <w:sz w:val="20"/>
                <w:szCs w:val="20"/>
                <w:color w:val="auto"/>
              </w:rPr>
            </w:pPr>
            <w:r>
              <w:rPr>
                <w:rFonts w:ascii="Arial" w:cs="Arial" w:eastAsia="Arial" w:hAnsi="Arial"/>
                <w:sz w:val="14"/>
                <w:szCs w:val="14"/>
                <w:color w:val="auto"/>
              </w:rPr>
              <w:t>11,701</w:t>
            </w:r>
          </w:p>
        </w:tc>
        <w:tc>
          <w:tcPr>
            <w:tcW w:w="840" w:type="dxa"/>
            <w:vAlign w:val="bottom"/>
          </w:tcPr>
          <w:p>
            <w:pPr>
              <w:jc w:val="right"/>
              <w:spacing w:after="0"/>
              <w:rPr>
                <w:sz w:val="20"/>
                <w:szCs w:val="20"/>
                <w:color w:val="auto"/>
              </w:rPr>
            </w:pPr>
            <w:r>
              <w:rPr>
                <w:rFonts w:ascii="Arial" w:cs="Arial" w:eastAsia="Arial" w:hAnsi="Arial"/>
                <w:sz w:val="14"/>
                <w:szCs w:val="14"/>
                <w:color w:val="auto"/>
              </w:rPr>
              <w:t>1,848,529</w:t>
            </w:r>
          </w:p>
        </w:tc>
        <w:tc>
          <w:tcPr>
            <w:tcW w:w="0" w:type="dxa"/>
            <w:vAlign w:val="bottom"/>
          </w:tcPr>
          <w:p>
            <w:pPr>
              <w:spacing w:after="0"/>
              <w:rPr>
                <w:sz w:val="1"/>
                <w:szCs w:val="1"/>
                <w:color w:val="auto"/>
              </w:rPr>
            </w:pPr>
          </w:p>
        </w:tc>
      </w:tr>
      <w:tr>
        <w:trPr>
          <w:trHeight w:val="26"/>
        </w:trPr>
        <w:tc>
          <w:tcPr>
            <w:tcW w:w="2900" w:type="dxa"/>
            <w:vAlign w:val="bottom"/>
            <w:tcBorders>
              <w:bottom w:val="single" w:sz="8" w:color="3E8EDE"/>
              <w:right w:val="single" w:sz="8" w:color="B2B2B2"/>
            </w:tcBorders>
          </w:tcPr>
          <w:p>
            <w:pPr>
              <w:spacing w:after="0"/>
              <w:rPr>
                <w:sz w:val="2"/>
                <w:szCs w:val="2"/>
                <w:color w:val="auto"/>
              </w:rPr>
            </w:pPr>
          </w:p>
        </w:tc>
        <w:tc>
          <w:tcPr>
            <w:tcW w:w="920" w:type="dxa"/>
            <w:vAlign w:val="bottom"/>
            <w:tcBorders>
              <w:bottom w:val="single" w:sz="8" w:color="3E8EDE"/>
              <w:right w:val="single" w:sz="8" w:color="B2B2B2"/>
            </w:tcBorders>
          </w:tcPr>
          <w:p>
            <w:pPr>
              <w:spacing w:after="0"/>
              <w:rPr>
                <w:sz w:val="2"/>
                <w:szCs w:val="2"/>
                <w:color w:val="auto"/>
              </w:rPr>
            </w:pPr>
          </w:p>
        </w:tc>
        <w:tc>
          <w:tcPr>
            <w:tcW w:w="820" w:type="dxa"/>
            <w:vAlign w:val="bottom"/>
            <w:tcBorders>
              <w:bottom w:val="single" w:sz="8" w:color="3E8EDE"/>
              <w:right w:val="single" w:sz="8" w:color="B2B2B2"/>
            </w:tcBorders>
          </w:tcPr>
          <w:p>
            <w:pPr>
              <w:spacing w:after="0"/>
              <w:rPr>
                <w:sz w:val="2"/>
                <w:szCs w:val="2"/>
                <w:color w:val="auto"/>
              </w:rPr>
            </w:pPr>
          </w:p>
        </w:tc>
        <w:tc>
          <w:tcPr>
            <w:tcW w:w="800" w:type="dxa"/>
            <w:vAlign w:val="bottom"/>
            <w:tcBorders>
              <w:bottom w:val="single" w:sz="8" w:color="3E8EDE"/>
              <w:right w:val="single" w:sz="8" w:color="B2B2B2"/>
            </w:tcBorders>
          </w:tcPr>
          <w:p>
            <w:pPr>
              <w:spacing w:after="0"/>
              <w:rPr>
                <w:sz w:val="2"/>
                <w:szCs w:val="2"/>
                <w:color w:val="auto"/>
              </w:rPr>
            </w:pPr>
          </w:p>
        </w:tc>
        <w:tc>
          <w:tcPr>
            <w:tcW w:w="820" w:type="dxa"/>
            <w:vAlign w:val="bottom"/>
            <w:tcBorders>
              <w:bottom w:val="single" w:sz="8" w:color="3E8EDE"/>
              <w:right w:val="single" w:sz="8" w:color="B2B2B2"/>
            </w:tcBorders>
          </w:tcPr>
          <w:p>
            <w:pPr>
              <w:spacing w:after="0"/>
              <w:rPr>
                <w:sz w:val="2"/>
                <w:szCs w:val="2"/>
                <w:color w:val="auto"/>
              </w:rPr>
            </w:pPr>
          </w:p>
        </w:tc>
        <w:tc>
          <w:tcPr>
            <w:tcW w:w="1840" w:type="dxa"/>
            <w:vAlign w:val="bottom"/>
            <w:tcBorders>
              <w:bottom w:val="single" w:sz="8" w:color="3E8EDE"/>
              <w:right w:val="single" w:sz="8" w:color="B2B2B2"/>
            </w:tcBorders>
          </w:tcPr>
          <w:p>
            <w:pPr>
              <w:spacing w:after="0"/>
              <w:rPr>
                <w:sz w:val="2"/>
                <w:szCs w:val="2"/>
                <w:color w:val="auto"/>
              </w:rPr>
            </w:pPr>
          </w:p>
        </w:tc>
        <w:tc>
          <w:tcPr>
            <w:tcW w:w="1620" w:type="dxa"/>
            <w:vAlign w:val="bottom"/>
            <w:tcBorders>
              <w:bottom w:val="single" w:sz="8" w:color="3E8EDE"/>
              <w:right w:val="single" w:sz="8" w:color="B2B2B2"/>
            </w:tcBorders>
          </w:tcPr>
          <w:p>
            <w:pPr>
              <w:spacing w:after="0"/>
              <w:rPr>
                <w:sz w:val="2"/>
                <w:szCs w:val="2"/>
                <w:color w:val="auto"/>
              </w:rPr>
            </w:pPr>
          </w:p>
        </w:tc>
        <w:tc>
          <w:tcPr>
            <w:tcW w:w="840" w:type="dxa"/>
            <w:vAlign w:val="bottom"/>
            <w:tcBorders>
              <w:bottom w:val="single" w:sz="8" w:color="3E8ED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60" w:right="100" w:hanging="420"/>
        <w:spacing w:after="0" w:line="241" w:lineRule="auto"/>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dollar amounts for fiscal 2026 reflect the closing sales price per share of the Company’s stock on the NYSE Composite Tape on the effective date of the grant, representing the grant date fair value for purposes of FASB ASC Topic 718. For a discussion of specific restricted stock awards granted in fiscal 2026, see “Grants of Plan-Based Awards in Fiscal 2026” below and the narrative discussion that follows. Restricted stock recipients can vote their restricted shares and will receive cash dividend equivalent payments at the same times and amounts per share as all other shareholders receiving dividend payments.</w:t>
      </w:r>
    </w:p>
    <w:p>
      <w:pPr>
        <w:spacing w:after="0" w:line="91" w:lineRule="exact"/>
        <w:rPr>
          <w:rFonts w:ascii="Arial" w:cs="Arial" w:eastAsia="Arial" w:hAnsi="Arial"/>
          <w:sz w:val="14"/>
          <w:szCs w:val="14"/>
          <w:color w:val="auto"/>
        </w:rPr>
      </w:pPr>
    </w:p>
    <w:p>
      <w:pPr>
        <w:jc w:val="both"/>
        <w:ind w:left="760" w:right="40" w:hanging="420"/>
        <w:spacing w:after="0" w:line="241" w:lineRule="auto"/>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dollar amounts for fiscal 2026 reflect the grant date fair value under FASB ASC Topic 718 for option awards. The aggregate grant date fair value of option awards for fiscal 2026 is computed in accordance with FASB ASC Topic 718, utilizing assumptions discussed in the notes to our financial statements in our Form 10-K for the fiscal year ended March 31, 2026. For a discussion of specific option awards granted in fiscal 2026, see “Grants of Plan-Based Awards in Fiscal 2026” below and the narrative discussion that follows.</w:t>
      </w:r>
    </w:p>
    <w:p>
      <w:pPr>
        <w:spacing w:after="0" w:line="91" w:lineRule="exact"/>
        <w:rPr>
          <w:rFonts w:ascii="Arial" w:cs="Arial" w:eastAsia="Arial" w:hAnsi="Arial"/>
          <w:sz w:val="14"/>
          <w:szCs w:val="14"/>
          <w:color w:val="auto"/>
        </w:rPr>
      </w:pPr>
    </w:p>
    <w:p>
      <w:pPr>
        <w:ind w:left="760" w:hanging="420"/>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dollar amounts for fiscal 2026 represent incentive compensation paid under the MICP for achievement in fiscal 2026.</w:t>
      </w:r>
    </w:p>
    <w:p>
      <w:pPr>
        <w:spacing w:after="0" w:line="110" w:lineRule="exact"/>
        <w:rPr>
          <w:rFonts w:ascii="Arial" w:cs="Arial" w:eastAsia="Arial" w:hAnsi="Arial"/>
          <w:sz w:val="14"/>
          <w:szCs w:val="14"/>
          <w:color w:val="auto"/>
        </w:rPr>
      </w:pPr>
    </w:p>
    <w:p>
      <w:pPr>
        <w:ind w:left="760" w:right="120" w:hanging="420"/>
        <w:spacing w:after="0" w:line="241" w:lineRule="auto"/>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dollar amounts for fiscal 2026 include employer matching contributions to Company 401(k) plan for all named executive officers (consisting of $14,540, $11,713, $14,186, $14,200, $16,077 and $14,167, respectively, for Messrs. Carestio, Tokich, Zangerle and Majors and Ms. Burton and Ms. Fraser), non-U.S. tax filing preparation (Mr. Tokich and Mr. Zangerle), work anniversary gifts under the Company-wide STERIS Celebrates program (Ms. Fraser and Mr. Tokich), taxable travel expenses (Mr. Carestio and Mr. Majors) and a stipend for mobile phone expenses.</w:t>
      </w:r>
    </w:p>
    <w:p>
      <w:pPr>
        <w:spacing w:after="0" w:line="111"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3E8EDE"/>
        </w:rPr>
        <w:t xml:space="preserve">Notice of Annual Meeting of Shareholders </w:t>
      </w:r>
      <w:r>
        <w:rPr>
          <w:rFonts w:ascii="Arial" w:cs="Arial" w:eastAsia="Arial" w:hAnsi="Arial"/>
          <w:sz w:val="14"/>
          <w:szCs w:val="14"/>
          <w:color w:val="000000"/>
        </w:rPr>
        <w:t>and 2026 Proxy Statement   65</w:t>
      </w:r>
    </w:p>
    <w:p>
      <w:pPr>
        <w:sectPr>
          <w:pgSz w:w="11900" w:h="16838" w:orient="portrait"/>
          <w:cols w:equalWidth="0" w:num="1">
            <w:col w:w="10900"/>
          </w:cols>
          <w:pgMar w:left="320" w:top="469" w:right="6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r>
              <w:rPr>
                <w:rFonts w:ascii="Arial" w:cs="Arial" w:eastAsia="Arial" w:hAnsi="Arial"/>
                <w:sz w:val="17"/>
                <w:szCs w:val="17"/>
                <w:b w:val="1"/>
                <w:bCs w:val="1"/>
                <w:color w:val="auto"/>
              </w:rPr>
              <w:t> </w:t>
            </w: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40" w:type="dxa"/>
            <w:vAlign w:val="bottom"/>
            <w:gridSpan w:val="8"/>
          </w:tcPr>
          <w:p>
            <w:pPr>
              <w:jc w:val="right"/>
              <w:spacing w:after="0"/>
              <w:rPr>
                <w:sz w:val="20"/>
                <w:szCs w:val="20"/>
                <w:color w:val="auto"/>
              </w:rPr>
            </w:pPr>
            <w:r>
              <w:rPr>
                <w:rFonts w:ascii="Arial" w:cs="Arial" w:eastAsia="Arial" w:hAnsi="Arial"/>
                <w:sz w:val="16"/>
                <w:szCs w:val="16"/>
                <w:b w:val="1"/>
                <w:bCs w:val="1"/>
                <w:color w:val="3E8EDE"/>
                <w:w w:val="97"/>
              </w:rPr>
              <w:t xml:space="preserve">Executive Compensation: </w:t>
            </w:r>
            <w:r>
              <w:rPr>
                <w:rFonts w:ascii="Arial" w:cs="Arial" w:eastAsia="Arial" w:hAnsi="Arial"/>
                <w:sz w:val="16"/>
                <w:szCs w:val="16"/>
                <w:b w:val="1"/>
                <w:bCs w:val="1"/>
                <w:color w:val="000000"/>
                <w:w w:val="97"/>
              </w:rPr>
              <w:t>Tabular and Other Executive Compensation Disclosure</w:t>
            </w:r>
          </w:p>
        </w:tc>
      </w:tr>
      <w:tr>
        <w:trPr>
          <w:trHeight w:val="27"/>
        </w:trPr>
        <w:tc>
          <w:tcPr>
            <w:tcW w:w="1920" w:type="dxa"/>
            <w:vAlign w:val="bottom"/>
            <w:tcBorders>
              <w:bottom w:val="single" w:sz="8" w:color="3E8EDE"/>
            </w:tcBorders>
          </w:tcPr>
          <w:p>
            <w:pPr>
              <w:spacing w:after="0"/>
              <w:rPr>
                <w:sz w:val="2"/>
                <w:szCs w:val="2"/>
                <w:color w:val="auto"/>
              </w:rPr>
            </w:pPr>
          </w:p>
        </w:tc>
        <w:tc>
          <w:tcPr>
            <w:tcW w:w="880" w:type="dxa"/>
            <w:vAlign w:val="bottom"/>
            <w:tcBorders>
              <w:bottom w:val="single" w:sz="8" w:color="3E8EDE"/>
            </w:tcBorders>
          </w:tcPr>
          <w:p>
            <w:pPr>
              <w:spacing w:after="0"/>
              <w:rPr>
                <w:sz w:val="2"/>
                <w:szCs w:val="2"/>
                <w:color w:val="auto"/>
              </w:rPr>
            </w:pPr>
          </w:p>
        </w:tc>
        <w:tc>
          <w:tcPr>
            <w:tcW w:w="860" w:type="dxa"/>
            <w:vAlign w:val="bottom"/>
            <w:tcBorders>
              <w:bottom w:val="single" w:sz="8" w:color="3E8EDE"/>
            </w:tcBorders>
          </w:tcPr>
          <w:p>
            <w:pPr>
              <w:spacing w:after="0"/>
              <w:rPr>
                <w:sz w:val="2"/>
                <w:szCs w:val="2"/>
                <w:color w:val="auto"/>
              </w:rPr>
            </w:pPr>
          </w:p>
        </w:tc>
        <w:tc>
          <w:tcPr>
            <w:tcW w:w="980" w:type="dxa"/>
            <w:vAlign w:val="bottom"/>
            <w:tcBorders>
              <w:bottom w:val="single" w:sz="8" w:color="3E8EDE"/>
            </w:tcBorders>
            <w:gridSpan w:val="2"/>
          </w:tcPr>
          <w:p>
            <w:pPr>
              <w:spacing w:after="0"/>
              <w:rPr>
                <w:sz w:val="2"/>
                <w:szCs w:val="2"/>
                <w:color w:val="auto"/>
              </w:rPr>
            </w:pPr>
          </w:p>
        </w:tc>
        <w:tc>
          <w:tcPr>
            <w:tcW w:w="980" w:type="dxa"/>
            <w:vAlign w:val="bottom"/>
            <w:tcBorders>
              <w:bottom w:val="single" w:sz="8" w:color="3E8EDE"/>
            </w:tcBorders>
          </w:tcPr>
          <w:p>
            <w:pPr>
              <w:spacing w:after="0"/>
              <w:rPr>
                <w:sz w:val="2"/>
                <w:szCs w:val="2"/>
                <w:color w:val="auto"/>
              </w:rPr>
            </w:pPr>
          </w:p>
        </w:tc>
        <w:tc>
          <w:tcPr>
            <w:tcW w:w="120" w:type="dxa"/>
            <w:vAlign w:val="bottom"/>
            <w:tcBorders>
              <w:bottom w:val="single" w:sz="8" w:color="3E8EDE"/>
            </w:tcBorders>
          </w:tcPr>
          <w:p>
            <w:pPr>
              <w:spacing w:after="0"/>
              <w:rPr>
                <w:sz w:val="2"/>
                <w:szCs w:val="2"/>
                <w:color w:val="auto"/>
              </w:rPr>
            </w:pPr>
          </w:p>
        </w:tc>
        <w:tc>
          <w:tcPr>
            <w:tcW w:w="880" w:type="dxa"/>
            <w:vAlign w:val="bottom"/>
            <w:tcBorders>
              <w:bottom w:val="single" w:sz="8" w:color="3E8EDE"/>
            </w:tcBorders>
          </w:tcPr>
          <w:p>
            <w:pPr>
              <w:spacing w:after="0"/>
              <w:rPr>
                <w:sz w:val="2"/>
                <w:szCs w:val="2"/>
                <w:color w:val="auto"/>
              </w:rPr>
            </w:pPr>
          </w:p>
        </w:tc>
        <w:tc>
          <w:tcPr>
            <w:tcW w:w="960" w:type="dxa"/>
            <w:vAlign w:val="bottom"/>
            <w:tcBorders>
              <w:bottom w:val="single" w:sz="8" w:color="3E8EDE"/>
            </w:tcBorders>
          </w:tcPr>
          <w:p>
            <w:pPr>
              <w:spacing w:after="0"/>
              <w:rPr>
                <w:sz w:val="2"/>
                <w:szCs w:val="2"/>
                <w:color w:val="auto"/>
              </w:rPr>
            </w:pPr>
          </w:p>
        </w:tc>
        <w:tc>
          <w:tcPr>
            <w:tcW w:w="900" w:type="dxa"/>
            <w:vAlign w:val="bottom"/>
            <w:tcBorders>
              <w:bottom w:val="single" w:sz="8" w:color="3E8EDE"/>
            </w:tcBorders>
          </w:tcPr>
          <w:p>
            <w:pPr>
              <w:spacing w:after="0"/>
              <w:rPr>
                <w:sz w:val="2"/>
                <w:szCs w:val="2"/>
                <w:color w:val="auto"/>
              </w:rPr>
            </w:pPr>
          </w:p>
        </w:tc>
        <w:tc>
          <w:tcPr>
            <w:tcW w:w="1220" w:type="dxa"/>
            <w:vAlign w:val="bottom"/>
            <w:tcBorders>
              <w:bottom w:val="single" w:sz="8" w:color="3E8EDE"/>
            </w:tcBorders>
          </w:tcPr>
          <w:p>
            <w:pPr>
              <w:spacing w:after="0"/>
              <w:rPr>
                <w:sz w:val="2"/>
                <w:szCs w:val="2"/>
                <w:color w:val="auto"/>
              </w:rPr>
            </w:pPr>
          </w:p>
        </w:tc>
        <w:tc>
          <w:tcPr>
            <w:tcW w:w="860" w:type="dxa"/>
            <w:vAlign w:val="bottom"/>
            <w:tcBorders>
              <w:bottom w:val="single" w:sz="8" w:color="3E8EDE"/>
            </w:tcBorders>
          </w:tcPr>
          <w:p>
            <w:pPr>
              <w:spacing w:after="0"/>
              <w:rPr>
                <w:sz w:val="2"/>
                <w:szCs w:val="2"/>
                <w:color w:val="auto"/>
              </w:rPr>
            </w:pPr>
          </w:p>
        </w:tc>
      </w:tr>
      <w:tr>
        <w:trPr>
          <w:trHeight w:val="413"/>
        </w:trPr>
        <w:tc>
          <w:tcPr>
            <w:tcW w:w="5740" w:type="dxa"/>
            <w:vAlign w:val="bottom"/>
            <w:gridSpan w:val="7"/>
          </w:tcPr>
          <w:p>
            <w:pPr>
              <w:spacing w:after="0"/>
              <w:rPr>
                <w:sz w:val="20"/>
                <w:szCs w:val="20"/>
                <w:color w:val="auto"/>
              </w:rPr>
            </w:pPr>
            <w:r>
              <w:rPr>
                <w:rFonts w:ascii="Arial" w:cs="Arial" w:eastAsia="Arial" w:hAnsi="Arial"/>
                <w:sz w:val="19"/>
                <w:szCs w:val="19"/>
                <w:b w:val="1"/>
                <w:bCs w:val="1"/>
                <w:color w:val="auto"/>
              </w:rPr>
              <w:t>GRANTS OF PLAN-BASED AWARDS IN FISCAL 2026</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2"/>
        </w:trPr>
        <w:tc>
          <w:tcPr>
            <w:tcW w:w="1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920" w:type="dxa"/>
            <w:vAlign w:val="bottom"/>
            <w:tcBorders>
              <w:right w:val="single" w:sz="8" w:color="3E8EDE"/>
            </w:tcBorders>
            <w:shd w:val="clear" w:color="auto" w:fill="3E8EDE"/>
          </w:tcPr>
          <w:p>
            <w:pPr>
              <w:spacing w:after="0"/>
              <w:rPr>
                <w:sz w:val="17"/>
                <w:szCs w:val="17"/>
                <w:color w:val="auto"/>
              </w:rPr>
            </w:pPr>
          </w:p>
        </w:tc>
        <w:tc>
          <w:tcPr>
            <w:tcW w:w="880" w:type="dxa"/>
            <w:vAlign w:val="bottom"/>
            <w:tcBorders>
              <w:right w:val="single" w:sz="8" w:color="3E8EDE"/>
            </w:tcBorders>
            <w:shd w:val="clear" w:color="auto" w:fill="3E8EDE"/>
          </w:tcPr>
          <w:p>
            <w:pPr>
              <w:spacing w:after="0"/>
              <w:rPr>
                <w:sz w:val="17"/>
                <w:szCs w:val="17"/>
                <w:color w:val="auto"/>
              </w:rPr>
            </w:pPr>
          </w:p>
        </w:tc>
        <w:tc>
          <w:tcPr>
            <w:tcW w:w="860" w:type="dxa"/>
            <w:vAlign w:val="bottom"/>
            <w:tcBorders>
              <w:right w:val="single" w:sz="8" w:color="3E8EDE"/>
            </w:tcBorders>
            <w:shd w:val="clear" w:color="auto" w:fill="3E8EDE"/>
          </w:tcPr>
          <w:p>
            <w:pPr>
              <w:spacing w:after="0"/>
              <w:rPr>
                <w:sz w:val="17"/>
                <w:szCs w:val="17"/>
                <w:color w:val="auto"/>
              </w:rPr>
            </w:pPr>
          </w:p>
        </w:tc>
        <w:tc>
          <w:tcPr>
            <w:tcW w:w="860" w:type="dxa"/>
            <w:vAlign w:val="bottom"/>
            <w:shd w:val="clear" w:color="auto" w:fill="3E8EDE"/>
          </w:tcPr>
          <w:p>
            <w:pPr>
              <w:spacing w:after="0"/>
              <w:rPr>
                <w:sz w:val="17"/>
                <w:szCs w:val="17"/>
                <w:color w:val="auto"/>
              </w:rPr>
            </w:pPr>
          </w:p>
        </w:tc>
        <w:tc>
          <w:tcPr>
            <w:tcW w:w="120" w:type="dxa"/>
            <w:vAlign w:val="bottom"/>
            <w:tcBorders>
              <w:right w:val="single" w:sz="8" w:color="3E8EDE"/>
            </w:tcBorders>
            <w:shd w:val="clear" w:color="auto" w:fill="3E8EDE"/>
          </w:tcPr>
          <w:p>
            <w:pPr>
              <w:spacing w:after="0"/>
              <w:rPr>
                <w:sz w:val="17"/>
                <w:szCs w:val="17"/>
                <w:color w:val="auto"/>
              </w:rPr>
            </w:pPr>
          </w:p>
        </w:tc>
        <w:tc>
          <w:tcPr>
            <w:tcW w:w="980" w:type="dxa"/>
            <w:vAlign w:val="bottom"/>
            <w:tcBorders>
              <w:right w:val="single" w:sz="8" w:color="3E8EDE"/>
            </w:tcBorders>
            <w:shd w:val="clear" w:color="auto" w:fill="3E8EDE"/>
          </w:tcPr>
          <w:p>
            <w:pPr>
              <w:spacing w:after="0"/>
              <w:rPr>
                <w:sz w:val="17"/>
                <w:szCs w:val="17"/>
                <w:color w:val="auto"/>
              </w:rPr>
            </w:pPr>
          </w:p>
        </w:tc>
        <w:tc>
          <w:tcPr>
            <w:tcW w:w="120" w:type="dxa"/>
            <w:vAlign w:val="bottom"/>
            <w:shd w:val="clear" w:color="auto" w:fill="3E8EDE"/>
          </w:tcPr>
          <w:p>
            <w:pPr>
              <w:spacing w:after="0"/>
              <w:rPr>
                <w:sz w:val="17"/>
                <w:szCs w:val="17"/>
                <w:color w:val="auto"/>
              </w:rPr>
            </w:pPr>
          </w:p>
        </w:tc>
        <w:tc>
          <w:tcPr>
            <w:tcW w:w="880" w:type="dxa"/>
            <w:vAlign w:val="bottom"/>
            <w:tcBorders>
              <w:right w:val="single" w:sz="8" w:color="3E8EDE"/>
            </w:tcBorders>
            <w:shd w:val="clear" w:color="auto" w:fill="3E8EDE"/>
          </w:tcPr>
          <w:p>
            <w:pPr>
              <w:spacing w:after="0"/>
              <w:rPr>
                <w:sz w:val="17"/>
                <w:szCs w:val="17"/>
                <w:color w:val="auto"/>
              </w:rPr>
            </w:pPr>
          </w:p>
        </w:tc>
        <w:tc>
          <w:tcPr>
            <w:tcW w:w="960" w:type="dxa"/>
            <w:vAlign w:val="bottom"/>
            <w:tcBorders>
              <w:right w:val="single" w:sz="8" w:color="3E8EDE"/>
            </w:tcBorders>
            <w:shd w:val="clear" w:color="auto" w:fill="3E8EDE"/>
          </w:tcPr>
          <w:p>
            <w:pPr>
              <w:spacing w:after="0"/>
              <w:rPr>
                <w:sz w:val="17"/>
                <w:szCs w:val="17"/>
                <w:color w:val="auto"/>
              </w:rPr>
            </w:pPr>
          </w:p>
        </w:tc>
        <w:tc>
          <w:tcPr>
            <w:tcW w:w="90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w w:val="98"/>
              </w:rPr>
              <w:t>All Other</w:t>
            </w:r>
          </w:p>
        </w:tc>
        <w:tc>
          <w:tcPr>
            <w:tcW w:w="1220" w:type="dxa"/>
            <w:vAlign w:val="bottom"/>
            <w:tcBorders>
              <w:right w:val="single" w:sz="8" w:color="3E8EDE"/>
            </w:tcBorders>
            <w:shd w:val="clear" w:color="auto" w:fill="3E8EDE"/>
          </w:tcPr>
          <w:p>
            <w:pPr>
              <w:spacing w:after="0"/>
              <w:rPr>
                <w:sz w:val="17"/>
                <w:szCs w:val="17"/>
                <w:color w:val="auto"/>
              </w:rPr>
            </w:pPr>
          </w:p>
        </w:tc>
        <w:tc>
          <w:tcPr>
            <w:tcW w:w="860" w:type="dxa"/>
            <w:vAlign w:val="bottom"/>
            <w:shd w:val="clear" w:color="auto" w:fill="3E8EDE"/>
          </w:tcPr>
          <w:p>
            <w:pPr>
              <w:jc w:val="center"/>
              <w:ind w:left="71"/>
              <w:spacing w:after="0"/>
              <w:rPr>
                <w:sz w:val="20"/>
                <w:szCs w:val="20"/>
                <w:color w:val="auto"/>
              </w:rPr>
            </w:pPr>
            <w:r>
              <w:rPr>
                <w:rFonts w:ascii="Arial" w:cs="Arial" w:eastAsia="Arial" w:hAnsi="Arial"/>
                <w:sz w:val="14"/>
                <w:szCs w:val="14"/>
                <w:b w:val="1"/>
                <w:bCs w:val="1"/>
                <w:color w:val="FFFFFF"/>
                <w:w w:val="96"/>
              </w:rPr>
              <w:t>Grant</w:t>
            </w:r>
          </w:p>
        </w:tc>
      </w:tr>
      <w:tr>
        <w:trPr>
          <w:trHeight w:val="155"/>
        </w:trPr>
        <w:tc>
          <w:tcPr>
            <w:tcW w:w="1920" w:type="dxa"/>
            <w:vAlign w:val="bottom"/>
            <w:tcBorders>
              <w:right w:val="single" w:sz="8" w:color="3E8EDE"/>
            </w:tcBorders>
            <w:shd w:val="clear" w:color="auto" w:fill="3E8EDE"/>
          </w:tcPr>
          <w:p>
            <w:pPr>
              <w:spacing w:after="0"/>
              <w:rPr>
                <w:sz w:val="13"/>
                <w:szCs w:val="13"/>
                <w:color w:val="auto"/>
              </w:rPr>
            </w:pPr>
          </w:p>
        </w:tc>
        <w:tc>
          <w:tcPr>
            <w:tcW w:w="880" w:type="dxa"/>
            <w:vAlign w:val="bottom"/>
            <w:tcBorders>
              <w:right w:val="single" w:sz="8" w:color="3E8EDE"/>
            </w:tcBorders>
            <w:shd w:val="clear" w:color="auto" w:fill="3E8EDE"/>
          </w:tcPr>
          <w:p>
            <w:pPr>
              <w:spacing w:after="0"/>
              <w:rPr>
                <w:sz w:val="13"/>
                <w:szCs w:val="13"/>
                <w:color w:val="auto"/>
              </w:rPr>
            </w:pPr>
          </w:p>
        </w:tc>
        <w:tc>
          <w:tcPr>
            <w:tcW w:w="860" w:type="dxa"/>
            <w:vAlign w:val="bottom"/>
            <w:tcBorders>
              <w:right w:val="single" w:sz="8" w:color="3E8EDE"/>
            </w:tcBorders>
            <w:shd w:val="clear" w:color="auto" w:fill="3E8EDE"/>
          </w:tcPr>
          <w:p>
            <w:pPr>
              <w:spacing w:after="0"/>
              <w:rPr>
                <w:sz w:val="13"/>
                <w:szCs w:val="13"/>
                <w:color w:val="auto"/>
              </w:rPr>
            </w:pPr>
          </w:p>
        </w:tc>
        <w:tc>
          <w:tcPr>
            <w:tcW w:w="860" w:type="dxa"/>
            <w:vAlign w:val="bottom"/>
            <w:shd w:val="clear" w:color="auto" w:fill="3E8EDE"/>
          </w:tcPr>
          <w:p>
            <w:pPr>
              <w:spacing w:after="0"/>
              <w:rPr>
                <w:sz w:val="13"/>
                <w:szCs w:val="13"/>
                <w:color w:val="auto"/>
              </w:rPr>
            </w:pPr>
          </w:p>
        </w:tc>
        <w:tc>
          <w:tcPr>
            <w:tcW w:w="120" w:type="dxa"/>
            <w:vAlign w:val="bottom"/>
            <w:tcBorders>
              <w:right w:val="single" w:sz="8" w:color="3E8EDE"/>
            </w:tcBorders>
            <w:shd w:val="clear" w:color="auto" w:fill="3E8EDE"/>
          </w:tcPr>
          <w:p>
            <w:pPr>
              <w:spacing w:after="0"/>
              <w:rPr>
                <w:sz w:val="13"/>
                <w:szCs w:val="13"/>
                <w:color w:val="auto"/>
              </w:rPr>
            </w:pPr>
          </w:p>
        </w:tc>
        <w:tc>
          <w:tcPr>
            <w:tcW w:w="980" w:type="dxa"/>
            <w:vAlign w:val="bottom"/>
            <w:tcBorders>
              <w:right w:val="single" w:sz="8" w:color="3E8EDE"/>
            </w:tcBorders>
            <w:shd w:val="clear" w:color="auto" w:fill="3E8EDE"/>
          </w:tcPr>
          <w:p>
            <w:pPr>
              <w:spacing w:after="0"/>
              <w:rPr>
                <w:sz w:val="13"/>
                <w:szCs w:val="13"/>
                <w:color w:val="auto"/>
              </w:rPr>
            </w:pPr>
          </w:p>
        </w:tc>
        <w:tc>
          <w:tcPr>
            <w:tcW w:w="120" w:type="dxa"/>
            <w:vAlign w:val="bottom"/>
            <w:shd w:val="clear" w:color="auto" w:fill="3E8EDE"/>
          </w:tcPr>
          <w:p>
            <w:pPr>
              <w:spacing w:after="0"/>
              <w:rPr>
                <w:sz w:val="13"/>
                <w:szCs w:val="13"/>
                <w:color w:val="auto"/>
              </w:rPr>
            </w:pPr>
          </w:p>
        </w:tc>
        <w:tc>
          <w:tcPr>
            <w:tcW w:w="880" w:type="dxa"/>
            <w:vAlign w:val="bottom"/>
            <w:tcBorders>
              <w:right w:val="single" w:sz="8" w:color="3E8EDE"/>
            </w:tcBorders>
            <w:shd w:val="clear" w:color="auto" w:fill="3E8EDE"/>
          </w:tcPr>
          <w:p>
            <w:pPr>
              <w:spacing w:after="0"/>
              <w:rPr>
                <w:sz w:val="13"/>
                <w:szCs w:val="13"/>
                <w:color w:val="auto"/>
              </w:rPr>
            </w:pPr>
          </w:p>
        </w:tc>
        <w:tc>
          <w:tcPr>
            <w:tcW w:w="96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All Other</w:t>
            </w:r>
          </w:p>
        </w:tc>
        <w:tc>
          <w:tcPr>
            <w:tcW w:w="90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rPr>
              <w:t>Option</w:t>
            </w:r>
          </w:p>
        </w:tc>
        <w:tc>
          <w:tcPr>
            <w:tcW w:w="1220" w:type="dxa"/>
            <w:vAlign w:val="bottom"/>
            <w:tcBorders>
              <w:right w:val="single" w:sz="8" w:color="3E8EDE"/>
            </w:tcBorders>
            <w:shd w:val="clear" w:color="auto" w:fill="3E8EDE"/>
          </w:tcPr>
          <w:p>
            <w:pPr>
              <w:spacing w:after="0"/>
              <w:rPr>
                <w:sz w:val="13"/>
                <w:szCs w:val="13"/>
                <w:color w:val="auto"/>
              </w:rPr>
            </w:pPr>
          </w:p>
        </w:tc>
        <w:tc>
          <w:tcPr>
            <w:tcW w:w="860" w:type="dxa"/>
            <w:vAlign w:val="bottom"/>
            <w:shd w:val="clear" w:color="auto" w:fill="3E8EDE"/>
          </w:tcPr>
          <w:p>
            <w:pPr>
              <w:jc w:val="center"/>
              <w:ind w:left="51"/>
              <w:spacing w:after="0" w:line="155" w:lineRule="exact"/>
              <w:rPr>
                <w:sz w:val="20"/>
                <w:szCs w:val="20"/>
                <w:color w:val="auto"/>
              </w:rPr>
            </w:pPr>
            <w:r>
              <w:rPr>
                <w:rFonts w:ascii="Arial" w:cs="Arial" w:eastAsia="Arial" w:hAnsi="Arial"/>
                <w:sz w:val="14"/>
                <w:szCs w:val="14"/>
                <w:b w:val="1"/>
                <w:bCs w:val="1"/>
                <w:color w:val="FFFFFF"/>
                <w:w w:val="98"/>
              </w:rPr>
              <w:t>Date</w:t>
            </w:r>
          </w:p>
        </w:tc>
      </w:tr>
      <w:tr>
        <w:trPr>
          <w:trHeight w:val="155"/>
        </w:trPr>
        <w:tc>
          <w:tcPr>
            <w:tcW w:w="1920" w:type="dxa"/>
            <w:vAlign w:val="bottom"/>
            <w:tcBorders>
              <w:right w:val="single" w:sz="8" w:color="3E8EDE"/>
            </w:tcBorders>
            <w:shd w:val="clear" w:color="auto" w:fill="3E8EDE"/>
          </w:tcPr>
          <w:p>
            <w:pPr>
              <w:spacing w:after="0"/>
              <w:rPr>
                <w:sz w:val="13"/>
                <w:szCs w:val="13"/>
                <w:color w:val="auto"/>
              </w:rPr>
            </w:pPr>
          </w:p>
        </w:tc>
        <w:tc>
          <w:tcPr>
            <w:tcW w:w="880" w:type="dxa"/>
            <w:vAlign w:val="bottom"/>
            <w:tcBorders>
              <w:right w:val="single" w:sz="8" w:color="3E8EDE"/>
            </w:tcBorders>
            <w:shd w:val="clear" w:color="auto" w:fill="3E8EDE"/>
          </w:tcPr>
          <w:p>
            <w:pPr>
              <w:spacing w:after="0"/>
              <w:rPr>
                <w:sz w:val="13"/>
                <w:szCs w:val="13"/>
                <w:color w:val="auto"/>
              </w:rPr>
            </w:pPr>
          </w:p>
        </w:tc>
        <w:tc>
          <w:tcPr>
            <w:tcW w:w="860" w:type="dxa"/>
            <w:vAlign w:val="bottom"/>
            <w:tcBorders>
              <w:right w:val="single" w:sz="8" w:color="3E8EDE"/>
            </w:tcBorders>
            <w:shd w:val="clear" w:color="auto" w:fill="3E8EDE"/>
          </w:tcPr>
          <w:p>
            <w:pPr>
              <w:spacing w:after="0"/>
              <w:rPr>
                <w:sz w:val="13"/>
                <w:szCs w:val="13"/>
                <w:color w:val="auto"/>
              </w:rPr>
            </w:pPr>
          </w:p>
        </w:tc>
        <w:tc>
          <w:tcPr>
            <w:tcW w:w="860" w:type="dxa"/>
            <w:vAlign w:val="bottom"/>
            <w:shd w:val="clear" w:color="auto" w:fill="3E8EDE"/>
          </w:tcPr>
          <w:p>
            <w:pPr>
              <w:spacing w:after="0"/>
              <w:rPr>
                <w:sz w:val="13"/>
                <w:szCs w:val="13"/>
                <w:color w:val="auto"/>
              </w:rPr>
            </w:pPr>
          </w:p>
        </w:tc>
        <w:tc>
          <w:tcPr>
            <w:tcW w:w="120" w:type="dxa"/>
            <w:vAlign w:val="bottom"/>
            <w:tcBorders>
              <w:right w:val="single" w:sz="8" w:color="3E8EDE"/>
            </w:tcBorders>
            <w:shd w:val="clear" w:color="auto" w:fill="3E8EDE"/>
          </w:tcPr>
          <w:p>
            <w:pPr>
              <w:spacing w:after="0"/>
              <w:rPr>
                <w:sz w:val="13"/>
                <w:szCs w:val="13"/>
                <w:color w:val="auto"/>
              </w:rPr>
            </w:pPr>
          </w:p>
        </w:tc>
        <w:tc>
          <w:tcPr>
            <w:tcW w:w="980" w:type="dxa"/>
            <w:vAlign w:val="bottom"/>
            <w:tcBorders>
              <w:right w:val="single" w:sz="8" w:color="3E8EDE"/>
            </w:tcBorders>
            <w:shd w:val="clear" w:color="auto" w:fill="3E8EDE"/>
          </w:tcPr>
          <w:p>
            <w:pPr>
              <w:spacing w:after="0"/>
              <w:rPr>
                <w:sz w:val="13"/>
                <w:szCs w:val="13"/>
                <w:color w:val="auto"/>
              </w:rPr>
            </w:pPr>
          </w:p>
        </w:tc>
        <w:tc>
          <w:tcPr>
            <w:tcW w:w="120" w:type="dxa"/>
            <w:vAlign w:val="bottom"/>
            <w:shd w:val="clear" w:color="auto" w:fill="3E8EDE"/>
          </w:tcPr>
          <w:p>
            <w:pPr>
              <w:spacing w:after="0"/>
              <w:rPr>
                <w:sz w:val="13"/>
                <w:szCs w:val="13"/>
                <w:color w:val="auto"/>
              </w:rPr>
            </w:pPr>
          </w:p>
        </w:tc>
        <w:tc>
          <w:tcPr>
            <w:tcW w:w="880" w:type="dxa"/>
            <w:vAlign w:val="bottom"/>
            <w:tcBorders>
              <w:right w:val="single" w:sz="8" w:color="3E8EDE"/>
            </w:tcBorders>
            <w:shd w:val="clear" w:color="auto" w:fill="3E8EDE"/>
          </w:tcPr>
          <w:p>
            <w:pPr>
              <w:spacing w:after="0"/>
              <w:rPr>
                <w:sz w:val="13"/>
                <w:szCs w:val="13"/>
                <w:color w:val="auto"/>
              </w:rPr>
            </w:pPr>
          </w:p>
        </w:tc>
        <w:tc>
          <w:tcPr>
            <w:tcW w:w="96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9"/>
              </w:rPr>
              <w:t>Stock</w:t>
            </w:r>
          </w:p>
        </w:tc>
        <w:tc>
          <w:tcPr>
            <w:tcW w:w="90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7"/>
              </w:rPr>
              <w:t>Awards:</w:t>
            </w:r>
          </w:p>
        </w:tc>
        <w:tc>
          <w:tcPr>
            <w:tcW w:w="122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7"/>
              </w:rPr>
              <w:t>Exercise</w:t>
            </w:r>
          </w:p>
        </w:tc>
        <w:tc>
          <w:tcPr>
            <w:tcW w:w="860" w:type="dxa"/>
            <w:vAlign w:val="bottom"/>
            <w:shd w:val="clear" w:color="auto" w:fill="3E8EDE"/>
          </w:tcPr>
          <w:p>
            <w:pPr>
              <w:jc w:val="center"/>
              <w:ind w:left="71"/>
              <w:spacing w:after="0" w:line="155" w:lineRule="exact"/>
              <w:rPr>
                <w:sz w:val="20"/>
                <w:szCs w:val="20"/>
                <w:color w:val="auto"/>
              </w:rPr>
            </w:pPr>
            <w:r>
              <w:rPr>
                <w:rFonts w:ascii="Arial" w:cs="Arial" w:eastAsia="Arial" w:hAnsi="Arial"/>
                <w:sz w:val="14"/>
                <w:szCs w:val="14"/>
                <w:b w:val="1"/>
                <w:bCs w:val="1"/>
                <w:color w:val="FFFFFF"/>
                <w:w w:val="93"/>
              </w:rPr>
              <w:t>Fair</w:t>
            </w:r>
          </w:p>
        </w:tc>
      </w:tr>
      <w:tr>
        <w:trPr>
          <w:trHeight w:val="178"/>
        </w:trPr>
        <w:tc>
          <w:tcPr>
            <w:tcW w:w="1920" w:type="dxa"/>
            <w:vAlign w:val="bottom"/>
            <w:tcBorders>
              <w:right w:val="single" w:sz="8" w:color="3E8EDE"/>
            </w:tcBorders>
            <w:shd w:val="clear" w:color="auto" w:fill="3E8EDE"/>
          </w:tcPr>
          <w:p>
            <w:pPr>
              <w:spacing w:after="0"/>
              <w:rPr>
                <w:sz w:val="15"/>
                <w:szCs w:val="15"/>
                <w:color w:val="auto"/>
              </w:rPr>
            </w:pPr>
          </w:p>
        </w:tc>
        <w:tc>
          <w:tcPr>
            <w:tcW w:w="880" w:type="dxa"/>
            <w:vAlign w:val="bottom"/>
            <w:tcBorders>
              <w:right w:val="single" w:sz="8" w:color="3E8EDE"/>
            </w:tcBorders>
            <w:shd w:val="clear" w:color="auto" w:fill="3E8EDE"/>
          </w:tcPr>
          <w:p>
            <w:pPr>
              <w:spacing w:after="0"/>
              <w:rPr>
                <w:sz w:val="15"/>
                <w:szCs w:val="15"/>
                <w:color w:val="auto"/>
              </w:rPr>
            </w:pPr>
          </w:p>
        </w:tc>
        <w:tc>
          <w:tcPr>
            <w:tcW w:w="860" w:type="dxa"/>
            <w:vAlign w:val="bottom"/>
            <w:tcBorders>
              <w:right w:val="single" w:sz="8" w:color="3E8EDE"/>
            </w:tcBorders>
            <w:shd w:val="clear" w:color="auto" w:fill="3E8EDE"/>
          </w:tcPr>
          <w:p>
            <w:pPr>
              <w:spacing w:after="0"/>
              <w:rPr>
                <w:sz w:val="15"/>
                <w:szCs w:val="15"/>
                <w:color w:val="auto"/>
              </w:rPr>
            </w:pPr>
          </w:p>
        </w:tc>
        <w:tc>
          <w:tcPr>
            <w:tcW w:w="2960" w:type="dxa"/>
            <w:vAlign w:val="bottom"/>
            <w:tcBorders>
              <w:right w:val="single" w:sz="8" w:color="3E8EDE"/>
            </w:tcBorders>
            <w:gridSpan w:val="5"/>
            <w:shd w:val="clear" w:color="auto" w:fill="3E8EDE"/>
          </w:tcPr>
          <w:p>
            <w:pPr>
              <w:jc w:val="center"/>
              <w:ind w:left="11"/>
              <w:spacing w:after="0"/>
              <w:rPr>
                <w:sz w:val="20"/>
                <w:szCs w:val="20"/>
                <w:color w:val="auto"/>
              </w:rPr>
            </w:pPr>
            <w:r>
              <w:rPr>
                <w:rFonts w:ascii="Arial" w:cs="Arial" w:eastAsia="Arial" w:hAnsi="Arial"/>
                <w:sz w:val="14"/>
                <w:szCs w:val="14"/>
                <w:b w:val="1"/>
                <w:bCs w:val="1"/>
                <w:color w:val="FFFFFF"/>
                <w:w w:val="98"/>
              </w:rPr>
              <w:t>Estimated Possible Payouts</w:t>
            </w:r>
          </w:p>
        </w:tc>
        <w:tc>
          <w:tcPr>
            <w:tcW w:w="96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w w:val="97"/>
              </w:rPr>
              <w:t>Awards:</w:t>
            </w:r>
          </w:p>
        </w:tc>
        <w:tc>
          <w:tcPr>
            <w:tcW w:w="90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rPr>
              <w:t>Number</w:t>
            </w:r>
          </w:p>
        </w:tc>
        <w:tc>
          <w:tcPr>
            <w:tcW w:w="122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w w:val="99"/>
              </w:rPr>
              <w:t>or</w:t>
            </w:r>
          </w:p>
        </w:tc>
        <w:tc>
          <w:tcPr>
            <w:tcW w:w="860" w:type="dxa"/>
            <w:vAlign w:val="bottom"/>
            <w:shd w:val="clear" w:color="auto" w:fill="3E8EDE"/>
          </w:tcPr>
          <w:p>
            <w:pPr>
              <w:jc w:val="center"/>
              <w:ind w:left="71"/>
              <w:spacing w:after="0"/>
              <w:rPr>
                <w:sz w:val="20"/>
                <w:szCs w:val="20"/>
                <w:color w:val="auto"/>
              </w:rPr>
            </w:pPr>
            <w:r>
              <w:rPr>
                <w:rFonts w:ascii="Arial" w:cs="Arial" w:eastAsia="Arial" w:hAnsi="Arial"/>
                <w:sz w:val="14"/>
                <w:szCs w:val="14"/>
                <w:b w:val="1"/>
                <w:bCs w:val="1"/>
                <w:color w:val="FFFFFF"/>
                <w:w w:val="95"/>
              </w:rPr>
              <w:t>Value of</w:t>
            </w:r>
          </w:p>
        </w:tc>
      </w:tr>
      <w:tr>
        <w:trPr>
          <w:trHeight w:val="155"/>
        </w:trPr>
        <w:tc>
          <w:tcPr>
            <w:tcW w:w="1920" w:type="dxa"/>
            <w:vAlign w:val="bottom"/>
            <w:tcBorders>
              <w:right w:val="single" w:sz="8" w:color="3E8EDE"/>
            </w:tcBorders>
            <w:shd w:val="clear" w:color="auto" w:fill="3E8EDE"/>
          </w:tcPr>
          <w:p>
            <w:pPr>
              <w:spacing w:after="0"/>
              <w:rPr>
                <w:sz w:val="13"/>
                <w:szCs w:val="13"/>
                <w:color w:val="auto"/>
              </w:rPr>
            </w:pPr>
          </w:p>
        </w:tc>
        <w:tc>
          <w:tcPr>
            <w:tcW w:w="880" w:type="dxa"/>
            <w:vAlign w:val="bottom"/>
            <w:tcBorders>
              <w:right w:val="single" w:sz="8" w:color="3E8EDE"/>
            </w:tcBorders>
            <w:shd w:val="clear" w:color="auto" w:fill="3E8EDE"/>
          </w:tcPr>
          <w:p>
            <w:pPr>
              <w:spacing w:after="0"/>
              <w:rPr>
                <w:sz w:val="13"/>
                <w:szCs w:val="13"/>
                <w:color w:val="auto"/>
              </w:rPr>
            </w:pPr>
          </w:p>
        </w:tc>
        <w:tc>
          <w:tcPr>
            <w:tcW w:w="860" w:type="dxa"/>
            <w:vAlign w:val="bottom"/>
            <w:tcBorders>
              <w:right w:val="single" w:sz="8" w:color="3E8EDE"/>
            </w:tcBorders>
            <w:shd w:val="clear" w:color="auto" w:fill="3E8EDE"/>
          </w:tcPr>
          <w:p>
            <w:pPr>
              <w:spacing w:after="0"/>
              <w:rPr>
                <w:sz w:val="13"/>
                <w:szCs w:val="13"/>
                <w:color w:val="auto"/>
              </w:rPr>
            </w:pPr>
          </w:p>
        </w:tc>
        <w:tc>
          <w:tcPr>
            <w:tcW w:w="2960" w:type="dxa"/>
            <w:vAlign w:val="bottom"/>
            <w:tcBorders>
              <w:right w:val="single" w:sz="8" w:color="3E8EDE"/>
            </w:tcBorders>
            <w:gridSpan w:val="5"/>
            <w:shd w:val="clear" w:color="auto" w:fill="3E8EDE"/>
          </w:tcPr>
          <w:p>
            <w:pPr>
              <w:jc w:val="center"/>
              <w:ind w:left="11"/>
              <w:spacing w:after="0" w:line="155" w:lineRule="exact"/>
              <w:rPr>
                <w:sz w:val="20"/>
                <w:szCs w:val="20"/>
                <w:color w:val="auto"/>
              </w:rPr>
            </w:pPr>
            <w:r>
              <w:rPr>
                <w:rFonts w:ascii="Arial" w:cs="Arial" w:eastAsia="Arial" w:hAnsi="Arial"/>
                <w:sz w:val="14"/>
                <w:szCs w:val="14"/>
                <w:b w:val="1"/>
                <w:bCs w:val="1"/>
                <w:color w:val="FFFFFF"/>
                <w:w w:val="98"/>
              </w:rPr>
              <w:t>Under Non-Equity Incentive</w:t>
            </w:r>
          </w:p>
        </w:tc>
        <w:tc>
          <w:tcPr>
            <w:tcW w:w="96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 Number of</w:t>
            </w:r>
          </w:p>
        </w:tc>
        <w:tc>
          <w:tcPr>
            <w:tcW w:w="90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rPr>
              <w:t>of</w:t>
            </w:r>
          </w:p>
        </w:tc>
        <w:tc>
          <w:tcPr>
            <w:tcW w:w="1220" w:type="dxa"/>
            <w:vAlign w:val="bottom"/>
            <w:tcBorders>
              <w:right w:val="single" w:sz="8" w:color="3E8EDE"/>
            </w:tcBorders>
            <w:shd w:val="clear" w:color="auto" w:fill="3E8EDE"/>
          </w:tcPr>
          <w:p>
            <w:pPr>
              <w:ind w:left="460"/>
              <w:spacing w:after="0" w:line="155" w:lineRule="exact"/>
              <w:rPr>
                <w:sz w:val="20"/>
                <w:szCs w:val="20"/>
                <w:color w:val="auto"/>
              </w:rPr>
            </w:pPr>
            <w:r>
              <w:rPr>
                <w:rFonts w:ascii="Arial" w:cs="Arial" w:eastAsia="Arial" w:hAnsi="Arial"/>
                <w:sz w:val="14"/>
                <w:szCs w:val="14"/>
                <w:b w:val="1"/>
                <w:bCs w:val="1"/>
                <w:color w:val="FFFFFF"/>
              </w:rPr>
              <w:t>Base</w:t>
            </w:r>
          </w:p>
        </w:tc>
        <w:tc>
          <w:tcPr>
            <w:tcW w:w="860" w:type="dxa"/>
            <w:vAlign w:val="bottom"/>
            <w:shd w:val="clear" w:color="auto" w:fill="3E8EDE"/>
          </w:tcPr>
          <w:p>
            <w:pPr>
              <w:jc w:val="center"/>
              <w:ind w:left="71"/>
              <w:spacing w:after="0" w:line="155" w:lineRule="exact"/>
              <w:rPr>
                <w:sz w:val="20"/>
                <w:szCs w:val="20"/>
                <w:color w:val="auto"/>
              </w:rPr>
            </w:pPr>
            <w:r>
              <w:rPr>
                <w:rFonts w:ascii="Arial" w:cs="Arial" w:eastAsia="Arial" w:hAnsi="Arial"/>
                <w:sz w:val="14"/>
                <w:szCs w:val="14"/>
                <w:b w:val="1"/>
                <w:bCs w:val="1"/>
                <w:color w:val="FFFFFF"/>
                <w:w w:val="94"/>
              </w:rPr>
              <w:t>Stock</w:t>
            </w:r>
          </w:p>
        </w:tc>
      </w:tr>
      <w:tr>
        <w:trPr>
          <w:trHeight w:val="155"/>
        </w:trPr>
        <w:tc>
          <w:tcPr>
            <w:tcW w:w="1920" w:type="dxa"/>
            <w:vAlign w:val="bottom"/>
            <w:tcBorders>
              <w:right w:val="single" w:sz="8" w:color="3E8EDE"/>
            </w:tcBorders>
            <w:shd w:val="clear" w:color="auto" w:fill="3E8EDE"/>
          </w:tcPr>
          <w:p>
            <w:pPr>
              <w:spacing w:after="0"/>
              <w:rPr>
                <w:sz w:val="13"/>
                <w:szCs w:val="13"/>
                <w:color w:val="auto"/>
              </w:rPr>
            </w:pPr>
          </w:p>
        </w:tc>
        <w:tc>
          <w:tcPr>
            <w:tcW w:w="880" w:type="dxa"/>
            <w:vAlign w:val="bottom"/>
            <w:tcBorders>
              <w:right w:val="single" w:sz="8" w:color="3E8EDE"/>
            </w:tcBorders>
            <w:shd w:val="clear" w:color="auto" w:fill="3E8EDE"/>
          </w:tcPr>
          <w:p>
            <w:pPr>
              <w:spacing w:after="0"/>
              <w:rPr>
                <w:sz w:val="13"/>
                <w:szCs w:val="13"/>
                <w:color w:val="auto"/>
              </w:rPr>
            </w:pPr>
          </w:p>
        </w:tc>
        <w:tc>
          <w:tcPr>
            <w:tcW w:w="860" w:type="dxa"/>
            <w:vAlign w:val="bottom"/>
            <w:tcBorders>
              <w:right w:val="single" w:sz="8" w:color="3E8EDE"/>
            </w:tcBorders>
            <w:shd w:val="clear" w:color="auto" w:fill="3E8EDE"/>
          </w:tcPr>
          <w:p>
            <w:pPr>
              <w:spacing w:after="0"/>
              <w:rPr>
                <w:sz w:val="13"/>
                <w:szCs w:val="13"/>
                <w:color w:val="auto"/>
              </w:rPr>
            </w:pPr>
          </w:p>
        </w:tc>
        <w:tc>
          <w:tcPr>
            <w:tcW w:w="860" w:type="dxa"/>
            <w:vAlign w:val="bottom"/>
            <w:shd w:val="clear" w:color="auto" w:fill="3E8EDE"/>
          </w:tcPr>
          <w:p>
            <w:pPr>
              <w:spacing w:after="0"/>
              <w:rPr>
                <w:sz w:val="13"/>
                <w:szCs w:val="13"/>
                <w:color w:val="auto"/>
              </w:rPr>
            </w:pPr>
          </w:p>
        </w:tc>
        <w:tc>
          <w:tcPr>
            <w:tcW w:w="120" w:type="dxa"/>
            <w:vAlign w:val="bottom"/>
            <w:tcBorders>
              <w:right w:val="single" w:sz="8" w:color="3E8EDE"/>
            </w:tcBorders>
            <w:shd w:val="clear" w:color="auto" w:fill="3E8EDE"/>
          </w:tcPr>
          <w:p>
            <w:pPr>
              <w:spacing w:after="0"/>
              <w:rPr>
                <w:sz w:val="13"/>
                <w:szCs w:val="13"/>
                <w:color w:val="auto"/>
              </w:rPr>
            </w:pPr>
          </w:p>
        </w:tc>
        <w:tc>
          <w:tcPr>
            <w:tcW w:w="1100" w:type="dxa"/>
            <w:vAlign w:val="bottom"/>
            <w:gridSpan w:val="2"/>
            <w:shd w:val="clear" w:color="auto" w:fill="3E8EDE"/>
          </w:tcPr>
          <w:p>
            <w:pPr>
              <w:jc w:val="center"/>
              <w:ind w:right="20"/>
              <w:spacing w:after="0" w:line="156" w:lineRule="exact"/>
              <w:rPr>
                <w:sz w:val="20"/>
                <w:szCs w:val="20"/>
                <w:color w:val="auto"/>
              </w:rPr>
            </w:pPr>
            <w:r>
              <w:rPr>
                <w:rFonts w:ascii="Arial" w:cs="Arial" w:eastAsia="Arial" w:hAnsi="Arial"/>
                <w:sz w:val="13"/>
                <w:szCs w:val="13"/>
                <w:b w:val="1"/>
                <w:bCs w:val="1"/>
                <w:color w:val="FFFFFF"/>
              </w:rPr>
              <w:t>Plan Awards</w:t>
            </w:r>
            <w:r>
              <w:rPr>
                <w:rFonts w:ascii="Arial" w:cs="Arial" w:eastAsia="Arial" w:hAnsi="Arial"/>
                <w:sz w:val="18"/>
                <w:szCs w:val="18"/>
                <w:b w:val="1"/>
                <w:bCs w:val="1"/>
                <w:color w:val="FFFFFF"/>
                <w:vertAlign w:val="superscript"/>
              </w:rPr>
              <w:t>(2)</w:t>
            </w:r>
          </w:p>
        </w:tc>
        <w:tc>
          <w:tcPr>
            <w:tcW w:w="880" w:type="dxa"/>
            <w:vAlign w:val="bottom"/>
            <w:tcBorders>
              <w:right w:val="single" w:sz="8" w:color="3E8EDE"/>
            </w:tcBorders>
            <w:shd w:val="clear" w:color="auto" w:fill="3E8EDE"/>
          </w:tcPr>
          <w:p>
            <w:pPr>
              <w:spacing w:after="0"/>
              <w:rPr>
                <w:sz w:val="13"/>
                <w:szCs w:val="13"/>
                <w:color w:val="auto"/>
              </w:rPr>
            </w:pPr>
          </w:p>
        </w:tc>
        <w:tc>
          <w:tcPr>
            <w:tcW w:w="96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rPr>
              <w:t>Shares of</w:t>
            </w:r>
          </w:p>
        </w:tc>
        <w:tc>
          <w:tcPr>
            <w:tcW w:w="90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Securities</w:t>
            </w:r>
          </w:p>
        </w:tc>
        <w:tc>
          <w:tcPr>
            <w:tcW w:w="122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rPr>
              <w:t>Price of</w:t>
            </w:r>
          </w:p>
        </w:tc>
        <w:tc>
          <w:tcPr>
            <w:tcW w:w="860" w:type="dxa"/>
            <w:vAlign w:val="bottom"/>
            <w:shd w:val="clear" w:color="auto" w:fill="3E8EDE"/>
          </w:tcPr>
          <w:p>
            <w:pPr>
              <w:jc w:val="center"/>
              <w:ind w:left="71"/>
              <w:spacing w:after="0" w:line="155" w:lineRule="exact"/>
              <w:rPr>
                <w:sz w:val="20"/>
                <w:szCs w:val="20"/>
                <w:color w:val="auto"/>
              </w:rPr>
            </w:pPr>
            <w:r>
              <w:rPr>
                <w:rFonts w:ascii="Arial" w:cs="Arial" w:eastAsia="Arial" w:hAnsi="Arial"/>
                <w:sz w:val="14"/>
                <w:szCs w:val="14"/>
                <w:b w:val="1"/>
                <w:bCs w:val="1"/>
                <w:color w:val="FFFFFF"/>
                <w:w w:val="96"/>
              </w:rPr>
              <w:t>and</w:t>
            </w:r>
          </w:p>
        </w:tc>
      </w:tr>
      <w:tr>
        <w:trPr>
          <w:trHeight w:val="133"/>
        </w:trPr>
        <w:tc>
          <w:tcPr>
            <w:tcW w:w="1920" w:type="dxa"/>
            <w:vAlign w:val="bottom"/>
            <w:tcBorders>
              <w:right w:val="single" w:sz="8" w:color="3E8EDE"/>
            </w:tcBorders>
            <w:shd w:val="clear" w:color="auto" w:fill="3E8EDE"/>
          </w:tcPr>
          <w:p>
            <w:pPr>
              <w:spacing w:after="0"/>
              <w:rPr>
                <w:sz w:val="11"/>
                <w:szCs w:val="11"/>
                <w:color w:val="auto"/>
              </w:rPr>
            </w:pPr>
          </w:p>
        </w:tc>
        <w:tc>
          <w:tcPr>
            <w:tcW w:w="880" w:type="dxa"/>
            <w:vAlign w:val="bottom"/>
            <w:tcBorders>
              <w:right w:val="single" w:sz="8" w:color="3E8EDE"/>
            </w:tcBorders>
            <w:shd w:val="clear" w:color="auto" w:fill="3E8EDE"/>
          </w:tcPr>
          <w:p>
            <w:pPr>
              <w:spacing w:after="0"/>
              <w:rPr>
                <w:sz w:val="11"/>
                <w:szCs w:val="11"/>
                <w:color w:val="auto"/>
              </w:rPr>
            </w:pPr>
          </w:p>
        </w:tc>
        <w:tc>
          <w:tcPr>
            <w:tcW w:w="860" w:type="dxa"/>
            <w:vAlign w:val="bottom"/>
            <w:tcBorders>
              <w:right w:val="single" w:sz="8" w:color="3E8EDE"/>
            </w:tcBorders>
            <w:shd w:val="clear" w:color="auto" w:fill="3E8EDE"/>
          </w:tcPr>
          <w:p>
            <w:pPr>
              <w:spacing w:after="0"/>
              <w:rPr>
                <w:sz w:val="11"/>
                <w:szCs w:val="11"/>
                <w:color w:val="auto"/>
              </w:rPr>
            </w:pPr>
          </w:p>
        </w:tc>
        <w:tc>
          <w:tcPr>
            <w:tcW w:w="860" w:type="dxa"/>
            <w:vAlign w:val="bottom"/>
            <w:shd w:val="clear" w:color="auto" w:fill="3E8EDE"/>
          </w:tcPr>
          <w:p>
            <w:pPr>
              <w:spacing w:after="0"/>
              <w:rPr>
                <w:sz w:val="11"/>
                <w:szCs w:val="11"/>
                <w:color w:val="auto"/>
              </w:rPr>
            </w:pPr>
          </w:p>
        </w:tc>
        <w:tc>
          <w:tcPr>
            <w:tcW w:w="120" w:type="dxa"/>
            <w:vAlign w:val="bottom"/>
            <w:tcBorders>
              <w:right w:val="single" w:sz="8" w:color="3E8EDE"/>
            </w:tcBorders>
            <w:shd w:val="clear" w:color="auto" w:fill="3E8EDE"/>
          </w:tcPr>
          <w:p>
            <w:pPr>
              <w:spacing w:after="0"/>
              <w:rPr>
                <w:sz w:val="11"/>
                <w:szCs w:val="11"/>
                <w:color w:val="auto"/>
              </w:rPr>
            </w:pPr>
          </w:p>
        </w:tc>
        <w:tc>
          <w:tcPr>
            <w:tcW w:w="980" w:type="dxa"/>
            <w:vAlign w:val="bottom"/>
            <w:tcBorders>
              <w:right w:val="single" w:sz="8" w:color="3E8EDE"/>
            </w:tcBorders>
            <w:shd w:val="clear" w:color="auto" w:fill="3E8EDE"/>
          </w:tcPr>
          <w:p>
            <w:pPr>
              <w:spacing w:after="0"/>
              <w:rPr>
                <w:sz w:val="11"/>
                <w:szCs w:val="11"/>
                <w:color w:val="auto"/>
              </w:rPr>
            </w:pPr>
          </w:p>
        </w:tc>
        <w:tc>
          <w:tcPr>
            <w:tcW w:w="120" w:type="dxa"/>
            <w:vAlign w:val="bottom"/>
            <w:shd w:val="clear" w:color="auto" w:fill="3E8EDE"/>
          </w:tcPr>
          <w:p>
            <w:pPr>
              <w:spacing w:after="0"/>
              <w:rPr>
                <w:sz w:val="11"/>
                <w:szCs w:val="11"/>
                <w:color w:val="auto"/>
              </w:rPr>
            </w:pPr>
          </w:p>
        </w:tc>
        <w:tc>
          <w:tcPr>
            <w:tcW w:w="880" w:type="dxa"/>
            <w:vAlign w:val="bottom"/>
            <w:tcBorders>
              <w:right w:val="single" w:sz="8" w:color="3E8EDE"/>
            </w:tcBorders>
            <w:shd w:val="clear" w:color="auto" w:fill="3E8EDE"/>
          </w:tcPr>
          <w:p>
            <w:pPr>
              <w:spacing w:after="0"/>
              <w:rPr>
                <w:sz w:val="11"/>
                <w:szCs w:val="11"/>
                <w:color w:val="auto"/>
              </w:rPr>
            </w:pPr>
          </w:p>
        </w:tc>
        <w:tc>
          <w:tcPr>
            <w:tcW w:w="960" w:type="dxa"/>
            <w:vAlign w:val="bottom"/>
            <w:tcBorders>
              <w:right w:val="single" w:sz="8" w:color="3E8EDE"/>
            </w:tcBorders>
            <w:shd w:val="clear" w:color="auto" w:fill="3E8EDE"/>
          </w:tcPr>
          <w:p>
            <w:pPr>
              <w:jc w:val="center"/>
              <w:spacing w:after="0" w:line="133" w:lineRule="exact"/>
              <w:rPr>
                <w:sz w:val="20"/>
                <w:szCs w:val="20"/>
                <w:color w:val="auto"/>
              </w:rPr>
            </w:pPr>
            <w:r>
              <w:rPr>
                <w:rFonts w:ascii="Arial" w:cs="Arial" w:eastAsia="Arial" w:hAnsi="Arial"/>
                <w:sz w:val="14"/>
                <w:szCs w:val="14"/>
                <w:b w:val="1"/>
                <w:bCs w:val="1"/>
                <w:color w:val="FFFFFF"/>
                <w:w w:val="99"/>
              </w:rPr>
              <w:t>Stock or</w:t>
            </w:r>
          </w:p>
        </w:tc>
        <w:tc>
          <w:tcPr>
            <w:tcW w:w="900" w:type="dxa"/>
            <w:vAlign w:val="bottom"/>
            <w:tcBorders>
              <w:right w:val="single" w:sz="8" w:color="3E8EDE"/>
            </w:tcBorders>
            <w:shd w:val="clear" w:color="auto" w:fill="3E8EDE"/>
          </w:tcPr>
          <w:p>
            <w:pPr>
              <w:ind w:left="100"/>
              <w:spacing w:after="0" w:line="133" w:lineRule="exact"/>
              <w:rPr>
                <w:sz w:val="20"/>
                <w:szCs w:val="20"/>
                <w:color w:val="auto"/>
              </w:rPr>
            </w:pPr>
            <w:r>
              <w:rPr>
                <w:rFonts w:ascii="Arial" w:cs="Arial" w:eastAsia="Arial" w:hAnsi="Arial"/>
                <w:sz w:val="14"/>
                <w:szCs w:val="14"/>
                <w:b w:val="1"/>
                <w:bCs w:val="1"/>
                <w:color w:val="FFFFFF"/>
              </w:rPr>
              <w:t> Underlying</w:t>
            </w:r>
          </w:p>
        </w:tc>
        <w:tc>
          <w:tcPr>
            <w:tcW w:w="1220" w:type="dxa"/>
            <w:vAlign w:val="bottom"/>
            <w:tcBorders>
              <w:right w:val="single" w:sz="8" w:color="3E8EDE"/>
            </w:tcBorders>
            <w:shd w:val="clear" w:color="auto" w:fill="3E8EDE"/>
          </w:tcPr>
          <w:p>
            <w:pPr>
              <w:jc w:val="center"/>
              <w:spacing w:after="0" w:line="133" w:lineRule="exact"/>
              <w:rPr>
                <w:sz w:val="20"/>
                <w:szCs w:val="20"/>
                <w:color w:val="auto"/>
              </w:rPr>
            </w:pPr>
            <w:r>
              <w:rPr>
                <w:rFonts w:ascii="Arial" w:cs="Arial" w:eastAsia="Arial" w:hAnsi="Arial"/>
                <w:sz w:val="14"/>
                <w:szCs w:val="14"/>
                <w:b w:val="1"/>
                <w:bCs w:val="1"/>
                <w:color w:val="FFFFFF"/>
                <w:w w:val="97"/>
              </w:rPr>
              <w:t>Option</w:t>
            </w:r>
          </w:p>
        </w:tc>
        <w:tc>
          <w:tcPr>
            <w:tcW w:w="860" w:type="dxa"/>
            <w:vAlign w:val="bottom"/>
            <w:shd w:val="clear" w:color="auto" w:fill="3E8EDE"/>
          </w:tcPr>
          <w:p>
            <w:pPr>
              <w:jc w:val="center"/>
              <w:ind w:left="71"/>
              <w:spacing w:after="0" w:line="133" w:lineRule="exact"/>
              <w:rPr>
                <w:sz w:val="20"/>
                <w:szCs w:val="20"/>
                <w:color w:val="auto"/>
              </w:rPr>
            </w:pPr>
            <w:r>
              <w:rPr>
                <w:rFonts w:ascii="Arial" w:cs="Arial" w:eastAsia="Arial" w:hAnsi="Arial"/>
                <w:sz w:val="14"/>
                <w:szCs w:val="14"/>
                <w:b w:val="1"/>
                <w:bCs w:val="1"/>
                <w:color w:val="FFFFFF"/>
                <w:w w:val="97"/>
              </w:rPr>
              <w:t>Option</w:t>
            </w:r>
          </w:p>
        </w:tc>
      </w:tr>
      <w:tr>
        <w:trPr>
          <w:trHeight w:val="155"/>
        </w:trPr>
        <w:tc>
          <w:tcPr>
            <w:tcW w:w="1920" w:type="dxa"/>
            <w:vAlign w:val="bottom"/>
            <w:tcBorders>
              <w:right w:val="single" w:sz="8" w:color="3E8EDE"/>
            </w:tcBorders>
            <w:shd w:val="clear" w:color="auto" w:fill="3E8EDE"/>
          </w:tcPr>
          <w:p>
            <w:pPr>
              <w:spacing w:after="0"/>
              <w:rPr>
                <w:sz w:val="13"/>
                <w:szCs w:val="13"/>
                <w:color w:val="auto"/>
              </w:rPr>
            </w:pPr>
          </w:p>
        </w:tc>
        <w:tc>
          <w:tcPr>
            <w:tcW w:w="880" w:type="dxa"/>
            <w:vAlign w:val="bottom"/>
            <w:tcBorders>
              <w:right w:val="single" w:sz="8" w:color="3E8EDE"/>
            </w:tcBorders>
            <w:shd w:val="clear" w:color="auto" w:fill="3E8EDE"/>
          </w:tcPr>
          <w:p>
            <w:pPr>
              <w:jc w:val="right"/>
              <w:ind w:right="151"/>
              <w:spacing w:after="0" w:line="155" w:lineRule="exact"/>
              <w:rPr>
                <w:sz w:val="20"/>
                <w:szCs w:val="20"/>
                <w:color w:val="auto"/>
              </w:rPr>
            </w:pPr>
            <w:r>
              <w:rPr>
                <w:rFonts w:ascii="Arial" w:cs="Arial" w:eastAsia="Arial" w:hAnsi="Arial"/>
                <w:sz w:val="14"/>
                <w:szCs w:val="14"/>
                <w:b w:val="1"/>
                <w:bCs w:val="1"/>
                <w:color w:val="FFFFFF"/>
              </w:rPr>
              <w:t>Grant</w:t>
            </w:r>
          </w:p>
        </w:tc>
        <w:tc>
          <w:tcPr>
            <w:tcW w:w="860" w:type="dxa"/>
            <w:vAlign w:val="bottom"/>
            <w:tcBorders>
              <w:right w:val="single" w:sz="8" w:color="3E8EDE"/>
            </w:tcBorders>
            <w:shd w:val="clear" w:color="auto" w:fill="3E8EDE"/>
          </w:tcPr>
          <w:p>
            <w:pPr>
              <w:jc w:val="right"/>
              <w:ind w:right="31"/>
              <w:spacing w:after="0" w:line="155" w:lineRule="exact"/>
              <w:rPr>
                <w:sz w:val="20"/>
                <w:szCs w:val="20"/>
                <w:color w:val="auto"/>
              </w:rPr>
            </w:pPr>
            <w:r>
              <w:rPr>
                <w:rFonts w:ascii="Arial" w:cs="Arial" w:eastAsia="Arial" w:hAnsi="Arial"/>
                <w:sz w:val="14"/>
                <w:szCs w:val="14"/>
                <w:b w:val="1"/>
                <w:bCs w:val="1"/>
                <w:color w:val="FFFFFF"/>
              </w:rPr>
              <w:t>Approval</w:t>
            </w:r>
          </w:p>
        </w:tc>
        <w:tc>
          <w:tcPr>
            <w:tcW w:w="860" w:type="dxa"/>
            <w:vAlign w:val="bottom"/>
            <w:shd w:val="clear" w:color="auto" w:fill="3E8EDE"/>
          </w:tcPr>
          <w:p>
            <w:pPr>
              <w:jc w:val="right"/>
              <w:spacing w:after="0" w:line="155" w:lineRule="exact"/>
              <w:rPr>
                <w:sz w:val="20"/>
                <w:szCs w:val="20"/>
                <w:color w:val="auto"/>
              </w:rPr>
            </w:pPr>
            <w:r>
              <w:rPr>
                <w:rFonts w:ascii="Arial" w:cs="Arial" w:eastAsia="Arial" w:hAnsi="Arial"/>
                <w:sz w:val="14"/>
                <w:szCs w:val="14"/>
                <w:b w:val="1"/>
                <w:bCs w:val="1"/>
                <w:color w:val="FFFFFF"/>
              </w:rPr>
              <w:t>Threshold</w:t>
            </w:r>
          </w:p>
        </w:tc>
        <w:tc>
          <w:tcPr>
            <w:tcW w:w="120" w:type="dxa"/>
            <w:vAlign w:val="bottom"/>
            <w:tcBorders>
              <w:right w:val="single" w:sz="8" w:color="3E8EDE"/>
            </w:tcBorders>
            <w:shd w:val="clear" w:color="auto" w:fill="3E8EDE"/>
          </w:tcPr>
          <w:p>
            <w:pPr>
              <w:spacing w:after="0"/>
              <w:rPr>
                <w:sz w:val="13"/>
                <w:szCs w:val="13"/>
                <w:color w:val="auto"/>
              </w:rPr>
            </w:pPr>
          </w:p>
        </w:tc>
        <w:tc>
          <w:tcPr>
            <w:tcW w:w="1100" w:type="dxa"/>
            <w:vAlign w:val="bottom"/>
            <w:gridSpan w:val="2"/>
            <w:shd w:val="clear" w:color="auto" w:fill="3E8EDE"/>
          </w:tcPr>
          <w:p>
            <w:pPr>
              <w:jc w:val="center"/>
              <w:ind w:right="40"/>
              <w:spacing w:after="0" w:line="155" w:lineRule="exact"/>
              <w:rPr>
                <w:sz w:val="20"/>
                <w:szCs w:val="20"/>
                <w:color w:val="auto"/>
              </w:rPr>
            </w:pPr>
            <w:r>
              <w:rPr>
                <w:rFonts w:ascii="Arial" w:cs="Arial" w:eastAsia="Arial" w:hAnsi="Arial"/>
                <w:sz w:val="14"/>
                <w:szCs w:val="14"/>
                <w:b w:val="1"/>
                <w:bCs w:val="1"/>
                <w:color w:val="FFFFFF"/>
                <w:w w:val="98"/>
              </w:rPr>
              <w:t>Target</w:t>
            </w:r>
          </w:p>
        </w:tc>
        <w:tc>
          <w:tcPr>
            <w:tcW w:w="880" w:type="dxa"/>
            <w:vAlign w:val="bottom"/>
            <w:tcBorders>
              <w:right w:val="single" w:sz="8" w:color="3E8EDE"/>
            </w:tcBorders>
            <w:shd w:val="clear" w:color="auto" w:fill="3E8EDE"/>
          </w:tcPr>
          <w:p>
            <w:pPr>
              <w:jc w:val="right"/>
              <w:ind w:right="71"/>
              <w:spacing w:after="0" w:line="155" w:lineRule="exact"/>
              <w:rPr>
                <w:sz w:val="20"/>
                <w:szCs w:val="20"/>
                <w:color w:val="auto"/>
              </w:rPr>
            </w:pPr>
            <w:r>
              <w:rPr>
                <w:rFonts w:ascii="Arial" w:cs="Arial" w:eastAsia="Arial" w:hAnsi="Arial"/>
                <w:sz w:val="14"/>
                <w:szCs w:val="14"/>
                <w:b w:val="1"/>
                <w:bCs w:val="1"/>
                <w:color w:val="FFFFFF"/>
              </w:rPr>
              <w:t>Maximum</w:t>
            </w:r>
          </w:p>
        </w:tc>
        <w:tc>
          <w:tcPr>
            <w:tcW w:w="96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rPr>
              <w:t>Units</w:t>
            </w:r>
          </w:p>
        </w:tc>
        <w:tc>
          <w:tcPr>
            <w:tcW w:w="90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rPr>
              <w:t>Options</w:t>
            </w:r>
          </w:p>
        </w:tc>
        <w:tc>
          <w:tcPr>
            <w:tcW w:w="122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4"/>
              </w:rPr>
              <w:t>Awards</w:t>
            </w:r>
          </w:p>
        </w:tc>
        <w:tc>
          <w:tcPr>
            <w:tcW w:w="860" w:type="dxa"/>
            <w:vAlign w:val="bottom"/>
            <w:shd w:val="clear" w:color="auto" w:fill="3E8EDE"/>
          </w:tcPr>
          <w:p>
            <w:pPr>
              <w:jc w:val="center"/>
              <w:ind w:left="71"/>
              <w:spacing w:after="0" w:line="155" w:lineRule="exact"/>
              <w:rPr>
                <w:sz w:val="20"/>
                <w:szCs w:val="20"/>
                <w:color w:val="auto"/>
              </w:rPr>
            </w:pPr>
            <w:r>
              <w:rPr>
                <w:rFonts w:ascii="Arial" w:cs="Arial" w:eastAsia="Arial" w:hAnsi="Arial"/>
                <w:sz w:val="14"/>
                <w:szCs w:val="14"/>
                <w:b w:val="1"/>
                <w:bCs w:val="1"/>
                <w:color w:val="FFFFFF"/>
                <w:w w:val="94"/>
              </w:rPr>
              <w:t>Awards</w:t>
            </w:r>
          </w:p>
        </w:tc>
      </w:tr>
      <w:tr>
        <w:trPr>
          <w:trHeight w:val="217"/>
        </w:trPr>
        <w:tc>
          <w:tcPr>
            <w:tcW w:w="1920" w:type="dxa"/>
            <w:vAlign w:val="bottom"/>
            <w:tcBorders>
              <w:right w:val="single" w:sz="8" w:color="3E8EDE"/>
            </w:tcBorders>
            <w:shd w:val="clear" w:color="auto" w:fill="3E8EDE"/>
          </w:tcPr>
          <w:p>
            <w:pPr>
              <w:ind w:left="760"/>
              <w:spacing w:after="0"/>
              <w:rPr>
                <w:sz w:val="20"/>
                <w:szCs w:val="20"/>
                <w:color w:val="auto"/>
              </w:rPr>
            </w:pPr>
            <w:r>
              <w:rPr>
                <w:rFonts w:ascii="Arial" w:cs="Arial" w:eastAsia="Arial" w:hAnsi="Arial"/>
                <w:sz w:val="14"/>
                <w:szCs w:val="14"/>
                <w:b w:val="1"/>
                <w:bCs w:val="1"/>
                <w:color w:val="FFFFFF"/>
              </w:rPr>
              <w:t>Name</w:t>
            </w:r>
          </w:p>
        </w:tc>
        <w:tc>
          <w:tcPr>
            <w:tcW w:w="880" w:type="dxa"/>
            <w:vAlign w:val="bottom"/>
            <w:tcBorders>
              <w:right w:val="single" w:sz="8" w:color="3E8EDE"/>
            </w:tcBorders>
            <w:shd w:val="clear" w:color="auto" w:fill="3E8EDE"/>
          </w:tcPr>
          <w:p>
            <w:pPr>
              <w:jc w:val="right"/>
              <w:ind w:right="131"/>
              <w:spacing w:after="0" w:line="217" w:lineRule="exact"/>
              <w:rPr>
                <w:sz w:val="20"/>
                <w:szCs w:val="20"/>
                <w:color w:val="auto"/>
              </w:rPr>
            </w:pPr>
            <w:r>
              <w:rPr>
                <w:rFonts w:ascii="Arial" w:cs="Arial" w:eastAsia="Arial" w:hAnsi="Arial"/>
                <w:sz w:val="14"/>
                <w:szCs w:val="14"/>
                <w:b w:val="1"/>
                <w:bCs w:val="1"/>
                <w:color w:val="FFFFFF"/>
              </w:rPr>
              <w:t>Date</w:t>
            </w:r>
            <w:r>
              <w:rPr>
                <w:rFonts w:ascii="Arial" w:cs="Arial" w:eastAsia="Arial" w:hAnsi="Arial"/>
                <w:sz w:val="20"/>
                <w:szCs w:val="20"/>
                <w:b w:val="1"/>
                <w:bCs w:val="1"/>
                <w:color w:val="FFFFFF"/>
                <w:vertAlign w:val="superscript"/>
              </w:rPr>
              <w:t>(1)</w:t>
            </w:r>
          </w:p>
        </w:tc>
        <w:tc>
          <w:tcPr>
            <w:tcW w:w="860" w:type="dxa"/>
            <w:vAlign w:val="bottom"/>
            <w:tcBorders>
              <w:right w:val="single" w:sz="8" w:color="3E8EDE"/>
            </w:tcBorders>
            <w:shd w:val="clear" w:color="auto" w:fill="3E8EDE"/>
          </w:tcPr>
          <w:p>
            <w:pPr>
              <w:jc w:val="right"/>
              <w:ind w:right="171"/>
              <w:spacing w:after="0"/>
              <w:rPr>
                <w:sz w:val="20"/>
                <w:szCs w:val="20"/>
                <w:color w:val="auto"/>
              </w:rPr>
            </w:pPr>
            <w:r>
              <w:rPr>
                <w:rFonts w:ascii="Arial" w:cs="Arial" w:eastAsia="Arial" w:hAnsi="Arial"/>
                <w:sz w:val="14"/>
                <w:szCs w:val="14"/>
                <w:b w:val="1"/>
                <w:bCs w:val="1"/>
                <w:color w:val="FFFFFF"/>
              </w:rPr>
              <w:t>Date</w:t>
            </w:r>
          </w:p>
        </w:tc>
        <w:tc>
          <w:tcPr>
            <w:tcW w:w="860" w:type="dxa"/>
            <w:vAlign w:val="bottom"/>
            <w:shd w:val="clear" w:color="auto" w:fill="3E8EDE"/>
          </w:tcPr>
          <w:p>
            <w:pPr>
              <w:jc w:val="right"/>
              <w:ind w:right="191"/>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right w:val="single" w:sz="8" w:color="3E8EDE"/>
            </w:tcBorders>
            <w:gridSpan w:val="2"/>
            <w:shd w:val="clear" w:color="auto" w:fill="3E8EDE"/>
          </w:tcPr>
          <w:p>
            <w:pPr>
              <w:jc w:val="center"/>
              <w:ind w:left="127"/>
              <w:spacing w:after="0"/>
              <w:rPr>
                <w:sz w:val="20"/>
                <w:szCs w:val="20"/>
                <w:color w:val="auto"/>
              </w:rPr>
            </w:pPr>
            <w:r>
              <w:rPr>
                <w:rFonts w:ascii="Arial" w:cs="Arial" w:eastAsia="Arial" w:hAnsi="Arial"/>
                <w:sz w:val="14"/>
                <w:szCs w:val="14"/>
                <w:b w:val="1"/>
                <w:bCs w:val="1"/>
                <w:color w:val="FFFFFF"/>
              </w:rPr>
              <w:t>($)</w:t>
            </w:r>
          </w:p>
        </w:tc>
        <w:tc>
          <w:tcPr>
            <w:tcW w:w="120" w:type="dxa"/>
            <w:vAlign w:val="bottom"/>
            <w:shd w:val="clear" w:color="auto" w:fill="3E8EDE"/>
          </w:tcPr>
          <w:p>
            <w:pPr>
              <w:spacing w:after="0"/>
              <w:rPr>
                <w:sz w:val="18"/>
                <w:szCs w:val="18"/>
                <w:color w:val="auto"/>
              </w:rPr>
            </w:pPr>
          </w:p>
        </w:tc>
        <w:tc>
          <w:tcPr>
            <w:tcW w:w="880" w:type="dxa"/>
            <w:vAlign w:val="bottom"/>
            <w:tcBorders>
              <w:right w:val="single" w:sz="8" w:color="3E8EDE"/>
            </w:tcBorders>
            <w:shd w:val="clear" w:color="auto" w:fill="3E8EDE"/>
          </w:tcPr>
          <w:p>
            <w:pPr>
              <w:jc w:val="right"/>
              <w:ind w:right="311"/>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rPr>
              <w:t xml:space="preserve">(#) </w:t>
            </w:r>
          </w:p>
        </w:tc>
        <w:tc>
          <w:tcPr>
            <w:tcW w:w="90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rPr>
              <w:t xml:space="preserve">(#) </w:t>
            </w:r>
          </w:p>
        </w:tc>
        <w:tc>
          <w:tcPr>
            <w:tcW w:w="122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rPr>
              <w:t xml:space="preserve">($/Sh) </w:t>
            </w:r>
          </w:p>
        </w:tc>
        <w:tc>
          <w:tcPr>
            <w:tcW w:w="860" w:type="dxa"/>
            <w:vAlign w:val="bottom"/>
            <w:shd w:val="clear" w:color="auto" w:fill="3E8EDE"/>
          </w:tcPr>
          <w:p>
            <w:pPr>
              <w:jc w:val="center"/>
              <w:ind w:left="71"/>
              <w:spacing w:after="0"/>
              <w:rPr>
                <w:sz w:val="20"/>
                <w:szCs w:val="20"/>
                <w:color w:val="auto"/>
              </w:rPr>
            </w:pPr>
            <w:r>
              <w:rPr>
                <w:rFonts w:ascii="Arial" w:cs="Arial" w:eastAsia="Arial" w:hAnsi="Arial"/>
                <w:sz w:val="14"/>
                <w:szCs w:val="14"/>
                <w:b w:val="1"/>
                <w:bCs w:val="1"/>
                <w:color w:val="FFFFFF"/>
                <w:w w:val="93"/>
              </w:rPr>
              <w:t>($)</w:t>
            </w:r>
          </w:p>
        </w:tc>
      </w:tr>
      <w:tr>
        <w:trPr>
          <w:trHeight w:val="233"/>
        </w:trPr>
        <w:tc>
          <w:tcPr>
            <w:tcW w:w="1920" w:type="dxa"/>
            <w:vAlign w:val="bottom"/>
            <w:tcBorders>
              <w:right w:val="single" w:sz="8" w:color="E2EEFA"/>
            </w:tcBorders>
            <w:shd w:val="clear" w:color="auto" w:fill="E2EEFA"/>
          </w:tcPr>
          <w:p>
            <w:pPr>
              <w:spacing w:after="0"/>
              <w:rPr>
                <w:sz w:val="20"/>
                <w:szCs w:val="20"/>
                <w:color w:val="auto"/>
              </w:rPr>
            </w:pPr>
            <w:r>
              <w:rPr>
                <w:rFonts w:ascii="Arial" w:cs="Arial" w:eastAsia="Arial" w:hAnsi="Arial"/>
                <w:sz w:val="14"/>
                <w:szCs w:val="14"/>
                <w:color w:val="auto"/>
              </w:rPr>
              <w:t>  Daniel A. Carestio</w:t>
            </w:r>
          </w:p>
        </w:tc>
        <w:tc>
          <w:tcPr>
            <w:tcW w:w="880" w:type="dxa"/>
            <w:vAlign w:val="bottom"/>
            <w:tcBorders>
              <w:right w:val="single" w:sz="8" w:color="E2EEFA"/>
            </w:tcBorders>
            <w:shd w:val="clear" w:color="auto" w:fill="E2EEFA"/>
          </w:tcPr>
          <w:p>
            <w:pPr>
              <w:spacing w:after="0"/>
              <w:rPr>
                <w:sz w:val="20"/>
                <w:szCs w:val="20"/>
                <w:color w:val="auto"/>
              </w:rPr>
            </w:pPr>
          </w:p>
        </w:tc>
        <w:tc>
          <w:tcPr>
            <w:tcW w:w="860" w:type="dxa"/>
            <w:vAlign w:val="bottom"/>
            <w:tcBorders>
              <w:right w:val="single" w:sz="8" w:color="E2EEFA"/>
            </w:tcBorders>
            <w:shd w:val="clear" w:color="auto" w:fill="E2EEFA"/>
          </w:tcPr>
          <w:p>
            <w:pPr>
              <w:spacing w:after="0"/>
              <w:rPr>
                <w:sz w:val="20"/>
                <w:szCs w:val="20"/>
                <w:color w:val="auto"/>
              </w:rPr>
            </w:pPr>
          </w:p>
        </w:tc>
        <w:tc>
          <w:tcPr>
            <w:tcW w:w="860" w:type="dxa"/>
            <w:vAlign w:val="bottom"/>
            <w:shd w:val="clear" w:color="auto" w:fill="E2EEFA"/>
          </w:tcPr>
          <w:p>
            <w:pPr>
              <w:spacing w:after="0"/>
              <w:rPr>
                <w:sz w:val="20"/>
                <w:szCs w:val="20"/>
                <w:color w:val="auto"/>
              </w:rPr>
            </w:pPr>
          </w:p>
        </w:tc>
        <w:tc>
          <w:tcPr>
            <w:tcW w:w="120" w:type="dxa"/>
            <w:vAlign w:val="bottom"/>
            <w:tcBorders>
              <w:right w:val="single" w:sz="8" w:color="E2EEFA"/>
            </w:tcBorders>
            <w:shd w:val="clear" w:color="auto" w:fill="E2EEFA"/>
          </w:tcPr>
          <w:p>
            <w:pPr>
              <w:spacing w:after="0"/>
              <w:rPr>
                <w:sz w:val="20"/>
                <w:szCs w:val="20"/>
                <w:color w:val="auto"/>
              </w:rPr>
            </w:pPr>
          </w:p>
        </w:tc>
        <w:tc>
          <w:tcPr>
            <w:tcW w:w="980" w:type="dxa"/>
            <w:vAlign w:val="bottom"/>
            <w:tcBorders>
              <w:right w:val="single" w:sz="8" w:color="E2EEFA"/>
            </w:tcBorders>
            <w:shd w:val="clear" w:color="auto" w:fill="E2EEFA"/>
          </w:tcPr>
          <w:p>
            <w:pPr>
              <w:spacing w:after="0"/>
              <w:rPr>
                <w:sz w:val="20"/>
                <w:szCs w:val="20"/>
                <w:color w:val="auto"/>
              </w:rPr>
            </w:pPr>
          </w:p>
        </w:tc>
        <w:tc>
          <w:tcPr>
            <w:tcW w:w="120" w:type="dxa"/>
            <w:vAlign w:val="bottom"/>
            <w:shd w:val="clear" w:color="auto" w:fill="E2EEFA"/>
          </w:tcPr>
          <w:p>
            <w:pPr>
              <w:spacing w:after="0"/>
              <w:rPr>
                <w:sz w:val="20"/>
                <w:szCs w:val="20"/>
                <w:color w:val="auto"/>
              </w:rPr>
            </w:pPr>
          </w:p>
        </w:tc>
        <w:tc>
          <w:tcPr>
            <w:tcW w:w="880" w:type="dxa"/>
            <w:vAlign w:val="bottom"/>
            <w:tcBorders>
              <w:right w:val="single" w:sz="8" w:color="E2EEFA"/>
            </w:tcBorders>
            <w:shd w:val="clear" w:color="auto" w:fill="E2EEFA"/>
          </w:tcPr>
          <w:p>
            <w:pPr>
              <w:spacing w:after="0"/>
              <w:rPr>
                <w:sz w:val="20"/>
                <w:szCs w:val="20"/>
                <w:color w:val="auto"/>
              </w:rPr>
            </w:pPr>
          </w:p>
        </w:tc>
        <w:tc>
          <w:tcPr>
            <w:tcW w:w="960" w:type="dxa"/>
            <w:vAlign w:val="bottom"/>
            <w:tcBorders>
              <w:right w:val="single" w:sz="8" w:color="E2EEFA"/>
            </w:tcBorders>
            <w:shd w:val="clear" w:color="auto" w:fill="E2EEFA"/>
          </w:tcPr>
          <w:p>
            <w:pPr>
              <w:spacing w:after="0"/>
              <w:rPr>
                <w:sz w:val="20"/>
                <w:szCs w:val="20"/>
                <w:color w:val="auto"/>
              </w:rPr>
            </w:pPr>
          </w:p>
        </w:tc>
        <w:tc>
          <w:tcPr>
            <w:tcW w:w="900" w:type="dxa"/>
            <w:vAlign w:val="bottom"/>
            <w:tcBorders>
              <w:right w:val="single" w:sz="8" w:color="E2EEFA"/>
            </w:tcBorders>
            <w:shd w:val="clear" w:color="auto" w:fill="E2EEFA"/>
          </w:tcPr>
          <w:p>
            <w:pPr>
              <w:spacing w:after="0"/>
              <w:rPr>
                <w:sz w:val="20"/>
                <w:szCs w:val="20"/>
                <w:color w:val="auto"/>
              </w:rPr>
            </w:pPr>
          </w:p>
        </w:tc>
        <w:tc>
          <w:tcPr>
            <w:tcW w:w="1220" w:type="dxa"/>
            <w:vAlign w:val="bottom"/>
            <w:tcBorders>
              <w:right w:val="single" w:sz="8" w:color="E2EEFA"/>
            </w:tcBorders>
            <w:shd w:val="clear" w:color="auto" w:fill="E2EEFA"/>
          </w:tcPr>
          <w:p>
            <w:pPr>
              <w:spacing w:after="0"/>
              <w:rPr>
                <w:sz w:val="20"/>
                <w:szCs w:val="20"/>
                <w:color w:val="auto"/>
              </w:rPr>
            </w:pPr>
          </w:p>
        </w:tc>
        <w:tc>
          <w:tcPr>
            <w:tcW w:w="860" w:type="dxa"/>
            <w:vAlign w:val="bottom"/>
            <w:shd w:val="clear" w:color="auto" w:fill="E2EEFA"/>
          </w:tcPr>
          <w:p>
            <w:pPr>
              <w:spacing w:after="0"/>
              <w:rPr>
                <w:sz w:val="20"/>
                <w:szCs w:val="20"/>
                <w:color w:val="auto"/>
              </w:rPr>
            </w:pPr>
          </w:p>
        </w:tc>
      </w:tr>
      <w:tr>
        <w:trPr>
          <w:trHeight w:val="242"/>
        </w:trPr>
        <w:tc>
          <w:tcPr>
            <w:tcW w:w="1920" w:type="dxa"/>
            <w:vAlign w:val="bottom"/>
            <w:tcBorders>
              <w:right w:val="single" w:sz="8" w:color="B2B2B2"/>
            </w:tcBorders>
          </w:tcPr>
          <w:p>
            <w:pPr>
              <w:spacing w:after="0"/>
              <w:rPr>
                <w:sz w:val="21"/>
                <w:szCs w:val="21"/>
                <w:color w:val="auto"/>
              </w:rPr>
            </w:pPr>
          </w:p>
        </w:tc>
        <w:tc>
          <w:tcPr>
            <w:tcW w:w="88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6/3/2025</w:t>
            </w:r>
          </w:p>
        </w:tc>
        <w:tc>
          <w:tcPr>
            <w:tcW w:w="86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5/7/2025</w:t>
            </w:r>
          </w:p>
        </w:tc>
        <w:tc>
          <w:tcPr>
            <w:tcW w:w="860" w:type="dxa"/>
            <w:vAlign w:val="bottom"/>
            <w:tcBorders>
              <w:bottom w:val="single" w:sz="8" w:color="B2B2B2"/>
            </w:tcBorders>
          </w:tcPr>
          <w:p>
            <w:pPr>
              <w:spacing w:after="0"/>
              <w:rPr>
                <w:sz w:val="21"/>
                <w:szCs w:val="21"/>
                <w:color w:val="auto"/>
              </w:rPr>
            </w:pPr>
          </w:p>
        </w:tc>
        <w:tc>
          <w:tcPr>
            <w:tcW w:w="120" w:type="dxa"/>
            <w:vAlign w:val="bottom"/>
            <w:tcBorders>
              <w:bottom w:val="single" w:sz="8" w:color="B2B2B2"/>
              <w:right w:val="single" w:sz="8" w:color="B2B2B2"/>
            </w:tcBorders>
          </w:tcPr>
          <w:p>
            <w:pPr>
              <w:spacing w:after="0"/>
              <w:rPr>
                <w:sz w:val="21"/>
                <w:szCs w:val="21"/>
                <w:color w:val="auto"/>
              </w:rPr>
            </w:pPr>
          </w:p>
        </w:tc>
        <w:tc>
          <w:tcPr>
            <w:tcW w:w="980" w:type="dxa"/>
            <w:vAlign w:val="bottom"/>
            <w:tcBorders>
              <w:bottom w:val="single" w:sz="8" w:color="B2B2B2"/>
              <w:right w:val="single" w:sz="8" w:color="B2B2B2"/>
            </w:tcBorders>
          </w:tcPr>
          <w:p>
            <w:pPr>
              <w:spacing w:after="0"/>
              <w:rPr>
                <w:sz w:val="21"/>
                <w:szCs w:val="21"/>
                <w:color w:val="auto"/>
              </w:rPr>
            </w:pPr>
          </w:p>
        </w:tc>
        <w:tc>
          <w:tcPr>
            <w:tcW w:w="120" w:type="dxa"/>
            <w:vAlign w:val="bottom"/>
            <w:tcBorders>
              <w:bottom w:val="single" w:sz="8" w:color="B2B2B2"/>
            </w:tcBorders>
          </w:tcPr>
          <w:p>
            <w:pPr>
              <w:spacing w:after="0"/>
              <w:rPr>
                <w:sz w:val="21"/>
                <w:szCs w:val="21"/>
                <w:color w:val="auto"/>
              </w:rPr>
            </w:pPr>
          </w:p>
        </w:tc>
        <w:tc>
          <w:tcPr>
            <w:tcW w:w="880" w:type="dxa"/>
            <w:vAlign w:val="bottom"/>
            <w:tcBorders>
              <w:bottom w:val="single" w:sz="8" w:color="B2B2B2"/>
              <w:right w:val="single" w:sz="8" w:color="B2B2B2"/>
            </w:tcBorders>
          </w:tcPr>
          <w:p>
            <w:pPr>
              <w:spacing w:after="0"/>
              <w:rPr>
                <w:sz w:val="21"/>
                <w:szCs w:val="21"/>
                <w:color w:val="auto"/>
              </w:rPr>
            </w:pPr>
          </w:p>
        </w:tc>
        <w:tc>
          <w:tcPr>
            <w:tcW w:w="960" w:type="dxa"/>
            <w:vAlign w:val="bottom"/>
            <w:tcBorders>
              <w:bottom w:val="single" w:sz="8" w:color="B2B2B2"/>
              <w:right w:val="single" w:sz="8" w:color="B2B2B2"/>
            </w:tcBorders>
          </w:tcPr>
          <w:p>
            <w:pPr>
              <w:jc w:val="center"/>
              <w:ind w:left="211"/>
              <w:spacing w:after="0"/>
              <w:rPr>
                <w:sz w:val="20"/>
                <w:szCs w:val="20"/>
                <w:color w:val="auto"/>
              </w:rPr>
            </w:pPr>
            <w:r>
              <w:rPr>
                <w:rFonts w:ascii="Arial" w:cs="Arial" w:eastAsia="Arial" w:hAnsi="Arial"/>
                <w:sz w:val="14"/>
                <w:szCs w:val="14"/>
                <w:color w:val="auto"/>
                <w:w w:val="93"/>
              </w:rPr>
              <w:t>17,811</w:t>
            </w:r>
          </w:p>
        </w:tc>
        <w:tc>
          <w:tcPr>
            <w:tcW w:w="900" w:type="dxa"/>
            <w:vAlign w:val="bottom"/>
            <w:tcBorders>
              <w:bottom w:val="single" w:sz="8" w:color="B2B2B2"/>
              <w:right w:val="single" w:sz="8" w:color="B2B2B2"/>
            </w:tcBorders>
          </w:tcPr>
          <w:p>
            <w:pPr>
              <w:spacing w:after="0"/>
              <w:rPr>
                <w:sz w:val="21"/>
                <w:szCs w:val="21"/>
                <w:color w:val="auto"/>
              </w:rPr>
            </w:pPr>
          </w:p>
        </w:tc>
        <w:tc>
          <w:tcPr>
            <w:tcW w:w="1220" w:type="dxa"/>
            <w:vAlign w:val="bottom"/>
            <w:tcBorders>
              <w:bottom w:val="single" w:sz="8" w:color="B2B2B2"/>
              <w:right w:val="single" w:sz="8" w:color="B2B2B2"/>
            </w:tcBorders>
          </w:tcPr>
          <w:p>
            <w:pPr>
              <w:spacing w:after="0"/>
              <w:rPr>
                <w:sz w:val="21"/>
                <w:szCs w:val="21"/>
                <w:color w:val="auto"/>
              </w:rPr>
            </w:pP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4,333,951</w:t>
            </w:r>
          </w:p>
        </w:tc>
      </w:tr>
      <w:tr>
        <w:trPr>
          <w:trHeight w:val="226"/>
        </w:trPr>
        <w:tc>
          <w:tcPr>
            <w:tcW w:w="1920" w:type="dxa"/>
            <w:vAlign w:val="bottom"/>
            <w:tcBorders>
              <w:right w:val="single" w:sz="8" w:color="B2B2B2"/>
            </w:tcBorders>
          </w:tcPr>
          <w:p>
            <w:pPr>
              <w:spacing w:after="0"/>
              <w:rPr>
                <w:sz w:val="19"/>
                <w:szCs w:val="19"/>
                <w:color w:val="auto"/>
              </w:rPr>
            </w:pPr>
          </w:p>
        </w:tc>
        <w:tc>
          <w:tcPr>
            <w:tcW w:w="88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6/3/2025</w:t>
            </w:r>
          </w:p>
        </w:tc>
        <w:tc>
          <w:tcPr>
            <w:tcW w:w="86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5/7/2025</w:t>
            </w:r>
          </w:p>
        </w:tc>
        <w:tc>
          <w:tcPr>
            <w:tcW w:w="860" w:type="dxa"/>
            <w:vAlign w:val="bottom"/>
            <w:tcBorders>
              <w:bottom w:val="single" w:sz="8" w:color="B2B2B2"/>
            </w:tcBorders>
          </w:tcPr>
          <w:p>
            <w:pPr>
              <w:spacing w:after="0"/>
              <w:rPr>
                <w:sz w:val="19"/>
                <w:szCs w:val="19"/>
                <w:color w:val="auto"/>
              </w:rPr>
            </w:pPr>
          </w:p>
        </w:tc>
        <w:tc>
          <w:tcPr>
            <w:tcW w:w="120" w:type="dxa"/>
            <w:vAlign w:val="bottom"/>
            <w:tcBorders>
              <w:bottom w:val="single" w:sz="8" w:color="B2B2B2"/>
              <w:right w:val="single" w:sz="8" w:color="B2B2B2"/>
            </w:tcBorders>
          </w:tcPr>
          <w:p>
            <w:pPr>
              <w:spacing w:after="0"/>
              <w:rPr>
                <w:sz w:val="19"/>
                <w:szCs w:val="19"/>
                <w:color w:val="auto"/>
              </w:rPr>
            </w:pPr>
          </w:p>
        </w:tc>
        <w:tc>
          <w:tcPr>
            <w:tcW w:w="980" w:type="dxa"/>
            <w:vAlign w:val="bottom"/>
            <w:tcBorders>
              <w:bottom w:val="single" w:sz="8" w:color="B2B2B2"/>
              <w:right w:val="single" w:sz="8" w:color="B2B2B2"/>
            </w:tcBorders>
          </w:tcPr>
          <w:p>
            <w:pPr>
              <w:spacing w:after="0"/>
              <w:rPr>
                <w:sz w:val="19"/>
                <w:szCs w:val="19"/>
                <w:color w:val="auto"/>
              </w:rPr>
            </w:pPr>
          </w:p>
        </w:tc>
        <w:tc>
          <w:tcPr>
            <w:tcW w:w="120" w:type="dxa"/>
            <w:vAlign w:val="bottom"/>
            <w:tcBorders>
              <w:bottom w:val="single" w:sz="8" w:color="B2B2B2"/>
            </w:tcBorders>
          </w:tcPr>
          <w:p>
            <w:pPr>
              <w:spacing w:after="0"/>
              <w:rPr>
                <w:sz w:val="19"/>
                <w:szCs w:val="19"/>
                <w:color w:val="auto"/>
              </w:rPr>
            </w:pPr>
          </w:p>
        </w:tc>
        <w:tc>
          <w:tcPr>
            <w:tcW w:w="880" w:type="dxa"/>
            <w:vAlign w:val="bottom"/>
            <w:tcBorders>
              <w:bottom w:val="single" w:sz="8" w:color="B2B2B2"/>
              <w:right w:val="single" w:sz="8" w:color="B2B2B2"/>
            </w:tcBorders>
          </w:tcPr>
          <w:p>
            <w:pPr>
              <w:spacing w:after="0"/>
              <w:rPr>
                <w:sz w:val="19"/>
                <w:szCs w:val="19"/>
                <w:color w:val="auto"/>
              </w:rPr>
            </w:pPr>
          </w:p>
        </w:tc>
        <w:tc>
          <w:tcPr>
            <w:tcW w:w="960" w:type="dxa"/>
            <w:vAlign w:val="bottom"/>
            <w:tcBorders>
              <w:bottom w:val="single" w:sz="8" w:color="B2B2B2"/>
              <w:right w:val="single" w:sz="8" w:color="B2B2B2"/>
            </w:tcBorders>
          </w:tcPr>
          <w:p>
            <w:pPr>
              <w:spacing w:after="0"/>
              <w:rPr>
                <w:sz w:val="19"/>
                <w:szCs w:val="19"/>
                <w:color w:val="auto"/>
              </w:rPr>
            </w:pPr>
          </w:p>
        </w:tc>
        <w:tc>
          <w:tcPr>
            <w:tcW w:w="900" w:type="dxa"/>
            <w:vAlign w:val="bottom"/>
            <w:tcBorders>
              <w:bottom w:val="single" w:sz="8" w:color="B2B2B2"/>
              <w:right w:val="single" w:sz="8" w:color="B2B2B2"/>
            </w:tcBorders>
          </w:tcPr>
          <w:p>
            <w:pPr>
              <w:jc w:val="center"/>
              <w:ind w:left="211"/>
              <w:spacing w:after="0"/>
              <w:rPr>
                <w:sz w:val="20"/>
                <w:szCs w:val="20"/>
                <w:color w:val="auto"/>
              </w:rPr>
            </w:pPr>
            <w:r>
              <w:rPr>
                <w:rFonts w:ascii="Arial" w:cs="Arial" w:eastAsia="Arial" w:hAnsi="Arial"/>
                <w:sz w:val="14"/>
                <w:szCs w:val="14"/>
                <w:color w:val="auto"/>
                <w:w w:val="97"/>
              </w:rPr>
              <w:t>63,328</w:t>
            </w:r>
          </w:p>
        </w:tc>
        <w:tc>
          <w:tcPr>
            <w:tcW w:w="1220" w:type="dxa"/>
            <w:vAlign w:val="bottom"/>
            <w:tcBorders>
              <w:bottom w:val="single" w:sz="8" w:color="B2B2B2"/>
              <w:right w:val="single" w:sz="8" w:color="B2B2B2"/>
            </w:tcBorders>
          </w:tcPr>
          <w:p>
            <w:pPr>
              <w:ind w:left="480"/>
              <w:spacing w:after="0"/>
              <w:rPr>
                <w:sz w:val="20"/>
                <w:szCs w:val="20"/>
                <w:color w:val="auto"/>
              </w:rPr>
            </w:pPr>
            <w:r>
              <w:rPr>
                <w:rFonts w:ascii="Arial" w:cs="Arial" w:eastAsia="Arial" w:hAnsi="Arial"/>
                <w:sz w:val="14"/>
                <w:szCs w:val="14"/>
                <w:color w:val="auto"/>
              </w:rPr>
              <w:t>267.66</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4,334,251</w:t>
            </w:r>
          </w:p>
        </w:tc>
      </w:tr>
      <w:tr>
        <w:trPr>
          <w:trHeight w:val="217"/>
        </w:trPr>
        <w:tc>
          <w:tcPr>
            <w:tcW w:w="1920" w:type="dxa"/>
            <w:vAlign w:val="bottom"/>
            <w:tcBorders>
              <w:right w:val="single" w:sz="8" w:color="B2B2B2"/>
            </w:tcBorders>
          </w:tcPr>
          <w:p>
            <w:pPr>
              <w:spacing w:after="0"/>
              <w:rPr>
                <w:sz w:val="18"/>
                <w:szCs w:val="18"/>
                <w:color w:val="auto"/>
              </w:rPr>
            </w:pPr>
          </w:p>
        </w:tc>
        <w:tc>
          <w:tcPr>
            <w:tcW w:w="880" w:type="dxa"/>
            <w:vAlign w:val="bottom"/>
            <w:tcBorders>
              <w:right w:val="single" w:sz="8" w:color="B2B2B2"/>
            </w:tcBorders>
          </w:tcPr>
          <w:p>
            <w:pPr>
              <w:spacing w:after="0"/>
              <w:rPr>
                <w:sz w:val="18"/>
                <w:szCs w:val="18"/>
                <w:color w:val="auto"/>
              </w:rPr>
            </w:pPr>
          </w:p>
        </w:tc>
        <w:tc>
          <w:tcPr>
            <w:tcW w:w="860" w:type="dxa"/>
            <w:vAlign w:val="bottom"/>
            <w:tcBorders>
              <w:right w:val="single" w:sz="8" w:color="B2B2B2"/>
            </w:tcBorders>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4"/>
                <w:szCs w:val="14"/>
                <w:color w:val="auto"/>
              </w:rPr>
              <w:t>0</w:t>
            </w:r>
          </w:p>
        </w:tc>
        <w:tc>
          <w:tcPr>
            <w:tcW w:w="120" w:type="dxa"/>
            <w:vAlign w:val="bottom"/>
            <w:tcBorders>
              <w:right w:val="single" w:sz="8" w:color="B2B2B2"/>
            </w:tcBorders>
          </w:tcPr>
          <w:p>
            <w:pPr>
              <w:spacing w:after="0"/>
              <w:rPr>
                <w:sz w:val="18"/>
                <w:szCs w:val="18"/>
                <w:color w:val="auto"/>
              </w:rPr>
            </w:pPr>
          </w:p>
        </w:tc>
        <w:tc>
          <w:tcPr>
            <w:tcW w:w="980" w:type="dxa"/>
            <w:vAlign w:val="bottom"/>
            <w:tcBorders>
              <w:right w:val="single" w:sz="8" w:color="B2B2B2"/>
            </w:tcBorders>
          </w:tcPr>
          <w:p>
            <w:pPr>
              <w:jc w:val="right"/>
              <w:ind w:right="112"/>
              <w:spacing w:after="0"/>
              <w:rPr>
                <w:sz w:val="20"/>
                <w:szCs w:val="20"/>
                <w:color w:val="auto"/>
              </w:rPr>
            </w:pPr>
            <w:r>
              <w:rPr>
                <w:rFonts w:ascii="Arial" w:cs="Arial" w:eastAsia="Arial" w:hAnsi="Arial"/>
                <w:sz w:val="14"/>
                <w:szCs w:val="14"/>
                <w:color w:val="auto"/>
              </w:rPr>
              <w:t>1,378,902</w:t>
            </w:r>
          </w:p>
        </w:tc>
        <w:tc>
          <w:tcPr>
            <w:tcW w:w="120" w:type="dxa"/>
            <w:vAlign w:val="bottom"/>
          </w:tcPr>
          <w:p>
            <w:pPr>
              <w:spacing w:after="0"/>
              <w:rPr>
                <w:sz w:val="18"/>
                <w:szCs w:val="18"/>
                <w:color w:val="auto"/>
              </w:rPr>
            </w:pPr>
          </w:p>
        </w:tc>
        <w:tc>
          <w:tcPr>
            <w:tcW w:w="880" w:type="dxa"/>
            <w:vAlign w:val="bottom"/>
            <w:tcBorders>
              <w:right w:val="single" w:sz="8" w:color="B2B2B2"/>
            </w:tcBorders>
          </w:tcPr>
          <w:p>
            <w:pPr>
              <w:jc w:val="right"/>
              <w:ind w:right="111"/>
              <w:spacing w:after="0"/>
              <w:rPr>
                <w:sz w:val="20"/>
                <w:szCs w:val="20"/>
                <w:color w:val="auto"/>
              </w:rPr>
            </w:pPr>
            <w:r>
              <w:rPr>
                <w:rFonts w:ascii="Arial" w:cs="Arial" w:eastAsia="Arial" w:hAnsi="Arial"/>
                <w:sz w:val="14"/>
                <w:szCs w:val="14"/>
                <w:color w:val="auto"/>
              </w:rPr>
              <w:t>2,757,804</w:t>
            </w:r>
          </w:p>
        </w:tc>
        <w:tc>
          <w:tcPr>
            <w:tcW w:w="960" w:type="dxa"/>
            <w:vAlign w:val="bottom"/>
            <w:tcBorders>
              <w:right w:val="single" w:sz="8" w:color="B2B2B2"/>
            </w:tcBorders>
          </w:tcPr>
          <w:p>
            <w:pPr>
              <w:spacing w:after="0"/>
              <w:rPr>
                <w:sz w:val="18"/>
                <w:szCs w:val="18"/>
                <w:color w:val="auto"/>
              </w:rPr>
            </w:pPr>
          </w:p>
        </w:tc>
        <w:tc>
          <w:tcPr>
            <w:tcW w:w="900" w:type="dxa"/>
            <w:vAlign w:val="bottom"/>
            <w:tcBorders>
              <w:right w:val="single" w:sz="8" w:color="B2B2B2"/>
            </w:tcBorders>
          </w:tcPr>
          <w:p>
            <w:pPr>
              <w:spacing w:after="0"/>
              <w:rPr>
                <w:sz w:val="18"/>
                <w:szCs w:val="18"/>
                <w:color w:val="auto"/>
              </w:rPr>
            </w:pPr>
          </w:p>
        </w:tc>
        <w:tc>
          <w:tcPr>
            <w:tcW w:w="1220" w:type="dxa"/>
            <w:vAlign w:val="bottom"/>
            <w:tcBorders>
              <w:right w:val="single" w:sz="8" w:color="B2B2B2"/>
            </w:tcBorders>
          </w:tcPr>
          <w:p>
            <w:pPr>
              <w:spacing w:after="0"/>
              <w:rPr>
                <w:sz w:val="18"/>
                <w:szCs w:val="18"/>
                <w:color w:val="auto"/>
              </w:rPr>
            </w:pPr>
          </w:p>
        </w:tc>
        <w:tc>
          <w:tcPr>
            <w:tcW w:w="860" w:type="dxa"/>
            <w:vAlign w:val="bottom"/>
          </w:tcPr>
          <w:p>
            <w:pPr>
              <w:spacing w:after="0"/>
              <w:rPr>
                <w:sz w:val="18"/>
                <w:szCs w:val="18"/>
                <w:color w:val="auto"/>
              </w:rPr>
            </w:pPr>
          </w:p>
        </w:tc>
      </w:tr>
      <w:tr>
        <w:trPr>
          <w:trHeight w:val="233"/>
        </w:trPr>
        <w:tc>
          <w:tcPr>
            <w:tcW w:w="1920" w:type="dxa"/>
            <w:vAlign w:val="bottom"/>
            <w:tcBorders>
              <w:right w:val="single" w:sz="8" w:color="E2EEFA"/>
            </w:tcBorders>
            <w:shd w:val="clear" w:color="auto" w:fill="E2EEFA"/>
          </w:tcPr>
          <w:p>
            <w:pPr>
              <w:spacing w:after="0"/>
              <w:rPr>
                <w:sz w:val="20"/>
                <w:szCs w:val="20"/>
                <w:color w:val="auto"/>
              </w:rPr>
            </w:pPr>
            <w:r>
              <w:rPr>
                <w:rFonts w:ascii="Arial" w:cs="Arial" w:eastAsia="Arial" w:hAnsi="Arial"/>
                <w:sz w:val="14"/>
                <w:szCs w:val="14"/>
                <w:color w:val="auto"/>
              </w:rPr>
              <w:t>  Karen L. Burton</w:t>
            </w:r>
          </w:p>
        </w:tc>
        <w:tc>
          <w:tcPr>
            <w:tcW w:w="880" w:type="dxa"/>
            <w:vAlign w:val="bottom"/>
            <w:tcBorders>
              <w:right w:val="single" w:sz="8" w:color="E2EEFA"/>
            </w:tcBorders>
            <w:shd w:val="clear" w:color="auto" w:fill="E2EEFA"/>
          </w:tcPr>
          <w:p>
            <w:pPr>
              <w:spacing w:after="0"/>
              <w:rPr>
                <w:sz w:val="20"/>
                <w:szCs w:val="20"/>
                <w:color w:val="auto"/>
              </w:rPr>
            </w:pPr>
          </w:p>
        </w:tc>
        <w:tc>
          <w:tcPr>
            <w:tcW w:w="860" w:type="dxa"/>
            <w:vAlign w:val="bottom"/>
            <w:tcBorders>
              <w:right w:val="single" w:sz="8" w:color="E2EEFA"/>
            </w:tcBorders>
            <w:shd w:val="clear" w:color="auto" w:fill="E2EEFA"/>
          </w:tcPr>
          <w:p>
            <w:pPr>
              <w:spacing w:after="0"/>
              <w:rPr>
                <w:sz w:val="20"/>
                <w:szCs w:val="20"/>
                <w:color w:val="auto"/>
              </w:rPr>
            </w:pPr>
          </w:p>
        </w:tc>
        <w:tc>
          <w:tcPr>
            <w:tcW w:w="860" w:type="dxa"/>
            <w:vAlign w:val="bottom"/>
            <w:shd w:val="clear" w:color="auto" w:fill="E2EEFA"/>
          </w:tcPr>
          <w:p>
            <w:pPr>
              <w:spacing w:after="0"/>
              <w:rPr>
                <w:sz w:val="20"/>
                <w:szCs w:val="20"/>
                <w:color w:val="auto"/>
              </w:rPr>
            </w:pPr>
          </w:p>
        </w:tc>
        <w:tc>
          <w:tcPr>
            <w:tcW w:w="120" w:type="dxa"/>
            <w:vAlign w:val="bottom"/>
            <w:tcBorders>
              <w:right w:val="single" w:sz="8" w:color="E2EEFA"/>
            </w:tcBorders>
            <w:shd w:val="clear" w:color="auto" w:fill="E2EEFA"/>
          </w:tcPr>
          <w:p>
            <w:pPr>
              <w:spacing w:after="0"/>
              <w:rPr>
                <w:sz w:val="20"/>
                <w:szCs w:val="20"/>
                <w:color w:val="auto"/>
              </w:rPr>
            </w:pPr>
          </w:p>
        </w:tc>
        <w:tc>
          <w:tcPr>
            <w:tcW w:w="980" w:type="dxa"/>
            <w:vAlign w:val="bottom"/>
            <w:tcBorders>
              <w:right w:val="single" w:sz="8" w:color="E2EEFA"/>
            </w:tcBorders>
            <w:shd w:val="clear" w:color="auto" w:fill="E2EEFA"/>
          </w:tcPr>
          <w:p>
            <w:pPr>
              <w:spacing w:after="0"/>
              <w:rPr>
                <w:sz w:val="20"/>
                <w:szCs w:val="20"/>
                <w:color w:val="auto"/>
              </w:rPr>
            </w:pPr>
          </w:p>
        </w:tc>
        <w:tc>
          <w:tcPr>
            <w:tcW w:w="120" w:type="dxa"/>
            <w:vAlign w:val="bottom"/>
            <w:shd w:val="clear" w:color="auto" w:fill="E2EEFA"/>
          </w:tcPr>
          <w:p>
            <w:pPr>
              <w:spacing w:after="0"/>
              <w:rPr>
                <w:sz w:val="20"/>
                <w:szCs w:val="20"/>
                <w:color w:val="auto"/>
              </w:rPr>
            </w:pPr>
          </w:p>
        </w:tc>
        <w:tc>
          <w:tcPr>
            <w:tcW w:w="880" w:type="dxa"/>
            <w:vAlign w:val="bottom"/>
            <w:tcBorders>
              <w:right w:val="single" w:sz="8" w:color="E2EEFA"/>
            </w:tcBorders>
            <w:shd w:val="clear" w:color="auto" w:fill="E2EEFA"/>
          </w:tcPr>
          <w:p>
            <w:pPr>
              <w:spacing w:after="0"/>
              <w:rPr>
                <w:sz w:val="20"/>
                <w:szCs w:val="20"/>
                <w:color w:val="auto"/>
              </w:rPr>
            </w:pPr>
          </w:p>
        </w:tc>
        <w:tc>
          <w:tcPr>
            <w:tcW w:w="960" w:type="dxa"/>
            <w:vAlign w:val="bottom"/>
            <w:tcBorders>
              <w:right w:val="single" w:sz="8" w:color="E2EEFA"/>
            </w:tcBorders>
            <w:shd w:val="clear" w:color="auto" w:fill="E2EEFA"/>
          </w:tcPr>
          <w:p>
            <w:pPr>
              <w:spacing w:after="0"/>
              <w:rPr>
                <w:sz w:val="20"/>
                <w:szCs w:val="20"/>
                <w:color w:val="auto"/>
              </w:rPr>
            </w:pPr>
          </w:p>
        </w:tc>
        <w:tc>
          <w:tcPr>
            <w:tcW w:w="900" w:type="dxa"/>
            <w:vAlign w:val="bottom"/>
            <w:tcBorders>
              <w:right w:val="single" w:sz="8" w:color="E2EEFA"/>
            </w:tcBorders>
            <w:shd w:val="clear" w:color="auto" w:fill="E2EEFA"/>
          </w:tcPr>
          <w:p>
            <w:pPr>
              <w:spacing w:after="0"/>
              <w:rPr>
                <w:sz w:val="20"/>
                <w:szCs w:val="20"/>
                <w:color w:val="auto"/>
              </w:rPr>
            </w:pPr>
          </w:p>
        </w:tc>
        <w:tc>
          <w:tcPr>
            <w:tcW w:w="1220" w:type="dxa"/>
            <w:vAlign w:val="bottom"/>
            <w:tcBorders>
              <w:right w:val="single" w:sz="8" w:color="E2EEFA"/>
            </w:tcBorders>
            <w:shd w:val="clear" w:color="auto" w:fill="E2EEFA"/>
          </w:tcPr>
          <w:p>
            <w:pPr>
              <w:spacing w:after="0"/>
              <w:rPr>
                <w:sz w:val="20"/>
                <w:szCs w:val="20"/>
                <w:color w:val="auto"/>
              </w:rPr>
            </w:pPr>
          </w:p>
        </w:tc>
        <w:tc>
          <w:tcPr>
            <w:tcW w:w="860" w:type="dxa"/>
            <w:vAlign w:val="bottom"/>
            <w:shd w:val="clear" w:color="auto" w:fill="E2EEFA"/>
          </w:tcPr>
          <w:p>
            <w:pPr>
              <w:spacing w:after="0"/>
              <w:rPr>
                <w:sz w:val="20"/>
                <w:szCs w:val="20"/>
                <w:color w:val="auto"/>
              </w:rPr>
            </w:pPr>
          </w:p>
        </w:tc>
      </w:tr>
      <w:tr>
        <w:trPr>
          <w:trHeight w:val="242"/>
        </w:trPr>
        <w:tc>
          <w:tcPr>
            <w:tcW w:w="1920" w:type="dxa"/>
            <w:vAlign w:val="bottom"/>
            <w:tcBorders>
              <w:right w:val="single" w:sz="8" w:color="B2B2B2"/>
            </w:tcBorders>
          </w:tcPr>
          <w:p>
            <w:pPr>
              <w:spacing w:after="0"/>
              <w:rPr>
                <w:sz w:val="21"/>
                <w:szCs w:val="21"/>
                <w:color w:val="auto"/>
              </w:rPr>
            </w:pPr>
          </w:p>
        </w:tc>
        <w:tc>
          <w:tcPr>
            <w:tcW w:w="88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6/3/2025</w:t>
            </w:r>
          </w:p>
        </w:tc>
        <w:tc>
          <w:tcPr>
            <w:tcW w:w="86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5/7/2025</w:t>
            </w:r>
          </w:p>
        </w:tc>
        <w:tc>
          <w:tcPr>
            <w:tcW w:w="860" w:type="dxa"/>
            <w:vAlign w:val="bottom"/>
            <w:tcBorders>
              <w:bottom w:val="single" w:sz="8" w:color="B2B2B2"/>
            </w:tcBorders>
          </w:tcPr>
          <w:p>
            <w:pPr>
              <w:spacing w:after="0"/>
              <w:rPr>
                <w:sz w:val="21"/>
                <w:szCs w:val="21"/>
                <w:color w:val="auto"/>
              </w:rPr>
            </w:pPr>
          </w:p>
        </w:tc>
        <w:tc>
          <w:tcPr>
            <w:tcW w:w="120" w:type="dxa"/>
            <w:vAlign w:val="bottom"/>
            <w:tcBorders>
              <w:bottom w:val="single" w:sz="8" w:color="B2B2B2"/>
              <w:right w:val="single" w:sz="8" w:color="B2B2B2"/>
            </w:tcBorders>
          </w:tcPr>
          <w:p>
            <w:pPr>
              <w:spacing w:after="0"/>
              <w:rPr>
                <w:sz w:val="21"/>
                <w:szCs w:val="21"/>
                <w:color w:val="auto"/>
              </w:rPr>
            </w:pPr>
          </w:p>
        </w:tc>
        <w:tc>
          <w:tcPr>
            <w:tcW w:w="980" w:type="dxa"/>
            <w:vAlign w:val="bottom"/>
            <w:tcBorders>
              <w:bottom w:val="single" w:sz="8" w:color="B2B2B2"/>
              <w:right w:val="single" w:sz="8" w:color="B2B2B2"/>
            </w:tcBorders>
          </w:tcPr>
          <w:p>
            <w:pPr>
              <w:spacing w:after="0"/>
              <w:rPr>
                <w:sz w:val="21"/>
                <w:szCs w:val="21"/>
                <w:color w:val="auto"/>
              </w:rPr>
            </w:pPr>
          </w:p>
        </w:tc>
        <w:tc>
          <w:tcPr>
            <w:tcW w:w="120" w:type="dxa"/>
            <w:vAlign w:val="bottom"/>
            <w:tcBorders>
              <w:bottom w:val="single" w:sz="8" w:color="B2B2B2"/>
            </w:tcBorders>
          </w:tcPr>
          <w:p>
            <w:pPr>
              <w:spacing w:after="0"/>
              <w:rPr>
                <w:sz w:val="21"/>
                <w:szCs w:val="21"/>
                <w:color w:val="auto"/>
              </w:rPr>
            </w:pPr>
          </w:p>
        </w:tc>
        <w:tc>
          <w:tcPr>
            <w:tcW w:w="880" w:type="dxa"/>
            <w:vAlign w:val="bottom"/>
            <w:tcBorders>
              <w:bottom w:val="single" w:sz="8" w:color="B2B2B2"/>
              <w:right w:val="single" w:sz="8" w:color="B2B2B2"/>
            </w:tcBorders>
          </w:tcPr>
          <w:p>
            <w:pPr>
              <w:spacing w:after="0"/>
              <w:rPr>
                <w:sz w:val="21"/>
                <w:szCs w:val="21"/>
                <w:color w:val="auto"/>
              </w:rPr>
            </w:pPr>
          </w:p>
        </w:tc>
        <w:tc>
          <w:tcPr>
            <w:tcW w:w="960" w:type="dxa"/>
            <w:vAlign w:val="bottom"/>
            <w:tcBorders>
              <w:bottom w:val="single" w:sz="8" w:color="B2B2B2"/>
              <w:right w:val="single" w:sz="8" w:color="B2B2B2"/>
            </w:tcBorders>
          </w:tcPr>
          <w:p>
            <w:pPr>
              <w:jc w:val="center"/>
              <w:ind w:left="211"/>
              <w:spacing w:after="0"/>
              <w:rPr>
                <w:sz w:val="20"/>
                <w:szCs w:val="20"/>
                <w:color w:val="auto"/>
              </w:rPr>
            </w:pPr>
            <w:r>
              <w:rPr>
                <w:rFonts w:ascii="Arial" w:cs="Arial" w:eastAsia="Arial" w:hAnsi="Arial"/>
                <w:sz w:val="14"/>
                <w:szCs w:val="14"/>
                <w:color w:val="auto"/>
              </w:rPr>
              <w:t>1,953</w:t>
            </w:r>
          </w:p>
        </w:tc>
        <w:tc>
          <w:tcPr>
            <w:tcW w:w="900" w:type="dxa"/>
            <w:vAlign w:val="bottom"/>
            <w:tcBorders>
              <w:bottom w:val="single" w:sz="8" w:color="B2B2B2"/>
              <w:right w:val="single" w:sz="8" w:color="B2B2B2"/>
            </w:tcBorders>
          </w:tcPr>
          <w:p>
            <w:pPr>
              <w:spacing w:after="0"/>
              <w:rPr>
                <w:sz w:val="21"/>
                <w:szCs w:val="21"/>
                <w:color w:val="auto"/>
              </w:rPr>
            </w:pPr>
          </w:p>
        </w:tc>
        <w:tc>
          <w:tcPr>
            <w:tcW w:w="1220" w:type="dxa"/>
            <w:vAlign w:val="bottom"/>
            <w:tcBorders>
              <w:bottom w:val="single" w:sz="8" w:color="B2B2B2"/>
              <w:right w:val="single" w:sz="8" w:color="B2B2B2"/>
            </w:tcBorders>
          </w:tcPr>
          <w:p>
            <w:pPr>
              <w:spacing w:after="0"/>
              <w:rPr>
                <w:sz w:val="21"/>
                <w:szCs w:val="21"/>
                <w:color w:val="auto"/>
              </w:rPr>
            </w:pP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475,223</w:t>
            </w:r>
          </w:p>
        </w:tc>
      </w:tr>
      <w:tr>
        <w:trPr>
          <w:trHeight w:val="226"/>
        </w:trPr>
        <w:tc>
          <w:tcPr>
            <w:tcW w:w="1920" w:type="dxa"/>
            <w:vAlign w:val="bottom"/>
            <w:tcBorders>
              <w:right w:val="single" w:sz="8" w:color="B2B2B2"/>
            </w:tcBorders>
          </w:tcPr>
          <w:p>
            <w:pPr>
              <w:spacing w:after="0"/>
              <w:rPr>
                <w:sz w:val="19"/>
                <w:szCs w:val="19"/>
                <w:color w:val="auto"/>
              </w:rPr>
            </w:pPr>
          </w:p>
        </w:tc>
        <w:tc>
          <w:tcPr>
            <w:tcW w:w="88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6/3/2025</w:t>
            </w:r>
          </w:p>
        </w:tc>
        <w:tc>
          <w:tcPr>
            <w:tcW w:w="86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5/7/2025</w:t>
            </w:r>
          </w:p>
        </w:tc>
        <w:tc>
          <w:tcPr>
            <w:tcW w:w="860" w:type="dxa"/>
            <w:vAlign w:val="bottom"/>
            <w:tcBorders>
              <w:bottom w:val="single" w:sz="8" w:color="B2B2B2"/>
            </w:tcBorders>
          </w:tcPr>
          <w:p>
            <w:pPr>
              <w:spacing w:after="0"/>
              <w:rPr>
                <w:sz w:val="19"/>
                <w:szCs w:val="19"/>
                <w:color w:val="auto"/>
              </w:rPr>
            </w:pPr>
          </w:p>
        </w:tc>
        <w:tc>
          <w:tcPr>
            <w:tcW w:w="120" w:type="dxa"/>
            <w:vAlign w:val="bottom"/>
            <w:tcBorders>
              <w:bottom w:val="single" w:sz="8" w:color="B2B2B2"/>
              <w:right w:val="single" w:sz="8" w:color="B2B2B2"/>
            </w:tcBorders>
          </w:tcPr>
          <w:p>
            <w:pPr>
              <w:spacing w:after="0"/>
              <w:rPr>
                <w:sz w:val="19"/>
                <w:szCs w:val="19"/>
                <w:color w:val="auto"/>
              </w:rPr>
            </w:pPr>
          </w:p>
        </w:tc>
        <w:tc>
          <w:tcPr>
            <w:tcW w:w="980" w:type="dxa"/>
            <w:vAlign w:val="bottom"/>
            <w:tcBorders>
              <w:bottom w:val="single" w:sz="8" w:color="B2B2B2"/>
              <w:right w:val="single" w:sz="8" w:color="B2B2B2"/>
            </w:tcBorders>
          </w:tcPr>
          <w:p>
            <w:pPr>
              <w:spacing w:after="0"/>
              <w:rPr>
                <w:sz w:val="19"/>
                <w:szCs w:val="19"/>
                <w:color w:val="auto"/>
              </w:rPr>
            </w:pPr>
          </w:p>
        </w:tc>
        <w:tc>
          <w:tcPr>
            <w:tcW w:w="120" w:type="dxa"/>
            <w:vAlign w:val="bottom"/>
            <w:tcBorders>
              <w:bottom w:val="single" w:sz="8" w:color="B2B2B2"/>
            </w:tcBorders>
          </w:tcPr>
          <w:p>
            <w:pPr>
              <w:spacing w:after="0"/>
              <w:rPr>
                <w:sz w:val="19"/>
                <w:szCs w:val="19"/>
                <w:color w:val="auto"/>
              </w:rPr>
            </w:pPr>
          </w:p>
        </w:tc>
        <w:tc>
          <w:tcPr>
            <w:tcW w:w="880" w:type="dxa"/>
            <w:vAlign w:val="bottom"/>
            <w:tcBorders>
              <w:bottom w:val="single" w:sz="8" w:color="B2B2B2"/>
              <w:right w:val="single" w:sz="8" w:color="B2B2B2"/>
            </w:tcBorders>
          </w:tcPr>
          <w:p>
            <w:pPr>
              <w:spacing w:after="0"/>
              <w:rPr>
                <w:sz w:val="19"/>
                <w:szCs w:val="19"/>
                <w:color w:val="auto"/>
              </w:rPr>
            </w:pPr>
          </w:p>
        </w:tc>
        <w:tc>
          <w:tcPr>
            <w:tcW w:w="960" w:type="dxa"/>
            <w:vAlign w:val="bottom"/>
            <w:tcBorders>
              <w:bottom w:val="single" w:sz="8" w:color="B2B2B2"/>
              <w:right w:val="single" w:sz="8" w:color="B2B2B2"/>
            </w:tcBorders>
          </w:tcPr>
          <w:p>
            <w:pPr>
              <w:spacing w:after="0"/>
              <w:rPr>
                <w:sz w:val="19"/>
                <w:szCs w:val="19"/>
                <w:color w:val="auto"/>
              </w:rPr>
            </w:pPr>
          </w:p>
        </w:tc>
        <w:tc>
          <w:tcPr>
            <w:tcW w:w="900" w:type="dxa"/>
            <w:vAlign w:val="bottom"/>
            <w:tcBorders>
              <w:bottom w:val="single" w:sz="8" w:color="B2B2B2"/>
              <w:right w:val="single" w:sz="8" w:color="B2B2B2"/>
            </w:tcBorders>
          </w:tcPr>
          <w:p>
            <w:pPr>
              <w:jc w:val="center"/>
              <w:ind w:left="231"/>
              <w:spacing w:after="0"/>
              <w:rPr>
                <w:sz w:val="20"/>
                <w:szCs w:val="20"/>
                <w:color w:val="auto"/>
              </w:rPr>
            </w:pPr>
            <w:r>
              <w:rPr>
                <w:rFonts w:ascii="Arial" w:cs="Arial" w:eastAsia="Arial" w:hAnsi="Arial"/>
                <w:sz w:val="14"/>
                <w:szCs w:val="14"/>
                <w:color w:val="auto"/>
              </w:rPr>
              <w:t>6,944</w:t>
            </w:r>
          </w:p>
        </w:tc>
        <w:tc>
          <w:tcPr>
            <w:tcW w:w="1220" w:type="dxa"/>
            <w:vAlign w:val="bottom"/>
            <w:tcBorders>
              <w:bottom w:val="single" w:sz="8" w:color="B2B2B2"/>
              <w:right w:val="single" w:sz="8" w:color="B2B2B2"/>
            </w:tcBorders>
          </w:tcPr>
          <w:p>
            <w:pPr>
              <w:ind w:left="480"/>
              <w:spacing w:after="0"/>
              <w:rPr>
                <w:sz w:val="20"/>
                <w:szCs w:val="20"/>
                <w:color w:val="auto"/>
              </w:rPr>
            </w:pPr>
            <w:r>
              <w:rPr>
                <w:rFonts w:ascii="Arial" w:cs="Arial" w:eastAsia="Arial" w:hAnsi="Arial"/>
                <w:sz w:val="14"/>
                <w:szCs w:val="14"/>
                <w:color w:val="auto"/>
              </w:rPr>
              <w:t>267.66</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475,256</w:t>
            </w:r>
          </w:p>
        </w:tc>
      </w:tr>
      <w:tr>
        <w:trPr>
          <w:trHeight w:val="226"/>
        </w:trPr>
        <w:tc>
          <w:tcPr>
            <w:tcW w:w="1920" w:type="dxa"/>
            <w:vAlign w:val="bottom"/>
            <w:tcBorders>
              <w:right w:val="single" w:sz="8" w:color="B2B2B2"/>
            </w:tcBorders>
          </w:tcPr>
          <w:p>
            <w:pPr>
              <w:spacing w:after="0"/>
              <w:rPr>
                <w:sz w:val="19"/>
                <w:szCs w:val="19"/>
                <w:color w:val="auto"/>
              </w:rPr>
            </w:pPr>
          </w:p>
        </w:tc>
        <w:tc>
          <w:tcPr>
            <w:tcW w:w="88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10/1/2025</w:t>
            </w:r>
          </w:p>
        </w:tc>
        <w:tc>
          <w:tcPr>
            <w:tcW w:w="86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7/31/2025</w:t>
            </w:r>
          </w:p>
        </w:tc>
        <w:tc>
          <w:tcPr>
            <w:tcW w:w="860" w:type="dxa"/>
            <w:vAlign w:val="bottom"/>
            <w:tcBorders>
              <w:bottom w:val="single" w:sz="8" w:color="B2B2B2"/>
            </w:tcBorders>
          </w:tcPr>
          <w:p>
            <w:pPr>
              <w:spacing w:after="0"/>
              <w:rPr>
                <w:sz w:val="19"/>
                <w:szCs w:val="19"/>
                <w:color w:val="auto"/>
              </w:rPr>
            </w:pPr>
          </w:p>
        </w:tc>
        <w:tc>
          <w:tcPr>
            <w:tcW w:w="120" w:type="dxa"/>
            <w:vAlign w:val="bottom"/>
            <w:tcBorders>
              <w:bottom w:val="single" w:sz="8" w:color="B2B2B2"/>
              <w:right w:val="single" w:sz="8" w:color="B2B2B2"/>
            </w:tcBorders>
          </w:tcPr>
          <w:p>
            <w:pPr>
              <w:spacing w:after="0"/>
              <w:rPr>
                <w:sz w:val="19"/>
                <w:szCs w:val="19"/>
                <w:color w:val="auto"/>
              </w:rPr>
            </w:pPr>
          </w:p>
        </w:tc>
        <w:tc>
          <w:tcPr>
            <w:tcW w:w="980" w:type="dxa"/>
            <w:vAlign w:val="bottom"/>
            <w:tcBorders>
              <w:bottom w:val="single" w:sz="8" w:color="B2B2B2"/>
              <w:right w:val="single" w:sz="8" w:color="B2B2B2"/>
            </w:tcBorders>
          </w:tcPr>
          <w:p>
            <w:pPr>
              <w:spacing w:after="0"/>
              <w:rPr>
                <w:sz w:val="19"/>
                <w:szCs w:val="19"/>
                <w:color w:val="auto"/>
              </w:rPr>
            </w:pPr>
          </w:p>
        </w:tc>
        <w:tc>
          <w:tcPr>
            <w:tcW w:w="120" w:type="dxa"/>
            <w:vAlign w:val="bottom"/>
            <w:tcBorders>
              <w:bottom w:val="single" w:sz="8" w:color="B2B2B2"/>
            </w:tcBorders>
          </w:tcPr>
          <w:p>
            <w:pPr>
              <w:spacing w:after="0"/>
              <w:rPr>
                <w:sz w:val="19"/>
                <w:szCs w:val="19"/>
                <w:color w:val="auto"/>
              </w:rPr>
            </w:pPr>
          </w:p>
        </w:tc>
        <w:tc>
          <w:tcPr>
            <w:tcW w:w="880" w:type="dxa"/>
            <w:vAlign w:val="bottom"/>
            <w:tcBorders>
              <w:bottom w:val="single" w:sz="8" w:color="B2B2B2"/>
              <w:right w:val="single" w:sz="8" w:color="B2B2B2"/>
            </w:tcBorders>
          </w:tcPr>
          <w:p>
            <w:pPr>
              <w:spacing w:after="0"/>
              <w:rPr>
                <w:sz w:val="19"/>
                <w:szCs w:val="19"/>
                <w:color w:val="auto"/>
              </w:rPr>
            </w:pPr>
          </w:p>
        </w:tc>
        <w:tc>
          <w:tcPr>
            <w:tcW w:w="960" w:type="dxa"/>
            <w:vAlign w:val="bottom"/>
            <w:tcBorders>
              <w:bottom w:val="single" w:sz="8" w:color="B2B2B2"/>
              <w:right w:val="single" w:sz="8" w:color="B2B2B2"/>
            </w:tcBorders>
          </w:tcPr>
          <w:p>
            <w:pPr>
              <w:jc w:val="center"/>
              <w:ind w:left="211"/>
              <w:spacing w:after="0"/>
              <w:rPr>
                <w:sz w:val="20"/>
                <w:szCs w:val="20"/>
                <w:color w:val="auto"/>
              </w:rPr>
            </w:pPr>
            <w:r>
              <w:rPr>
                <w:rFonts w:ascii="Arial" w:cs="Arial" w:eastAsia="Arial" w:hAnsi="Arial"/>
                <w:sz w:val="14"/>
                <w:szCs w:val="14"/>
                <w:color w:val="auto"/>
              </w:rPr>
              <w:t>2,349</w:t>
            </w:r>
          </w:p>
        </w:tc>
        <w:tc>
          <w:tcPr>
            <w:tcW w:w="900" w:type="dxa"/>
            <w:vAlign w:val="bottom"/>
            <w:tcBorders>
              <w:bottom w:val="single" w:sz="8" w:color="B2B2B2"/>
              <w:right w:val="single" w:sz="8" w:color="B2B2B2"/>
            </w:tcBorders>
          </w:tcPr>
          <w:p>
            <w:pPr>
              <w:spacing w:after="0"/>
              <w:rPr>
                <w:sz w:val="19"/>
                <w:szCs w:val="19"/>
                <w:color w:val="auto"/>
              </w:rPr>
            </w:pPr>
          </w:p>
        </w:tc>
        <w:tc>
          <w:tcPr>
            <w:tcW w:w="1220" w:type="dxa"/>
            <w:vAlign w:val="bottom"/>
            <w:tcBorders>
              <w:bottom w:val="single" w:sz="8" w:color="B2B2B2"/>
              <w:right w:val="single" w:sz="8" w:color="B2B2B2"/>
            </w:tcBorders>
          </w:tcPr>
          <w:p>
            <w:pPr>
              <w:spacing w:after="0"/>
              <w:rPr>
                <w:sz w:val="19"/>
                <w:szCs w:val="19"/>
                <w:color w:val="auto"/>
              </w:rPr>
            </w:pP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566,814</w:t>
            </w:r>
          </w:p>
        </w:tc>
      </w:tr>
      <w:tr>
        <w:trPr>
          <w:trHeight w:val="226"/>
        </w:trPr>
        <w:tc>
          <w:tcPr>
            <w:tcW w:w="1920" w:type="dxa"/>
            <w:vAlign w:val="bottom"/>
            <w:tcBorders>
              <w:right w:val="single" w:sz="8" w:color="B2B2B2"/>
            </w:tcBorders>
          </w:tcPr>
          <w:p>
            <w:pPr>
              <w:spacing w:after="0"/>
              <w:rPr>
                <w:sz w:val="19"/>
                <w:szCs w:val="19"/>
                <w:color w:val="auto"/>
              </w:rPr>
            </w:pPr>
          </w:p>
        </w:tc>
        <w:tc>
          <w:tcPr>
            <w:tcW w:w="88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10/1/2025</w:t>
            </w:r>
          </w:p>
        </w:tc>
        <w:tc>
          <w:tcPr>
            <w:tcW w:w="86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7/31/2025</w:t>
            </w:r>
          </w:p>
        </w:tc>
        <w:tc>
          <w:tcPr>
            <w:tcW w:w="860" w:type="dxa"/>
            <w:vAlign w:val="bottom"/>
            <w:tcBorders>
              <w:bottom w:val="single" w:sz="8" w:color="B2B2B2"/>
            </w:tcBorders>
          </w:tcPr>
          <w:p>
            <w:pPr>
              <w:spacing w:after="0"/>
              <w:rPr>
                <w:sz w:val="19"/>
                <w:szCs w:val="19"/>
                <w:color w:val="auto"/>
              </w:rPr>
            </w:pPr>
          </w:p>
        </w:tc>
        <w:tc>
          <w:tcPr>
            <w:tcW w:w="120" w:type="dxa"/>
            <w:vAlign w:val="bottom"/>
            <w:tcBorders>
              <w:bottom w:val="single" w:sz="8" w:color="B2B2B2"/>
              <w:right w:val="single" w:sz="8" w:color="B2B2B2"/>
            </w:tcBorders>
          </w:tcPr>
          <w:p>
            <w:pPr>
              <w:spacing w:after="0"/>
              <w:rPr>
                <w:sz w:val="19"/>
                <w:szCs w:val="19"/>
                <w:color w:val="auto"/>
              </w:rPr>
            </w:pPr>
          </w:p>
        </w:tc>
        <w:tc>
          <w:tcPr>
            <w:tcW w:w="980" w:type="dxa"/>
            <w:vAlign w:val="bottom"/>
            <w:tcBorders>
              <w:bottom w:val="single" w:sz="8" w:color="B2B2B2"/>
              <w:right w:val="single" w:sz="8" w:color="B2B2B2"/>
            </w:tcBorders>
          </w:tcPr>
          <w:p>
            <w:pPr>
              <w:spacing w:after="0"/>
              <w:rPr>
                <w:sz w:val="19"/>
                <w:szCs w:val="19"/>
                <w:color w:val="auto"/>
              </w:rPr>
            </w:pPr>
          </w:p>
        </w:tc>
        <w:tc>
          <w:tcPr>
            <w:tcW w:w="120" w:type="dxa"/>
            <w:vAlign w:val="bottom"/>
            <w:tcBorders>
              <w:bottom w:val="single" w:sz="8" w:color="B2B2B2"/>
            </w:tcBorders>
          </w:tcPr>
          <w:p>
            <w:pPr>
              <w:spacing w:after="0"/>
              <w:rPr>
                <w:sz w:val="19"/>
                <w:szCs w:val="19"/>
                <w:color w:val="auto"/>
              </w:rPr>
            </w:pPr>
          </w:p>
        </w:tc>
        <w:tc>
          <w:tcPr>
            <w:tcW w:w="880" w:type="dxa"/>
            <w:vAlign w:val="bottom"/>
            <w:tcBorders>
              <w:bottom w:val="single" w:sz="8" w:color="B2B2B2"/>
              <w:right w:val="single" w:sz="8" w:color="B2B2B2"/>
            </w:tcBorders>
          </w:tcPr>
          <w:p>
            <w:pPr>
              <w:spacing w:after="0"/>
              <w:rPr>
                <w:sz w:val="19"/>
                <w:szCs w:val="19"/>
                <w:color w:val="auto"/>
              </w:rPr>
            </w:pPr>
          </w:p>
        </w:tc>
        <w:tc>
          <w:tcPr>
            <w:tcW w:w="960" w:type="dxa"/>
            <w:vAlign w:val="bottom"/>
            <w:tcBorders>
              <w:bottom w:val="single" w:sz="8" w:color="B2B2B2"/>
              <w:right w:val="single" w:sz="8" w:color="B2B2B2"/>
            </w:tcBorders>
          </w:tcPr>
          <w:p>
            <w:pPr>
              <w:spacing w:after="0"/>
              <w:rPr>
                <w:sz w:val="19"/>
                <w:szCs w:val="19"/>
                <w:color w:val="auto"/>
              </w:rPr>
            </w:pPr>
          </w:p>
        </w:tc>
        <w:tc>
          <w:tcPr>
            <w:tcW w:w="900" w:type="dxa"/>
            <w:vAlign w:val="bottom"/>
            <w:tcBorders>
              <w:bottom w:val="single" w:sz="8" w:color="B2B2B2"/>
              <w:right w:val="single" w:sz="8" w:color="B2B2B2"/>
            </w:tcBorders>
          </w:tcPr>
          <w:p>
            <w:pPr>
              <w:jc w:val="center"/>
              <w:ind w:left="231"/>
              <w:spacing w:after="0"/>
              <w:rPr>
                <w:sz w:val="20"/>
                <w:szCs w:val="20"/>
                <w:color w:val="auto"/>
              </w:rPr>
            </w:pPr>
            <w:r>
              <w:rPr>
                <w:rFonts w:ascii="Arial" w:cs="Arial" w:eastAsia="Arial" w:hAnsi="Arial"/>
                <w:sz w:val="14"/>
                <w:szCs w:val="14"/>
                <w:color w:val="auto"/>
              </w:rPr>
              <w:t>8,356</w:t>
            </w:r>
          </w:p>
        </w:tc>
        <w:tc>
          <w:tcPr>
            <w:tcW w:w="1220" w:type="dxa"/>
            <w:vAlign w:val="bottom"/>
            <w:tcBorders>
              <w:bottom w:val="single" w:sz="8" w:color="B2B2B2"/>
              <w:right w:val="single" w:sz="8" w:color="B2B2B2"/>
            </w:tcBorders>
          </w:tcPr>
          <w:p>
            <w:pPr>
              <w:ind w:left="480"/>
              <w:spacing w:after="0"/>
              <w:rPr>
                <w:sz w:val="20"/>
                <w:szCs w:val="20"/>
                <w:color w:val="auto"/>
              </w:rPr>
            </w:pPr>
            <w:r>
              <w:rPr>
                <w:rFonts w:ascii="Arial" w:cs="Arial" w:eastAsia="Arial" w:hAnsi="Arial"/>
                <w:sz w:val="14"/>
                <w:szCs w:val="14"/>
                <w:color w:val="auto"/>
              </w:rPr>
              <w:t>265.43</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635,892</w:t>
            </w:r>
          </w:p>
        </w:tc>
      </w:tr>
      <w:tr>
        <w:trPr>
          <w:trHeight w:val="217"/>
        </w:trPr>
        <w:tc>
          <w:tcPr>
            <w:tcW w:w="1920" w:type="dxa"/>
            <w:vAlign w:val="bottom"/>
            <w:tcBorders>
              <w:right w:val="single" w:sz="8" w:color="B2B2B2"/>
            </w:tcBorders>
          </w:tcPr>
          <w:p>
            <w:pPr>
              <w:spacing w:after="0"/>
              <w:rPr>
                <w:sz w:val="18"/>
                <w:szCs w:val="18"/>
                <w:color w:val="auto"/>
              </w:rPr>
            </w:pPr>
          </w:p>
        </w:tc>
        <w:tc>
          <w:tcPr>
            <w:tcW w:w="880" w:type="dxa"/>
            <w:vAlign w:val="bottom"/>
            <w:tcBorders>
              <w:right w:val="single" w:sz="8" w:color="B2B2B2"/>
            </w:tcBorders>
          </w:tcPr>
          <w:p>
            <w:pPr>
              <w:spacing w:after="0"/>
              <w:rPr>
                <w:sz w:val="18"/>
                <w:szCs w:val="18"/>
                <w:color w:val="auto"/>
              </w:rPr>
            </w:pPr>
          </w:p>
        </w:tc>
        <w:tc>
          <w:tcPr>
            <w:tcW w:w="860" w:type="dxa"/>
            <w:vAlign w:val="bottom"/>
            <w:tcBorders>
              <w:right w:val="single" w:sz="8" w:color="B2B2B2"/>
            </w:tcBorders>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4"/>
                <w:szCs w:val="14"/>
                <w:color w:val="auto"/>
              </w:rPr>
              <w:t>0</w:t>
            </w:r>
          </w:p>
        </w:tc>
        <w:tc>
          <w:tcPr>
            <w:tcW w:w="120" w:type="dxa"/>
            <w:vAlign w:val="bottom"/>
            <w:tcBorders>
              <w:right w:val="single" w:sz="8" w:color="B2B2B2"/>
            </w:tcBorders>
          </w:tcPr>
          <w:p>
            <w:pPr>
              <w:spacing w:after="0"/>
              <w:rPr>
                <w:sz w:val="18"/>
                <w:szCs w:val="18"/>
                <w:color w:val="auto"/>
              </w:rPr>
            </w:pPr>
          </w:p>
        </w:tc>
        <w:tc>
          <w:tcPr>
            <w:tcW w:w="980" w:type="dxa"/>
            <w:vAlign w:val="bottom"/>
            <w:tcBorders>
              <w:right w:val="single" w:sz="8" w:color="B2B2B2"/>
            </w:tcBorders>
          </w:tcPr>
          <w:p>
            <w:pPr>
              <w:jc w:val="right"/>
              <w:spacing w:after="0" w:line="217" w:lineRule="exact"/>
              <w:rPr>
                <w:sz w:val="20"/>
                <w:szCs w:val="20"/>
                <w:color w:val="auto"/>
              </w:rPr>
            </w:pPr>
            <w:r>
              <w:rPr>
                <w:rFonts w:ascii="Arial" w:cs="Arial" w:eastAsia="Arial" w:hAnsi="Arial"/>
                <w:sz w:val="14"/>
                <w:szCs w:val="14"/>
                <w:color w:val="auto"/>
              </w:rPr>
              <w:t>392,880</w:t>
            </w:r>
            <w:r>
              <w:rPr>
                <w:rFonts w:ascii="Arial" w:cs="Arial" w:eastAsia="Arial" w:hAnsi="Arial"/>
                <w:sz w:val="20"/>
                <w:szCs w:val="20"/>
                <w:color w:val="auto"/>
                <w:vertAlign w:val="superscript"/>
              </w:rPr>
              <w:t>(3)</w:t>
            </w:r>
          </w:p>
        </w:tc>
        <w:tc>
          <w:tcPr>
            <w:tcW w:w="120" w:type="dxa"/>
            <w:vAlign w:val="bottom"/>
          </w:tcPr>
          <w:p>
            <w:pPr>
              <w:spacing w:after="0"/>
              <w:rPr>
                <w:sz w:val="18"/>
                <w:szCs w:val="18"/>
                <w:color w:val="auto"/>
              </w:rPr>
            </w:pPr>
          </w:p>
        </w:tc>
        <w:tc>
          <w:tcPr>
            <w:tcW w:w="880" w:type="dxa"/>
            <w:vAlign w:val="bottom"/>
            <w:tcBorders>
              <w:right w:val="single" w:sz="8" w:color="B2B2B2"/>
            </w:tcBorders>
          </w:tcPr>
          <w:p>
            <w:pPr>
              <w:jc w:val="right"/>
              <w:spacing w:after="0" w:line="217" w:lineRule="exact"/>
              <w:rPr>
                <w:sz w:val="20"/>
                <w:szCs w:val="20"/>
                <w:color w:val="auto"/>
              </w:rPr>
            </w:pPr>
            <w:r>
              <w:rPr>
                <w:rFonts w:ascii="Arial" w:cs="Arial" w:eastAsia="Arial" w:hAnsi="Arial"/>
                <w:sz w:val="14"/>
                <w:szCs w:val="14"/>
                <w:color w:val="auto"/>
              </w:rPr>
              <w:t>785,760</w:t>
            </w:r>
            <w:r>
              <w:rPr>
                <w:rFonts w:ascii="Arial" w:cs="Arial" w:eastAsia="Arial" w:hAnsi="Arial"/>
                <w:sz w:val="20"/>
                <w:szCs w:val="20"/>
                <w:color w:val="auto"/>
                <w:vertAlign w:val="superscript"/>
              </w:rPr>
              <w:t>(3)</w:t>
            </w:r>
          </w:p>
        </w:tc>
        <w:tc>
          <w:tcPr>
            <w:tcW w:w="960" w:type="dxa"/>
            <w:vAlign w:val="bottom"/>
            <w:tcBorders>
              <w:right w:val="single" w:sz="8" w:color="B2B2B2"/>
            </w:tcBorders>
          </w:tcPr>
          <w:p>
            <w:pPr>
              <w:spacing w:after="0"/>
              <w:rPr>
                <w:sz w:val="18"/>
                <w:szCs w:val="18"/>
                <w:color w:val="auto"/>
              </w:rPr>
            </w:pPr>
          </w:p>
        </w:tc>
        <w:tc>
          <w:tcPr>
            <w:tcW w:w="900" w:type="dxa"/>
            <w:vAlign w:val="bottom"/>
            <w:tcBorders>
              <w:right w:val="single" w:sz="8" w:color="B2B2B2"/>
            </w:tcBorders>
          </w:tcPr>
          <w:p>
            <w:pPr>
              <w:spacing w:after="0"/>
              <w:rPr>
                <w:sz w:val="18"/>
                <w:szCs w:val="18"/>
                <w:color w:val="auto"/>
              </w:rPr>
            </w:pPr>
          </w:p>
        </w:tc>
        <w:tc>
          <w:tcPr>
            <w:tcW w:w="1220" w:type="dxa"/>
            <w:vAlign w:val="bottom"/>
            <w:tcBorders>
              <w:right w:val="single" w:sz="8" w:color="B2B2B2"/>
            </w:tcBorders>
          </w:tcPr>
          <w:p>
            <w:pPr>
              <w:spacing w:after="0"/>
              <w:rPr>
                <w:sz w:val="18"/>
                <w:szCs w:val="18"/>
                <w:color w:val="auto"/>
              </w:rPr>
            </w:pPr>
          </w:p>
        </w:tc>
        <w:tc>
          <w:tcPr>
            <w:tcW w:w="860" w:type="dxa"/>
            <w:vAlign w:val="bottom"/>
          </w:tcPr>
          <w:p>
            <w:pPr>
              <w:spacing w:after="0"/>
              <w:rPr>
                <w:sz w:val="18"/>
                <w:szCs w:val="18"/>
                <w:color w:val="auto"/>
              </w:rPr>
            </w:pPr>
          </w:p>
        </w:tc>
      </w:tr>
      <w:tr>
        <w:trPr>
          <w:trHeight w:val="233"/>
        </w:trPr>
        <w:tc>
          <w:tcPr>
            <w:tcW w:w="1920" w:type="dxa"/>
            <w:vAlign w:val="bottom"/>
            <w:tcBorders>
              <w:right w:val="single" w:sz="8" w:color="E2EEFA"/>
            </w:tcBorders>
            <w:shd w:val="clear" w:color="auto" w:fill="E2EEFA"/>
          </w:tcPr>
          <w:p>
            <w:pPr>
              <w:spacing w:after="0"/>
              <w:rPr>
                <w:sz w:val="20"/>
                <w:szCs w:val="20"/>
                <w:color w:val="auto"/>
              </w:rPr>
            </w:pPr>
            <w:r>
              <w:rPr>
                <w:rFonts w:ascii="Arial" w:cs="Arial" w:eastAsia="Arial" w:hAnsi="Arial"/>
                <w:sz w:val="14"/>
                <w:szCs w:val="14"/>
                <w:color w:val="auto"/>
              </w:rPr>
              <w:t>  Michael J. Tokich</w:t>
            </w:r>
          </w:p>
        </w:tc>
        <w:tc>
          <w:tcPr>
            <w:tcW w:w="880" w:type="dxa"/>
            <w:vAlign w:val="bottom"/>
            <w:tcBorders>
              <w:right w:val="single" w:sz="8" w:color="E2EEFA"/>
            </w:tcBorders>
            <w:shd w:val="clear" w:color="auto" w:fill="E2EEFA"/>
          </w:tcPr>
          <w:p>
            <w:pPr>
              <w:spacing w:after="0"/>
              <w:rPr>
                <w:sz w:val="20"/>
                <w:szCs w:val="20"/>
                <w:color w:val="auto"/>
              </w:rPr>
            </w:pPr>
          </w:p>
        </w:tc>
        <w:tc>
          <w:tcPr>
            <w:tcW w:w="860" w:type="dxa"/>
            <w:vAlign w:val="bottom"/>
            <w:tcBorders>
              <w:right w:val="single" w:sz="8" w:color="E2EEFA"/>
            </w:tcBorders>
            <w:shd w:val="clear" w:color="auto" w:fill="E2EEFA"/>
          </w:tcPr>
          <w:p>
            <w:pPr>
              <w:spacing w:after="0"/>
              <w:rPr>
                <w:sz w:val="20"/>
                <w:szCs w:val="20"/>
                <w:color w:val="auto"/>
              </w:rPr>
            </w:pPr>
          </w:p>
        </w:tc>
        <w:tc>
          <w:tcPr>
            <w:tcW w:w="860" w:type="dxa"/>
            <w:vAlign w:val="bottom"/>
            <w:shd w:val="clear" w:color="auto" w:fill="E2EEFA"/>
          </w:tcPr>
          <w:p>
            <w:pPr>
              <w:spacing w:after="0"/>
              <w:rPr>
                <w:sz w:val="20"/>
                <w:szCs w:val="20"/>
                <w:color w:val="auto"/>
              </w:rPr>
            </w:pPr>
          </w:p>
        </w:tc>
        <w:tc>
          <w:tcPr>
            <w:tcW w:w="120" w:type="dxa"/>
            <w:vAlign w:val="bottom"/>
            <w:tcBorders>
              <w:right w:val="single" w:sz="8" w:color="E2EEFA"/>
            </w:tcBorders>
            <w:shd w:val="clear" w:color="auto" w:fill="E2EEFA"/>
          </w:tcPr>
          <w:p>
            <w:pPr>
              <w:spacing w:after="0"/>
              <w:rPr>
                <w:sz w:val="20"/>
                <w:szCs w:val="20"/>
                <w:color w:val="auto"/>
              </w:rPr>
            </w:pPr>
          </w:p>
        </w:tc>
        <w:tc>
          <w:tcPr>
            <w:tcW w:w="980" w:type="dxa"/>
            <w:vAlign w:val="bottom"/>
            <w:tcBorders>
              <w:right w:val="single" w:sz="8" w:color="E2EEFA"/>
            </w:tcBorders>
            <w:shd w:val="clear" w:color="auto" w:fill="E2EEFA"/>
          </w:tcPr>
          <w:p>
            <w:pPr>
              <w:spacing w:after="0"/>
              <w:rPr>
                <w:sz w:val="20"/>
                <w:szCs w:val="20"/>
                <w:color w:val="auto"/>
              </w:rPr>
            </w:pPr>
          </w:p>
        </w:tc>
        <w:tc>
          <w:tcPr>
            <w:tcW w:w="120" w:type="dxa"/>
            <w:vAlign w:val="bottom"/>
            <w:shd w:val="clear" w:color="auto" w:fill="E2EEFA"/>
          </w:tcPr>
          <w:p>
            <w:pPr>
              <w:spacing w:after="0"/>
              <w:rPr>
                <w:sz w:val="20"/>
                <w:szCs w:val="20"/>
                <w:color w:val="auto"/>
              </w:rPr>
            </w:pPr>
          </w:p>
        </w:tc>
        <w:tc>
          <w:tcPr>
            <w:tcW w:w="880" w:type="dxa"/>
            <w:vAlign w:val="bottom"/>
            <w:tcBorders>
              <w:right w:val="single" w:sz="8" w:color="E2EEFA"/>
            </w:tcBorders>
            <w:shd w:val="clear" w:color="auto" w:fill="E2EEFA"/>
          </w:tcPr>
          <w:p>
            <w:pPr>
              <w:spacing w:after="0"/>
              <w:rPr>
                <w:sz w:val="20"/>
                <w:szCs w:val="20"/>
                <w:color w:val="auto"/>
              </w:rPr>
            </w:pPr>
          </w:p>
        </w:tc>
        <w:tc>
          <w:tcPr>
            <w:tcW w:w="960" w:type="dxa"/>
            <w:vAlign w:val="bottom"/>
            <w:tcBorders>
              <w:right w:val="single" w:sz="8" w:color="E2EEFA"/>
            </w:tcBorders>
            <w:shd w:val="clear" w:color="auto" w:fill="E2EEFA"/>
          </w:tcPr>
          <w:p>
            <w:pPr>
              <w:spacing w:after="0"/>
              <w:rPr>
                <w:sz w:val="20"/>
                <w:szCs w:val="20"/>
                <w:color w:val="auto"/>
              </w:rPr>
            </w:pPr>
          </w:p>
        </w:tc>
        <w:tc>
          <w:tcPr>
            <w:tcW w:w="900" w:type="dxa"/>
            <w:vAlign w:val="bottom"/>
            <w:tcBorders>
              <w:right w:val="single" w:sz="8" w:color="E2EEFA"/>
            </w:tcBorders>
            <w:shd w:val="clear" w:color="auto" w:fill="E2EEFA"/>
          </w:tcPr>
          <w:p>
            <w:pPr>
              <w:spacing w:after="0"/>
              <w:rPr>
                <w:sz w:val="20"/>
                <w:szCs w:val="20"/>
                <w:color w:val="auto"/>
              </w:rPr>
            </w:pPr>
          </w:p>
        </w:tc>
        <w:tc>
          <w:tcPr>
            <w:tcW w:w="1220" w:type="dxa"/>
            <w:vAlign w:val="bottom"/>
            <w:tcBorders>
              <w:right w:val="single" w:sz="8" w:color="E2EEFA"/>
            </w:tcBorders>
            <w:shd w:val="clear" w:color="auto" w:fill="E2EEFA"/>
          </w:tcPr>
          <w:p>
            <w:pPr>
              <w:spacing w:after="0"/>
              <w:rPr>
                <w:sz w:val="20"/>
                <w:szCs w:val="20"/>
                <w:color w:val="auto"/>
              </w:rPr>
            </w:pPr>
          </w:p>
        </w:tc>
        <w:tc>
          <w:tcPr>
            <w:tcW w:w="860" w:type="dxa"/>
            <w:vAlign w:val="bottom"/>
            <w:shd w:val="clear" w:color="auto" w:fill="E2EEFA"/>
          </w:tcPr>
          <w:p>
            <w:pPr>
              <w:spacing w:after="0"/>
              <w:rPr>
                <w:sz w:val="20"/>
                <w:szCs w:val="20"/>
                <w:color w:val="auto"/>
              </w:rPr>
            </w:pPr>
          </w:p>
        </w:tc>
      </w:tr>
      <w:tr>
        <w:trPr>
          <w:trHeight w:val="242"/>
        </w:trPr>
        <w:tc>
          <w:tcPr>
            <w:tcW w:w="1920" w:type="dxa"/>
            <w:vAlign w:val="bottom"/>
            <w:tcBorders>
              <w:right w:val="single" w:sz="8" w:color="B2B2B2"/>
            </w:tcBorders>
          </w:tcPr>
          <w:p>
            <w:pPr>
              <w:spacing w:after="0"/>
              <w:rPr>
                <w:sz w:val="21"/>
                <w:szCs w:val="21"/>
                <w:color w:val="auto"/>
              </w:rPr>
            </w:pPr>
          </w:p>
        </w:tc>
        <w:tc>
          <w:tcPr>
            <w:tcW w:w="88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6/3/2025</w:t>
            </w:r>
          </w:p>
        </w:tc>
        <w:tc>
          <w:tcPr>
            <w:tcW w:w="86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5/7/2025</w:t>
            </w:r>
          </w:p>
        </w:tc>
        <w:tc>
          <w:tcPr>
            <w:tcW w:w="860" w:type="dxa"/>
            <w:vAlign w:val="bottom"/>
            <w:tcBorders>
              <w:bottom w:val="single" w:sz="8" w:color="B2B2B2"/>
            </w:tcBorders>
          </w:tcPr>
          <w:p>
            <w:pPr>
              <w:spacing w:after="0"/>
              <w:rPr>
                <w:sz w:val="21"/>
                <w:szCs w:val="21"/>
                <w:color w:val="auto"/>
              </w:rPr>
            </w:pPr>
          </w:p>
        </w:tc>
        <w:tc>
          <w:tcPr>
            <w:tcW w:w="120" w:type="dxa"/>
            <w:vAlign w:val="bottom"/>
            <w:tcBorders>
              <w:bottom w:val="single" w:sz="8" w:color="B2B2B2"/>
              <w:right w:val="single" w:sz="8" w:color="B2B2B2"/>
            </w:tcBorders>
          </w:tcPr>
          <w:p>
            <w:pPr>
              <w:spacing w:after="0"/>
              <w:rPr>
                <w:sz w:val="21"/>
                <w:szCs w:val="21"/>
                <w:color w:val="auto"/>
              </w:rPr>
            </w:pPr>
          </w:p>
        </w:tc>
        <w:tc>
          <w:tcPr>
            <w:tcW w:w="980" w:type="dxa"/>
            <w:vAlign w:val="bottom"/>
            <w:tcBorders>
              <w:bottom w:val="single" w:sz="8" w:color="B2B2B2"/>
              <w:right w:val="single" w:sz="8" w:color="B2B2B2"/>
            </w:tcBorders>
          </w:tcPr>
          <w:p>
            <w:pPr>
              <w:spacing w:after="0"/>
              <w:rPr>
                <w:sz w:val="21"/>
                <w:szCs w:val="21"/>
                <w:color w:val="auto"/>
              </w:rPr>
            </w:pPr>
          </w:p>
        </w:tc>
        <w:tc>
          <w:tcPr>
            <w:tcW w:w="120" w:type="dxa"/>
            <w:vAlign w:val="bottom"/>
            <w:tcBorders>
              <w:bottom w:val="single" w:sz="8" w:color="B2B2B2"/>
            </w:tcBorders>
          </w:tcPr>
          <w:p>
            <w:pPr>
              <w:spacing w:after="0"/>
              <w:rPr>
                <w:sz w:val="21"/>
                <w:szCs w:val="21"/>
                <w:color w:val="auto"/>
              </w:rPr>
            </w:pPr>
          </w:p>
        </w:tc>
        <w:tc>
          <w:tcPr>
            <w:tcW w:w="880" w:type="dxa"/>
            <w:vAlign w:val="bottom"/>
            <w:tcBorders>
              <w:bottom w:val="single" w:sz="8" w:color="B2B2B2"/>
              <w:right w:val="single" w:sz="8" w:color="B2B2B2"/>
            </w:tcBorders>
          </w:tcPr>
          <w:p>
            <w:pPr>
              <w:spacing w:after="0"/>
              <w:rPr>
                <w:sz w:val="21"/>
                <w:szCs w:val="21"/>
                <w:color w:val="auto"/>
              </w:rPr>
            </w:pPr>
          </w:p>
        </w:tc>
        <w:tc>
          <w:tcPr>
            <w:tcW w:w="960" w:type="dxa"/>
            <w:vAlign w:val="bottom"/>
            <w:tcBorders>
              <w:bottom w:val="single" w:sz="8" w:color="B2B2B2"/>
              <w:right w:val="single" w:sz="8" w:color="B2B2B2"/>
            </w:tcBorders>
          </w:tcPr>
          <w:p>
            <w:pPr>
              <w:jc w:val="center"/>
              <w:ind w:left="211"/>
              <w:spacing w:after="0"/>
              <w:rPr>
                <w:sz w:val="20"/>
                <w:szCs w:val="20"/>
                <w:color w:val="auto"/>
              </w:rPr>
            </w:pPr>
            <w:r>
              <w:rPr>
                <w:rFonts w:ascii="Arial" w:cs="Arial" w:eastAsia="Arial" w:hAnsi="Arial"/>
                <w:sz w:val="14"/>
                <w:szCs w:val="14"/>
                <w:color w:val="auto"/>
              </w:rPr>
              <w:t>2,223</w:t>
            </w:r>
          </w:p>
        </w:tc>
        <w:tc>
          <w:tcPr>
            <w:tcW w:w="900" w:type="dxa"/>
            <w:vAlign w:val="bottom"/>
            <w:tcBorders>
              <w:bottom w:val="single" w:sz="8" w:color="B2B2B2"/>
              <w:right w:val="single" w:sz="8" w:color="B2B2B2"/>
            </w:tcBorders>
          </w:tcPr>
          <w:p>
            <w:pPr>
              <w:spacing w:after="0"/>
              <w:rPr>
                <w:sz w:val="21"/>
                <w:szCs w:val="21"/>
                <w:color w:val="auto"/>
              </w:rPr>
            </w:pPr>
          </w:p>
        </w:tc>
        <w:tc>
          <w:tcPr>
            <w:tcW w:w="1220" w:type="dxa"/>
            <w:vAlign w:val="bottom"/>
            <w:tcBorders>
              <w:bottom w:val="single" w:sz="8" w:color="B2B2B2"/>
              <w:right w:val="single" w:sz="8" w:color="B2B2B2"/>
            </w:tcBorders>
          </w:tcPr>
          <w:p>
            <w:pPr>
              <w:spacing w:after="0"/>
              <w:rPr>
                <w:sz w:val="21"/>
                <w:szCs w:val="21"/>
                <w:color w:val="auto"/>
              </w:rPr>
            </w:pP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540,923</w:t>
            </w:r>
          </w:p>
        </w:tc>
      </w:tr>
      <w:tr>
        <w:trPr>
          <w:trHeight w:val="226"/>
        </w:trPr>
        <w:tc>
          <w:tcPr>
            <w:tcW w:w="1920" w:type="dxa"/>
            <w:vAlign w:val="bottom"/>
            <w:tcBorders>
              <w:right w:val="single" w:sz="8" w:color="B2B2B2"/>
            </w:tcBorders>
          </w:tcPr>
          <w:p>
            <w:pPr>
              <w:spacing w:after="0"/>
              <w:rPr>
                <w:sz w:val="19"/>
                <w:szCs w:val="19"/>
                <w:color w:val="auto"/>
              </w:rPr>
            </w:pPr>
          </w:p>
        </w:tc>
        <w:tc>
          <w:tcPr>
            <w:tcW w:w="88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6/3/2025</w:t>
            </w:r>
          </w:p>
        </w:tc>
        <w:tc>
          <w:tcPr>
            <w:tcW w:w="86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5/7/2025</w:t>
            </w:r>
          </w:p>
        </w:tc>
        <w:tc>
          <w:tcPr>
            <w:tcW w:w="860" w:type="dxa"/>
            <w:vAlign w:val="bottom"/>
            <w:tcBorders>
              <w:bottom w:val="single" w:sz="8" w:color="B2B2B2"/>
            </w:tcBorders>
          </w:tcPr>
          <w:p>
            <w:pPr>
              <w:spacing w:after="0"/>
              <w:rPr>
                <w:sz w:val="19"/>
                <w:szCs w:val="19"/>
                <w:color w:val="auto"/>
              </w:rPr>
            </w:pPr>
          </w:p>
        </w:tc>
        <w:tc>
          <w:tcPr>
            <w:tcW w:w="120" w:type="dxa"/>
            <w:vAlign w:val="bottom"/>
            <w:tcBorders>
              <w:bottom w:val="single" w:sz="8" w:color="B2B2B2"/>
              <w:right w:val="single" w:sz="8" w:color="B2B2B2"/>
            </w:tcBorders>
          </w:tcPr>
          <w:p>
            <w:pPr>
              <w:spacing w:after="0"/>
              <w:rPr>
                <w:sz w:val="19"/>
                <w:szCs w:val="19"/>
                <w:color w:val="auto"/>
              </w:rPr>
            </w:pPr>
          </w:p>
        </w:tc>
        <w:tc>
          <w:tcPr>
            <w:tcW w:w="980" w:type="dxa"/>
            <w:vAlign w:val="bottom"/>
            <w:tcBorders>
              <w:bottom w:val="single" w:sz="8" w:color="B2B2B2"/>
              <w:right w:val="single" w:sz="8" w:color="B2B2B2"/>
            </w:tcBorders>
          </w:tcPr>
          <w:p>
            <w:pPr>
              <w:spacing w:after="0"/>
              <w:rPr>
                <w:sz w:val="19"/>
                <w:szCs w:val="19"/>
                <w:color w:val="auto"/>
              </w:rPr>
            </w:pPr>
          </w:p>
        </w:tc>
        <w:tc>
          <w:tcPr>
            <w:tcW w:w="120" w:type="dxa"/>
            <w:vAlign w:val="bottom"/>
            <w:tcBorders>
              <w:bottom w:val="single" w:sz="8" w:color="B2B2B2"/>
            </w:tcBorders>
          </w:tcPr>
          <w:p>
            <w:pPr>
              <w:spacing w:after="0"/>
              <w:rPr>
                <w:sz w:val="19"/>
                <w:szCs w:val="19"/>
                <w:color w:val="auto"/>
              </w:rPr>
            </w:pPr>
          </w:p>
        </w:tc>
        <w:tc>
          <w:tcPr>
            <w:tcW w:w="880" w:type="dxa"/>
            <w:vAlign w:val="bottom"/>
            <w:tcBorders>
              <w:bottom w:val="single" w:sz="8" w:color="B2B2B2"/>
              <w:right w:val="single" w:sz="8" w:color="B2B2B2"/>
            </w:tcBorders>
          </w:tcPr>
          <w:p>
            <w:pPr>
              <w:spacing w:after="0"/>
              <w:rPr>
                <w:sz w:val="19"/>
                <w:szCs w:val="19"/>
                <w:color w:val="auto"/>
              </w:rPr>
            </w:pPr>
          </w:p>
        </w:tc>
        <w:tc>
          <w:tcPr>
            <w:tcW w:w="960" w:type="dxa"/>
            <w:vAlign w:val="bottom"/>
            <w:tcBorders>
              <w:bottom w:val="single" w:sz="8" w:color="B2B2B2"/>
              <w:right w:val="single" w:sz="8" w:color="B2B2B2"/>
            </w:tcBorders>
          </w:tcPr>
          <w:p>
            <w:pPr>
              <w:spacing w:after="0"/>
              <w:rPr>
                <w:sz w:val="19"/>
                <w:szCs w:val="19"/>
                <w:color w:val="auto"/>
              </w:rPr>
            </w:pPr>
          </w:p>
        </w:tc>
        <w:tc>
          <w:tcPr>
            <w:tcW w:w="900" w:type="dxa"/>
            <w:vAlign w:val="bottom"/>
            <w:tcBorders>
              <w:bottom w:val="single" w:sz="8" w:color="B2B2B2"/>
              <w:right w:val="single" w:sz="8" w:color="B2B2B2"/>
            </w:tcBorders>
          </w:tcPr>
          <w:p>
            <w:pPr>
              <w:jc w:val="center"/>
              <w:ind w:left="231"/>
              <w:spacing w:after="0"/>
              <w:rPr>
                <w:sz w:val="20"/>
                <w:szCs w:val="20"/>
                <w:color w:val="auto"/>
              </w:rPr>
            </w:pPr>
            <w:r>
              <w:rPr>
                <w:rFonts w:ascii="Arial" w:cs="Arial" w:eastAsia="Arial" w:hAnsi="Arial"/>
                <w:sz w:val="14"/>
                <w:szCs w:val="14"/>
                <w:color w:val="auto"/>
              </w:rPr>
              <w:t>7,908</w:t>
            </w:r>
          </w:p>
        </w:tc>
        <w:tc>
          <w:tcPr>
            <w:tcW w:w="1220" w:type="dxa"/>
            <w:vAlign w:val="bottom"/>
            <w:tcBorders>
              <w:bottom w:val="single" w:sz="8" w:color="B2B2B2"/>
              <w:right w:val="single" w:sz="8" w:color="B2B2B2"/>
            </w:tcBorders>
          </w:tcPr>
          <w:p>
            <w:pPr>
              <w:ind w:left="480"/>
              <w:spacing w:after="0"/>
              <w:rPr>
                <w:sz w:val="20"/>
                <w:szCs w:val="20"/>
                <w:color w:val="auto"/>
              </w:rPr>
            </w:pPr>
            <w:r>
              <w:rPr>
                <w:rFonts w:ascii="Arial" w:cs="Arial" w:eastAsia="Arial" w:hAnsi="Arial"/>
                <w:sz w:val="14"/>
                <w:szCs w:val="14"/>
                <w:color w:val="auto"/>
              </w:rPr>
              <w:t>267.66</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541,234</w:t>
            </w:r>
          </w:p>
        </w:tc>
      </w:tr>
      <w:tr>
        <w:trPr>
          <w:trHeight w:val="217"/>
        </w:trPr>
        <w:tc>
          <w:tcPr>
            <w:tcW w:w="1920" w:type="dxa"/>
            <w:vAlign w:val="bottom"/>
            <w:tcBorders>
              <w:right w:val="single" w:sz="8" w:color="B2B2B2"/>
            </w:tcBorders>
          </w:tcPr>
          <w:p>
            <w:pPr>
              <w:spacing w:after="0"/>
              <w:rPr>
                <w:sz w:val="18"/>
                <w:szCs w:val="18"/>
                <w:color w:val="auto"/>
              </w:rPr>
            </w:pPr>
          </w:p>
        </w:tc>
        <w:tc>
          <w:tcPr>
            <w:tcW w:w="880" w:type="dxa"/>
            <w:vAlign w:val="bottom"/>
            <w:tcBorders>
              <w:right w:val="single" w:sz="8" w:color="B2B2B2"/>
            </w:tcBorders>
          </w:tcPr>
          <w:p>
            <w:pPr>
              <w:spacing w:after="0"/>
              <w:rPr>
                <w:sz w:val="18"/>
                <w:szCs w:val="18"/>
                <w:color w:val="auto"/>
              </w:rPr>
            </w:pPr>
          </w:p>
        </w:tc>
        <w:tc>
          <w:tcPr>
            <w:tcW w:w="860" w:type="dxa"/>
            <w:vAlign w:val="bottom"/>
            <w:tcBorders>
              <w:right w:val="single" w:sz="8" w:color="B2B2B2"/>
            </w:tcBorders>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4"/>
                <w:szCs w:val="14"/>
                <w:color w:val="auto"/>
              </w:rPr>
              <w:t>0</w:t>
            </w:r>
          </w:p>
        </w:tc>
        <w:tc>
          <w:tcPr>
            <w:tcW w:w="120" w:type="dxa"/>
            <w:vAlign w:val="bottom"/>
            <w:tcBorders>
              <w:right w:val="single" w:sz="8" w:color="B2B2B2"/>
            </w:tcBorders>
          </w:tcPr>
          <w:p>
            <w:pPr>
              <w:spacing w:after="0"/>
              <w:rPr>
                <w:sz w:val="18"/>
                <w:szCs w:val="18"/>
                <w:color w:val="auto"/>
              </w:rPr>
            </w:pPr>
          </w:p>
        </w:tc>
        <w:tc>
          <w:tcPr>
            <w:tcW w:w="980" w:type="dxa"/>
            <w:vAlign w:val="bottom"/>
            <w:tcBorders>
              <w:right w:val="single" w:sz="8" w:color="B2B2B2"/>
            </w:tcBorders>
          </w:tcPr>
          <w:p>
            <w:pPr>
              <w:jc w:val="right"/>
              <w:ind w:right="112"/>
              <w:spacing w:after="0"/>
              <w:rPr>
                <w:sz w:val="20"/>
                <w:szCs w:val="20"/>
                <w:color w:val="auto"/>
              </w:rPr>
            </w:pPr>
            <w:r>
              <w:rPr>
                <w:rFonts w:ascii="Arial" w:cs="Arial" w:eastAsia="Arial" w:hAnsi="Arial"/>
                <w:sz w:val="14"/>
                <w:szCs w:val="14"/>
                <w:color w:val="auto"/>
              </w:rPr>
              <w:t>492,921</w:t>
            </w:r>
          </w:p>
        </w:tc>
        <w:tc>
          <w:tcPr>
            <w:tcW w:w="120" w:type="dxa"/>
            <w:vAlign w:val="bottom"/>
          </w:tcPr>
          <w:p>
            <w:pPr>
              <w:spacing w:after="0"/>
              <w:rPr>
                <w:sz w:val="18"/>
                <w:szCs w:val="18"/>
                <w:color w:val="auto"/>
              </w:rPr>
            </w:pPr>
          </w:p>
        </w:tc>
        <w:tc>
          <w:tcPr>
            <w:tcW w:w="880" w:type="dxa"/>
            <w:vAlign w:val="bottom"/>
            <w:tcBorders>
              <w:right w:val="single" w:sz="8" w:color="B2B2B2"/>
            </w:tcBorders>
          </w:tcPr>
          <w:p>
            <w:pPr>
              <w:jc w:val="right"/>
              <w:ind w:right="111"/>
              <w:spacing w:after="0"/>
              <w:rPr>
                <w:sz w:val="20"/>
                <w:szCs w:val="20"/>
                <w:color w:val="auto"/>
              </w:rPr>
            </w:pPr>
            <w:r>
              <w:rPr>
                <w:rFonts w:ascii="Arial" w:cs="Arial" w:eastAsia="Arial" w:hAnsi="Arial"/>
                <w:sz w:val="14"/>
                <w:szCs w:val="14"/>
                <w:color w:val="auto"/>
              </w:rPr>
              <w:t>985,842</w:t>
            </w:r>
          </w:p>
        </w:tc>
        <w:tc>
          <w:tcPr>
            <w:tcW w:w="960" w:type="dxa"/>
            <w:vAlign w:val="bottom"/>
            <w:tcBorders>
              <w:right w:val="single" w:sz="8" w:color="B2B2B2"/>
            </w:tcBorders>
          </w:tcPr>
          <w:p>
            <w:pPr>
              <w:spacing w:after="0"/>
              <w:rPr>
                <w:sz w:val="18"/>
                <w:szCs w:val="18"/>
                <w:color w:val="auto"/>
              </w:rPr>
            </w:pPr>
          </w:p>
        </w:tc>
        <w:tc>
          <w:tcPr>
            <w:tcW w:w="900" w:type="dxa"/>
            <w:vAlign w:val="bottom"/>
            <w:tcBorders>
              <w:right w:val="single" w:sz="8" w:color="B2B2B2"/>
            </w:tcBorders>
          </w:tcPr>
          <w:p>
            <w:pPr>
              <w:spacing w:after="0"/>
              <w:rPr>
                <w:sz w:val="18"/>
                <w:szCs w:val="18"/>
                <w:color w:val="auto"/>
              </w:rPr>
            </w:pPr>
          </w:p>
        </w:tc>
        <w:tc>
          <w:tcPr>
            <w:tcW w:w="1220" w:type="dxa"/>
            <w:vAlign w:val="bottom"/>
            <w:tcBorders>
              <w:right w:val="single" w:sz="8" w:color="B2B2B2"/>
            </w:tcBorders>
          </w:tcPr>
          <w:p>
            <w:pPr>
              <w:spacing w:after="0"/>
              <w:rPr>
                <w:sz w:val="18"/>
                <w:szCs w:val="18"/>
                <w:color w:val="auto"/>
              </w:rPr>
            </w:pPr>
          </w:p>
        </w:tc>
        <w:tc>
          <w:tcPr>
            <w:tcW w:w="860" w:type="dxa"/>
            <w:vAlign w:val="bottom"/>
          </w:tcPr>
          <w:p>
            <w:pPr>
              <w:spacing w:after="0"/>
              <w:rPr>
                <w:sz w:val="18"/>
                <w:szCs w:val="18"/>
                <w:color w:val="auto"/>
              </w:rPr>
            </w:pPr>
          </w:p>
        </w:tc>
      </w:tr>
      <w:tr>
        <w:trPr>
          <w:trHeight w:val="233"/>
        </w:trPr>
        <w:tc>
          <w:tcPr>
            <w:tcW w:w="1920" w:type="dxa"/>
            <w:vAlign w:val="bottom"/>
            <w:tcBorders>
              <w:right w:val="single" w:sz="8" w:color="E2EEFA"/>
            </w:tcBorders>
            <w:shd w:val="clear" w:color="auto" w:fill="E2EEFA"/>
          </w:tcPr>
          <w:p>
            <w:pPr>
              <w:spacing w:after="0"/>
              <w:rPr>
                <w:sz w:val="20"/>
                <w:szCs w:val="20"/>
                <w:color w:val="auto"/>
              </w:rPr>
            </w:pPr>
            <w:r>
              <w:rPr>
                <w:rFonts w:ascii="Arial" w:cs="Arial" w:eastAsia="Arial" w:hAnsi="Arial"/>
                <w:sz w:val="14"/>
                <w:szCs w:val="14"/>
                <w:color w:val="auto"/>
              </w:rPr>
              <w:t>  J. Adam Zangerle</w:t>
            </w:r>
          </w:p>
        </w:tc>
        <w:tc>
          <w:tcPr>
            <w:tcW w:w="880" w:type="dxa"/>
            <w:vAlign w:val="bottom"/>
            <w:tcBorders>
              <w:right w:val="single" w:sz="8" w:color="E2EEFA"/>
            </w:tcBorders>
            <w:shd w:val="clear" w:color="auto" w:fill="E2EEFA"/>
          </w:tcPr>
          <w:p>
            <w:pPr>
              <w:spacing w:after="0"/>
              <w:rPr>
                <w:sz w:val="20"/>
                <w:szCs w:val="20"/>
                <w:color w:val="auto"/>
              </w:rPr>
            </w:pPr>
          </w:p>
        </w:tc>
        <w:tc>
          <w:tcPr>
            <w:tcW w:w="860" w:type="dxa"/>
            <w:vAlign w:val="bottom"/>
            <w:tcBorders>
              <w:right w:val="single" w:sz="8" w:color="E2EEFA"/>
            </w:tcBorders>
            <w:shd w:val="clear" w:color="auto" w:fill="E2EEFA"/>
          </w:tcPr>
          <w:p>
            <w:pPr>
              <w:spacing w:after="0"/>
              <w:rPr>
                <w:sz w:val="20"/>
                <w:szCs w:val="20"/>
                <w:color w:val="auto"/>
              </w:rPr>
            </w:pPr>
          </w:p>
        </w:tc>
        <w:tc>
          <w:tcPr>
            <w:tcW w:w="860" w:type="dxa"/>
            <w:vAlign w:val="bottom"/>
            <w:shd w:val="clear" w:color="auto" w:fill="E2EEFA"/>
          </w:tcPr>
          <w:p>
            <w:pPr>
              <w:spacing w:after="0"/>
              <w:rPr>
                <w:sz w:val="20"/>
                <w:szCs w:val="20"/>
                <w:color w:val="auto"/>
              </w:rPr>
            </w:pPr>
          </w:p>
        </w:tc>
        <w:tc>
          <w:tcPr>
            <w:tcW w:w="120" w:type="dxa"/>
            <w:vAlign w:val="bottom"/>
            <w:tcBorders>
              <w:right w:val="single" w:sz="8" w:color="E2EEFA"/>
            </w:tcBorders>
            <w:shd w:val="clear" w:color="auto" w:fill="E2EEFA"/>
          </w:tcPr>
          <w:p>
            <w:pPr>
              <w:spacing w:after="0"/>
              <w:rPr>
                <w:sz w:val="20"/>
                <w:szCs w:val="20"/>
                <w:color w:val="auto"/>
              </w:rPr>
            </w:pPr>
          </w:p>
        </w:tc>
        <w:tc>
          <w:tcPr>
            <w:tcW w:w="980" w:type="dxa"/>
            <w:vAlign w:val="bottom"/>
            <w:tcBorders>
              <w:right w:val="single" w:sz="8" w:color="E2EEFA"/>
            </w:tcBorders>
            <w:shd w:val="clear" w:color="auto" w:fill="E2EEFA"/>
          </w:tcPr>
          <w:p>
            <w:pPr>
              <w:spacing w:after="0"/>
              <w:rPr>
                <w:sz w:val="20"/>
                <w:szCs w:val="20"/>
                <w:color w:val="auto"/>
              </w:rPr>
            </w:pPr>
          </w:p>
        </w:tc>
        <w:tc>
          <w:tcPr>
            <w:tcW w:w="120" w:type="dxa"/>
            <w:vAlign w:val="bottom"/>
            <w:shd w:val="clear" w:color="auto" w:fill="E2EEFA"/>
          </w:tcPr>
          <w:p>
            <w:pPr>
              <w:spacing w:after="0"/>
              <w:rPr>
                <w:sz w:val="20"/>
                <w:szCs w:val="20"/>
                <w:color w:val="auto"/>
              </w:rPr>
            </w:pPr>
          </w:p>
        </w:tc>
        <w:tc>
          <w:tcPr>
            <w:tcW w:w="880" w:type="dxa"/>
            <w:vAlign w:val="bottom"/>
            <w:tcBorders>
              <w:right w:val="single" w:sz="8" w:color="E2EEFA"/>
            </w:tcBorders>
            <w:shd w:val="clear" w:color="auto" w:fill="E2EEFA"/>
          </w:tcPr>
          <w:p>
            <w:pPr>
              <w:spacing w:after="0"/>
              <w:rPr>
                <w:sz w:val="20"/>
                <w:szCs w:val="20"/>
                <w:color w:val="auto"/>
              </w:rPr>
            </w:pPr>
          </w:p>
        </w:tc>
        <w:tc>
          <w:tcPr>
            <w:tcW w:w="960" w:type="dxa"/>
            <w:vAlign w:val="bottom"/>
            <w:tcBorders>
              <w:right w:val="single" w:sz="8" w:color="E2EEFA"/>
            </w:tcBorders>
            <w:shd w:val="clear" w:color="auto" w:fill="E2EEFA"/>
          </w:tcPr>
          <w:p>
            <w:pPr>
              <w:spacing w:after="0"/>
              <w:rPr>
                <w:sz w:val="20"/>
                <w:szCs w:val="20"/>
                <w:color w:val="auto"/>
              </w:rPr>
            </w:pPr>
          </w:p>
        </w:tc>
        <w:tc>
          <w:tcPr>
            <w:tcW w:w="900" w:type="dxa"/>
            <w:vAlign w:val="bottom"/>
            <w:tcBorders>
              <w:right w:val="single" w:sz="8" w:color="E2EEFA"/>
            </w:tcBorders>
            <w:shd w:val="clear" w:color="auto" w:fill="E2EEFA"/>
          </w:tcPr>
          <w:p>
            <w:pPr>
              <w:spacing w:after="0"/>
              <w:rPr>
                <w:sz w:val="20"/>
                <w:szCs w:val="20"/>
                <w:color w:val="auto"/>
              </w:rPr>
            </w:pPr>
          </w:p>
        </w:tc>
        <w:tc>
          <w:tcPr>
            <w:tcW w:w="1220" w:type="dxa"/>
            <w:vAlign w:val="bottom"/>
            <w:tcBorders>
              <w:right w:val="single" w:sz="8" w:color="E2EEFA"/>
            </w:tcBorders>
            <w:shd w:val="clear" w:color="auto" w:fill="E2EEFA"/>
          </w:tcPr>
          <w:p>
            <w:pPr>
              <w:spacing w:after="0"/>
              <w:rPr>
                <w:sz w:val="20"/>
                <w:szCs w:val="20"/>
                <w:color w:val="auto"/>
              </w:rPr>
            </w:pPr>
          </w:p>
        </w:tc>
        <w:tc>
          <w:tcPr>
            <w:tcW w:w="860" w:type="dxa"/>
            <w:vAlign w:val="bottom"/>
            <w:shd w:val="clear" w:color="auto" w:fill="E2EEFA"/>
          </w:tcPr>
          <w:p>
            <w:pPr>
              <w:spacing w:after="0"/>
              <w:rPr>
                <w:sz w:val="20"/>
                <w:szCs w:val="20"/>
                <w:color w:val="auto"/>
              </w:rPr>
            </w:pPr>
          </w:p>
        </w:tc>
      </w:tr>
      <w:tr>
        <w:trPr>
          <w:trHeight w:val="242"/>
        </w:trPr>
        <w:tc>
          <w:tcPr>
            <w:tcW w:w="1920" w:type="dxa"/>
            <w:vAlign w:val="bottom"/>
            <w:tcBorders>
              <w:right w:val="single" w:sz="8" w:color="B2B2B2"/>
            </w:tcBorders>
          </w:tcPr>
          <w:p>
            <w:pPr>
              <w:spacing w:after="0"/>
              <w:rPr>
                <w:sz w:val="21"/>
                <w:szCs w:val="21"/>
                <w:color w:val="auto"/>
              </w:rPr>
            </w:pPr>
          </w:p>
        </w:tc>
        <w:tc>
          <w:tcPr>
            <w:tcW w:w="88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6/3/2025</w:t>
            </w:r>
          </w:p>
        </w:tc>
        <w:tc>
          <w:tcPr>
            <w:tcW w:w="86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5/7/2025</w:t>
            </w:r>
          </w:p>
        </w:tc>
        <w:tc>
          <w:tcPr>
            <w:tcW w:w="860" w:type="dxa"/>
            <w:vAlign w:val="bottom"/>
            <w:tcBorders>
              <w:bottom w:val="single" w:sz="8" w:color="B2B2B2"/>
            </w:tcBorders>
          </w:tcPr>
          <w:p>
            <w:pPr>
              <w:spacing w:after="0"/>
              <w:rPr>
                <w:sz w:val="21"/>
                <w:szCs w:val="21"/>
                <w:color w:val="auto"/>
              </w:rPr>
            </w:pPr>
          </w:p>
        </w:tc>
        <w:tc>
          <w:tcPr>
            <w:tcW w:w="120" w:type="dxa"/>
            <w:vAlign w:val="bottom"/>
            <w:tcBorders>
              <w:bottom w:val="single" w:sz="8" w:color="B2B2B2"/>
              <w:right w:val="single" w:sz="8" w:color="B2B2B2"/>
            </w:tcBorders>
          </w:tcPr>
          <w:p>
            <w:pPr>
              <w:spacing w:after="0"/>
              <w:rPr>
                <w:sz w:val="21"/>
                <w:szCs w:val="21"/>
                <w:color w:val="auto"/>
              </w:rPr>
            </w:pPr>
          </w:p>
        </w:tc>
        <w:tc>
          <w:tcPr>
            <w:tcW w:w="980" w:type="dxa"/>
            <w:vAlign w:val="bottom"/>
            <w:tcBorders>
              <w:bottom w:val="single" w:sz="8" w:color="B2B2B2"/>
              <w:right w:val="single" w:sz="8" w:color="B2B2B2"/>
            </w:tcBorders>
          </w:tcPr>
          <w:p>
            <w:pPr>
              <w:spacing w:after="0"/>
              <w:rPr>
                <w:sz w:val="21"/>
                <w:szCs w:val="21"/>
                <w:color w:val="auto"/>
              </w:rPr>
            </w:pPr>
          </w:p>
        </w:tc>
        <w:tc>
          <w:tcPr>
            <w:tcW w:w="120" w:type="dxa"/>
            <w:vAlign w:val="bottom"/>
            <w:tcBorders>
              <w:bottom w:val="single" w:sz="8" w:color="B2B2B2"/>
            </w:tcBorders>
          </w:tcPr>
          <w:p>
            <w:pPr>
              <w:spacing w:after="0"/>
              <w:rPr>
                <w:sz w:val="21"/>
                <w:szCs w:val="21"/>
                <w:color w:val="auto"/>
              </w:rPr>
            </w:pPr>
          </w:p>
        </w:tc>
        <w:tc>
          <w:tcPr>
            <w:tcW w:w="880" w:type="dxa"/>
            <w:vAlign w:val="bottom"/>
            <w:tcBorders>
              <w:bottom w:val="single" w:sz="8" w:color="B2B2B2"/>
              <w:right w:val="single" w:sz="8" w:color="B2B2B2"/>
            </w:tcBorders>
          </w:tcPr>
          <w:p>
            <w:pPr>
              <w:spacing w:after="0"/>
              <w:rPr>
                <w:sz w:val="21"/>
                <w:szCs w:val="21"/>
                <w:color w:val="auto"/>
              </w:rPr>
            </w:pPr>
          </w:p>
        </w:tc>
        <w:tc>
          <w:tcPr>
            <w:tcW w:w="960" w:type="dxa"/>
            <w:vAlign w:val="bottom"/>
            <w:tcBorders>
              <w:bottom w:val="single" w:sz="8" w:color="B2B2B2"/>
              <w:right w:val="single" w:sz="8" w:color="B2B2B2"/>
            </w:tcBorders>
          </w:tcPr>
          <w:p>
            <w:pPr>
              <w:jc w:val="center"/>
              <w:ind w:left="211"/>
              <w:spacing w:after="0"/>
              <w:rPr>
                <w:sz w:val="20"/>
                <w:szCs w:val="20"/>
                <w:color w:val="auto"/>
              </w:rPr>
            </w:pPr>
            <w:r>
              <w:rPr>
                <w:rFonts w:ascii="Arial" w:cs="Arial" w:eastAsia="Arial" w:hAnsi="Arial"/>
                <w:sz w:val="14"/>
                <w:szCs w:val="14"/>
                <w:color w:val="auto"/>
              </w:rPr>
              <w:t>3,756</w:t>
            </w:r>
          </w:p>
        </w:tc>
        <w:tc>
          <w:tcPr>
            <w:tcW w:w="900" w:type="dxa"/>
            <w:vAlign w:val="bottom"/>
            <w:tcBorders>
              <w:bottom w:val="single" w:sz="8" w:color="B2B2B2"/>
              <w:right w:val="single" w:sz="8" w:color="B2B2B2"/>
            </w:tcBorders>
          </w:tcPr>
          <w:p>
            <w:pPr>
              <w:spacing w:after="0"/>
              <w:rPr>
                <w:sz w:val="21"/>
                <w:szCs w:val="21"/>
                <w:color w:val="auto"/>
              </w:rPr>
            </w:pPr>
          </w:p>
        </w:tc>
        <w:tc>
          <w:tcPr>
            <w:tcW w:w="1220" w:type="dxa"/>
            <w:vAlign w:val="bottom"/>
            <w:tcBorders>
              <w:bottom w:val="single" w:sz="8" w:color="B2B2B2"/>
              <w:right w:val="single" w:sz="8" w:color="B2B2B2"/>
            </w:tcBorders>
          </w:tcPr>
          <w:p>
            <w:pPr>
              <w:spacing w:after="0"/>
              <w:rPr>
                <w:sz w:val="21"/>
                <w:szCs w:val="21"/>
                <w:color w:val="auto"/>
              </w:rPr>
            </w:pP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913,947</w:t>
            </w:r>
          </w:p>
        </w:tc>
      </w:tr>
      <w:tr>
        <w:trPr>
          <w:trHeight w:val="226"/>
        </w:trPr>
        <w:tc>
          <w:tcPr>
            <w:tcW w:w="1920" w:type="dxa"/>
            <w:vAlign w:val="bottom"/>
            <w:tcBorders>
              <w:right w:val="single" w:sz="8" w:color="B2B2B2"/>
            </w:tcBorders>
          </w:tcPr>
          <w:p>
            <w:pPr>
              <w:spacing w:after="0"/>
              <w:rPr>
                <w:sz w:val="19"/>
                <w:szCs w:val="19"/>
                <w:color w:val="auto"/>
              </w:rPr>
            </w:pPr>
          </w:p>
        </w:tc>
        <w:tc>
          <w:tcPr>
            <w:tcW w:w="88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6/3/2025</w:t>
            </w:r>
          </w:p>
        </w:tc>
        <w:tc>
          <w:tcPr>
            <w:tcW w:w="86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5/7/2025</w:t>
            </w:r>
          </w:p>
        </w:tc>
        <w:tc>
          <w:tcPr>
            <w:tcW w:w="860" w:type="dxa"/>
            <w:vAlign w:val="bottom"/>
            <w:tcBorders>
              <w:bottom w:val="single" w:sz="8" w:color="B2B2B2"/>
            </w:tcBorders>
          </w:tcPr>
          <w:p>
            <w:pPr>
              <w:spacing w:after="0"/>
              <w:rPr>
                <w:sz w:val="19"/>
                <w:szCs w:val="19"/>
                <w:color w:val="auto"/>
              </w:rPr>
            </w:pPr>
          </w:p>
        </w:tc>
        <w:tc>
          <w:tcPr>
            <w:tcW w:w="120" w:type="dxa"/>
            <w:vAlign w:val="bottom"/>
            <w:tcBorders>
              <w:bottom w:val="single" w:sz="8" w:color="B2B2B2"/>
              <w:right w:val="single" w:sz="8" w:color="B2B2B2"/>
            </w:tcBorders>
          </w:tcPr>
          <w:p>
            <w:pPr>
              <w:spacing w:after="0"/>
              <w:rPr>
                <w:sz w:val="19"/>
                <w:szCs w:val="19"/>
                <w:color w:val="auto"/>
              </w:rPr>
            </w:pPr>
          </w:p>
        </w:tc>
        <w:tc>
          <w:tcPr>
            <w:tcW w:w="980" w:type="dxa"/>
            <w:vAlign w:val="bottom"/>
            <w:tcBorders>
              <w:bottom w:val="single" w:sz="8" w:color="B2B2B2"/>
              <w:right w:val="single" w:sz="8" w:color="B2B2B2"/>
            </w:tcBorders>
          </w:tcPr>
          <w:p>
            <w:pPr>
              <w:spacing w:after="0"/>
              <w:rPr>
                <w:sz w:val="19"/>
                <w:szCs w:val="19"/>
                <w:color w:val="auto"/>
              </w:rPr>
            </w:pPr>
          </w:p>
        </w:tc>
        <w:tc>
          <w:tcPr>
            <w:tcW w:w="120" w:type="dxa"/>
            <w:vAlign w:val="bottom"/>
            <w:tcBorders>
              <w:bottom w:val="single" w:sz="8" w:color="B2B2B2"/>
            </w:tcBorders>
          </w:tcPr>
          <w:p>
            <w:pPr>
              <w:spacing w:after="0"/>
              <w:rPr>
                <w:sz w:val="19"/>
                <w:szCs w:val="19"/>
                <w:color w:val="auto"/>
              </w:rPr>
            </w:pPr>
          </w:p>
        </w:tc>
        <w:tc>
          <w:tcPr>
            <w:tcW w:w="880" w:type="dxa"/>
            <w:vAlign w:val="bottom"/>
            <w:tcBorders>
              <w:bottom w:val="single" w:sz="8" w:color="B2B2B2"/>
              <w:right w:val="single" w:sz="8" w:color="B2B2B2"/>
            </w:tcBorders>
          </w:tcPr>
          <w:p>
            <w:pPr>
              <w:spacing w:after="0"/>
              <w:rPr>
                <w:sz w:val="19"/>
                <w:szCs w:val="19"/>
                <w:color w:val="auto"/>
              </w:rPr>
            </w:pPr>
          </w:p>
        </w:tc>
        <w:tc>
          <w:tcPr>
            <w:tcW w:w="960" w:type="dxa"/>
            <w:vAlign w:val="bottom"/>
            <w:tcBorders>
              <w:bottom w:val="single" w:sz="8" w:color="B2B2B2"/>
              <w:right w:val="single" w:sz="8" w:color="B2B2B2"/>
            </w:tcBorders>
          </w:tcPr>
          <w:p>
            <w:pPr>
              <w:spacing w:after="0"/>
              <w:rPr>
                <w:sz w:val="19"/>
                <w:szCs w:val="19"/>
                <w:color w:val="auto"/>
              </w:rPr>
            </w:pPr>
          </w:p>
        </w:tc>
        <w:tc>
          <w:tcPr>
            <w:tcW w:w="900" w:type="dxa"/>
            <w:vAlign w:val="bottom"/>
            <w:tcBorders>
              <w:bottom w:val="single" w:sz="8" w:color="B2B2B2"/>
              <w:right w:val="single" w:sz="8" w:color="B2B2B2"/>
            </w:tcBorders>
          </w:tcPr>
          <w:p>
            <w:pPr>
              <w:jc w:val="center"/>
              <w:ind w:left="211"/>
              <w:spacing w:after="0"/>
              <w:rPr>
                <w:sz w:val="20"/>
                <w:szCs w:val="20"/>
                <w:color w:val="auto"/>
              </w:rPr>
            </w:pPr>
            <w:r>
              <w:rPr>
                <w:rFonts w:ascii="Arial" w:cs="Arial" w:eastAsia="Arial" w:hAnsi="Arial"/>
                <w:sz w:val="14"/>
                <w:szCs w:val="14"/>
                <w:color w:val="auto"/>
                <w:w w:val="97"/>
              </w:rPr>
              <w:t>13,360</w:t>
            </w:r>
          </w:p>
        </w:tc>
        <w:tc>
          <w:tcPr>
            <w:tcW w:w="1220" w:type="dxa"/>
            <w:vAlign w:val="bottom"/>
            <w:tcBorders>
              <w:bottom w:val="single" w:sz="8" w:color="B2B2B2"/>
              <w:right w:val="single" w:sz="8" w:color="B2B2B2"/>
            </w:tcBorders>
          </w:tcPr>
          <w:p>
            <w:pPr>
              <w:ind w:left="480"/>
              <w:spacing w:after="0"/>
              <w:rPr>
                <w:sz w:val="20"/>
                <w:szCs w:val="20"/>
                <w:color w:val="auto"/>
              </w:rPr>
            </w:pPr>
            <w:r>
              <w:rPr>
                <w:rFonts w:ascii="Arial" w:cs="Arial" w:eastAsia="Arial" w:hAnsi="Arial"/>
                <w:sz w:val="14"/>
                <w:szCs w:val="14"/>
                <w:color w:val="auto"/>
              </w:rPr>
              <w:t>267.66</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914,376</w:t>
            </w:r>
          </w:p>
        </w:tc>
      </w:tr>
      <w:tr>
        <w:trPr>
          <w:trHeight w:val="217"/>
        </w:trPr>
        <w:tc>
          <w:tcPr>
            <w:tcW w:w="1920" w:type="dxa"/>
            <w:vAlign w:val="bottom"/>
            <w:tcBorders>
              <w:right w:val="single" w:sz="8" w:color="B2B2B2"/>
            </w:tcBorders>
          </w:tcPr>
          <w:p>
            <w:pPr>
              <w:spacing w:after="0"/>
              <w:rPr>
                <w:sz w:val="18"/>
                <w:szCs w:val="18"/>
                <w:color w:val="auto"/>
              </w:rPr>
            </w:pPr>
          </w:p>
        </w:tc>
        <w:tc>
          <w:tcPr>
            <w:tcW w:w="880" w:type="dxa"/>
            <w:vAlign w:val="bottom"/>
            <w:tcBorders>
              <w:right w:val="single" w:sz="8" w:color="B2B2B2"/>
            </w:tcBorders>
          </w:tcPr>
          <w:p>
            <w:pPr>
              <w:spacing w:after="0"/>
              <w:rPr>
                <w:sz w:val="18"/>
                <w:szCs w:val="18"/>
                <w:color w:val="auto"/>
              </w:rPr>
            </w:pPr>
          </w:p>
        </w:tc>
        <w:tc>
          <w:tcPr>
            <w:tcW w:w="860" w:type="dxa"/>
            <w:vAlign w:val="bottom"/>
            <w:tcBorders>
              <w:right w:val="single" w:sz="8" w:color="B2B2B2"/>
            </w:tcBorders>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4"/>
                <w:szCs w:val="14"/>
                <w:color w:val="auto"/>
              </w:rPr>
              <w:t>0</w:t>
            </w:r>
          </w:p>
        </w:tc>
        <w:tc>
          <w:tcPr>
            <w:tcW w:w="120" w:type="dxa"/>
            <w:vAlign w:val="bottom"/>
            <w:tcBorders>
              <w:right w:val="single" w:sz="8" w:color="B2B2B2"/>
            </w:tcBorders>
          </w:tcPr>
          <w:p>
            <w:pPr>
              <w:spacing w:after="0"/>
              <w:rPr>
                <w:sz w:val="18"/>
                <w:szCs w:val="18"/>
                <w:color w:val="auto"/>
              </w:rPr>
            </w:pPr>
          </w:p>
        </w:tc>
        <w:tc>
          <w:tcPr>
            <w:tcW w:w="980" w:type="dxa"/>
            <w:vAlign w:val="bottom"/>
            <w:tcBorders>
              <w:right w:val="single" w:sz="8" w:color="B2B2B2"/>
            </w:tcBorders>
          </w:tcPr>
          <w:p>
            <w:pPr>
              <w:jc w:val="right"/>
              <w:ind w:right="112"/>
              <w:spacing w:after="0"/>
              <w:rPr>
                <w:sz w:val="20"/>
                <w:szCs w:val="20"/>
                <w:color w:val="auto"/>
              </w:rPr>
            </w:pPr>
            <w:r>
              <w:rPr>
                <w:rFonts w:ascii="Arial" w:cs="Arial" w:eastAsia="Arial" w:hAnsi="Arial"/>
                <w:sz w:val="14"/>
                <w:szCs w:val="14"/>
                <w:color w:val="auto"/>
              </w:rPr>
              <w:t>430,708</w:t>
            </w:r>
          </w:p>
        </w:tc>
        <w:tc>
          <w:tcPr>
            <w:tcW w:w="120" w:type="dxa"/>
            <w:vAlign w:val="bottom"/>
          </w:tcPr>
          <w:p>
            <w:pPr>
              <w:spacing w:after="0"/>
              <w:rPr>
                <w:sz w:val="18"/>
                <w:szCs w:val="18"/>
                <w:color w:val="auto"/>
              </w:rPr>
            </w:pPr>
          </w:p>
        </w:tc>
        <w:tc>
          <w:tcPr>
            <w:tcW w:w="880" w:type="dxa"/>
            <w:vAlign w:val="bottom"/>
            <w:tcBorders>
              <w:right w:val="single" w:sz="8" w:color="B2B2B2"/>
            </w:tcBorders>
          </w:tcPr>
          <w:p>
            <w:pPr>
              <w:jc w:val="right"/>
              <w:ind w:right="111"/>
              <w:spacing w:after="0"/>
              <w:rPr>
                <w:sz w:val="20"/>
                <w:szCs w:val="20"/>
                <w:color w:val="auto"/>
              </w:rPr>
            </w:pPr>
            <w:r>
              <w:rPr>
                <w:rFonts w:ascii="Arial" w:cs="Arial" w:eastAsia="Arial" w:hAnsi="Arial"/>
                <w:sz w:val="14"/>
                <w:szCs w:val="14"/>
                <w:color w:val="auto"/>
              </w:rPr>
              <w:t>861,415</w:t>
            </w:r>
          </w:p>
        </w:tc>
        <w:tc>
          <w:tcPr>
            <w:tcW w:w="960" w:type="dxa"/>
            <w:vAlign w:val="bottom"/>
            <w:tcBorders>
              <w:right w:val="single" w:sz="8" w:color="B2B2B2"/>
            </w:tcBorders>
          </w:tcPr>
          <w:p>
            <w:pPr>
              <w:spacing w:after="0"/>
              <w:rPr>
                <w:sz w:val="18"/>
                <w:szCs w:val="18"/>
                <w:color w:val="auto"/>
              </w:rPr>
            </w:pPr>
          </w:p>
        </w:tc>
        <w:tc>
          <w:tcPr>
            <w:tcW w:w="900" w:type="dxa"/>
            <w:vAlign w:val="bottom"/>
            <w:tcBorders>
              <w:right w:val="single" w:sz="8" w:color="B2B2B2"/>
            </w:tcBorders>
          </w:tcPr>
          <w:p>
            <w:pPr>
              <w:spacing w:after="0"/>
              <w:rPr>
                <w:sz w:val="18"/>
                <w:szCs w:val="18"/>
                <w:color w:val="auto"/>
              </w:rPr>
            </w:pPr>
          </w:p>
        </w:tc>
        <w:tc>
          <w:tcPr>
            <w:tcW w:w="1220" w:type="dxa"/>
            <w:vAlign w:val="bottom"/>
            <w:tcBorders>
              <w:right w:val="single" w:sz="8" w:color="B2B2B2"/>
            </w:tcBorders>
          </w:tcPr>
          <w:p>
            <w:pPr>
              <w:spacing w:after="0"/>
              <w:rPr>
                <w:sz w:val="18"/>
                <w:szCs w:val="18"/>
                <w:color w:val="auto"/>
              </w:rPr>
            </w:pPr>
          </w:p>
        </w:tc>
        <w:tc>
          <w:tcPr>
            <w:tcW w:w="860" w:type="dxa"/>
            <w:vAlign w:val="bottom"/>
          </w:tcPr>
          <w:p>
            <w:pPr>
              <w:spacing w:after="0"/>
              <w:rPr>
                <w:sz w:val="18"/>
                <w:szCs w:val="18"/>
                <w:color w:val="auto"/>
              </w:rPr>
            </w:pPr>
          </w:p>
        </w:tc>
      </w:tr>
      <w:tr>
        <w:trPr>
          <w:trHeight w:val="233"/>
        </w:trPr>
        <w:tc>
          <w:tcPr>
            <w:tcW w:w="1920" w:type="dxa"/>
            <w:vAlign w:val="bottom"/>
            <w:tcBorders>
              <w:right w:val="single" w:sz="8" w:color="E2EEFA"/>
            </w:tcBorders>
            <w:shd w:val="clear" w:color="auto" w:fill="E2EEFA"/>
          </w:tcPr>
          <w:p>
            <w:pPr>
              <w:spacing w:after="0"/>
              <w:rPr>
                <w:sz w:val="20"/>
                <w:szCs w:val="20"/>
                <w:color w:val="auto"/>
              </w:rPr>
            </w:pPr>
            <w:r>
              <w:rPr>
                <w:rFonts w:ascii="Arial" w:cs="Arial" w:eastAsia="Arial" w:hAnsi="Arial"/>
                <w:sz w:val="14"/>
                <w:szCs w:val="14"/>
                <w:color w:val="auto"/>
              </w:rPr>
              <w:t>  Cary L. Majors</w:t>
            </w:r>
          </w:p>
        </w:tc>
        <w:tc>
          <w:tcPr>
            <w:tcW w:w="880" w:type="dxa"/>
            <w:vAlign w:val="bottom"/>
            <w:tcBorders>
              <w:right w:val="single" w:sz="8" w:color="E2EEFA"/>
            </w:tcBorders>
            <w:shd w:val="clear" w:color="auto" w:fill="E2EEFA"/>
          </w:tcPr>
          <w:p>
            <w:pPr>
              <w:spacing w:after="0"/>
              <w:rPr>
                <w:sz w:val="20"/>
                <w:szCs w:val="20"/>
                <w:color w:val="auto"/>
              </w:rPr>
            </w:pPr>
          </w:p>
        </w:tc>
        <w:tc>
          <w:tcPr>
            <w:tcW w:w="860" w:type="dxa"/>
            <w:vAlign w:val="bottom"/>
            <w:tcBorders>
              <w:right w:val="single" w:sz="8" w:color="E2EEFA"/>
            </w:tcBorders>
            <w:shd w:val="clear" w:color="auto" w:fill="E2EEFA"/>
          </w:tcPr>
          <w:p>
            <w:pPr>
              <w:spacing w:after="0"/>
              <w:rPr>
                <w:sz w:val="20"/>
                <w:szCs w:val="20"/>
                <w:color w:val="auto"/>
              </w:rPr>
            </w:pPr>
          </w:p>
        </w:tc>
        <w:tc>
          <w:tcPr>
            <w:tcW w:w="860" w:type="dxa"/>
            <w:vAlign w:val="bottom"/>
            <w:shd w:val="clear" w:color="auto" w:fill="E2EEFA"/>
          </w:tcPr>
          <w:p>
            <w:pPr>
              <w:spacing w:after="0"/>
              <w:rPr>
                <w:sz w:val="20"/>
                <w:szCs w:val="20"/>
                <w:color w:val="auto"/>
              </w:rPr>
            </w:pPr>
          </w:p>
        </w:tc>
        <w:tc>
          <w:tcPr>
            <w:tcW w:w="120" w:type="dxa"/>
            <w:vAlign w:val="bottom"/>
            <w:tcBorders>
              <w:right w:val="single" w:sz="8" w:color="E2EEFA"/>
            </w:tcBorders>
            <w:shd w:val="clear" w:color="auto" w:fill="E2EEFA"/>
          </w:tcPr>
          <w:p>
            <w:pPr>
              <w:spacing w:after="0"/>
              <w:rPr>
                <w:sz w:val="20"/>
                <w:szCs w:val="20"/>
                <w:color w:val="auto"/>
              </w:rPr>
            </w:pPr>
          </w:p>
        </w:tc>
        <w:tc>
          <w:tcPr>
            <w:tcW w:w="980" w:type="dxa"/>
            <w:vAlign w:val="bottom"/>
            <w:tcBorders>
              <w:right w:val="single" w:sz="8" w:color="E2EEFA"/>
            </w:tcBorders>
            <w:shd w:val="clear" w:color="auto" w:fill="E2EEFA"/>
          </w:tcPr>
          <w:p>
            <w:pPr>
              <w:spacing w:after="0"/>
              <w:rPr>
                <w:sz w:val="20"/>
                <w:szCs w:val="20"/>
                <w:color w:val="auto"/>
              </w:rPr>
            </w:pPr>
          </w:p>
        </w:tc>
        <w:tc>
          <w:tcPr>
            <w:tcW w:w="120" w:type="dxa"/>
            <w:vAlign w:val="bottom"/>
            <w:shd w:val="clear" w:color="auto" w:fill="E2EEFA"/>
          </w:tcPr>
          <w:p>
            <w:pPr>
              <w:spacing w:after="0"/>
              <w:rPr>
                <w:sz w:val="20"/>
                <w:szCs w:val="20"/>
                <w:color w:val="auto"/>
              </w:rPr>
            </w:pPr>
          </w:p>
        </w:tc>
        <w:tc>
          <w:tcPr>
            <w:tcW w:w="880" w:type="dxa"/>
            <w:vAlign w:val="bottom"/>
            <w:tcBorders>
              <w:right w:val="single" w:sz="8" w:color="E2EEFA"/>
            </w:tcBorders>
            <w:shd w:val="clear" w:color="auto" w:fill="E2EEFA"/>
          </w:tcPr>
          <w:p>
            <w:pPr>
              <w:spacing w:after="0"/>
              <w:rPr>
                <w:sz w:val="20"/>
                <w:szCs w:val="20"/>
                <w:color w:val="auto"/>
              </w:rPr>
            </w:pPr>
          </w:p>
        </w:tc>
        <w:tc>
          <w:tcPr>
            <w:tcW w:w="960" w:type="dxa"/>
            <w:vAlign w:val="bottom"/>
            <w:tcBorders>
              <w:right w:val="single" w:sz="8" w:color="E2EEFA"/>
            </w:tcBorders>
            <w:shd w:val="clear" w:color="auto" w:fill="E2EEFA"/>
          </w:tcPr>
          <w:p>
            <w:pPr>
              <w:spacing w:after="0"/>
              <w:rPr>
                <w:sz w:val="20"/>
                <w:szCs w:val="20"/>
                <w:color w:val="auto"/>
              </w:rPr>
            </w:pPr>
          </w:p>
        </w:tc>
        <w:tc>
          <w:tcPr>
            <w:tcW w:w="900" w:type="dxa"/>
            <w:vAlign w:val="bottom"/>
            <w:tcBorders>
              <w:right w:val="single" w:sz="8" w:color="E2EEFA"/>
            </w:tcBorders>
            <w:shd w:val="clear" w:color="auto" w:fill="E2EEFA"/>
          </w:tcPr>
          <w:p>
            <w:pPr>
              <w:spacing w:after="0"/>
              <w:rPr>
                <w:sz w:val="20"/>
                <w:szCs w:val="20"/>
                <w:color w:val="auto"/>
              </w:rPr>
            </w:pPr>
          </w:p>
        </w:tc>
        <w:tc>
          <w:tcPr>
            <w:tcW w:w="1220" w:type="dxa"/>
            <w:vAlign w:val="bottom"/>
            <w:tcBorders>
              <w:right w:val="single" w:sz="8" w:color="E2EEFA"/>
            </w:tcBorders>
            <w:shd w:val="clear" w:color="auto" w:fill="E2EEFA"/>
          </w:tcPr>
          <w:p>
            <w:pPr>
              <w:spacing w:after="0"/>
              <w:rPr>
                <w:sz w:val="20"/>
                <w:szCs w:val="20"/>
                <w:color w:val="auto"/>
              </w:rPr>
            </w:pPr>
          </w:p>
        </w:tc>
        <w:tc>
          <w:tcPr>
            <w:tcW w:w="860" w:type="dxa"/>
            <w:vAlign w:val="bottom"/>
            <w:shd w:val="clear" w:color="auto" w:fill="E2EEFA"/>
          </w:tcPr>
          <w:p>
            <w:pPr>
              <w:spacing w:after="0"/>
              <w:rPr>
                <w:sz w:val="20"/>
                <w:szCs w:val="20"/>
                <w:color w:val="auto"/>
              </w:rPr>
            </w:pPr>
          </w:p>
        </w:tc>
      </w:tr>
      <w:tr>
        <w:trPr>
          <w:trHeight w:val="242"/>
        </w:trPr>
        <w:tc>
          <w:tcPr>
            <w:tcW w:w="1920" w:type="dxa"/>
            <w:vAlign w:val="bottom"/>
            <w:tcBorders>
              <w:right w:val="single" w:sz="8" w:color="B2B2B2"/>
            </w:tcBorders>
          </w:tcPr>
          <w:p>
            <w:pPr>
              <w:spacing w:after="0"/>
              <w:rPr>
                <w:sz w:val="21"/>
                <w:szCs w:val="21"/>
                <w:color w:val="auto"/>
              </w:rPr>
            </w:pPr>
          </w:p>
        </w:tc>
        <w:tc>
          <w:tcPr>
            <w:tcW w:w="88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6/3/2025</w:t>
            </w:r>
          </w:p>
        </w:tc>
        <w:tc>
          <w:tcPr>
            <w:tcW w:w="86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5/7/2025</w:t>
            </w:r>
          </w:p>
        </w:tc>
        <w:tc>
          <w:tcPr>
            <w:tcW w:w="860" w:type="dxa"/>
            <w:vAlign w:val="bottom"/>
            <w:tcBorders>
              <w:bottom w:val="single" w:sz="8" w:color="B2B2B2"/>
            </w:tcBorders>
          </w:tcPr>
          <w:p>
            <w:pPr>
              <w:spacing w:after="0"/>
              <w:rPr>
                <w:sz w:val="21"/>
                <w:szCs w:val="21"/>
                <w:color w:val="auto"/>
              </w:rPr>
            </w:pPr>
          </w:p>
        </w:tc>
        <w:tc>
          <w:tcPr>
            <w:tcW w:w="120" w:type="dxa"/>
            <w:vAlign w:val="bottom"/>
            <w:tcBorders>
              <w:bottom w:val="single" w:sz="8" w:color="B2B2B2"/>
              <w:right w:val="single" w:sz="8" w:color="B2B2B2"/>
            </w:tcBorders>
          </w:tcPr>
          <w:p>
            <w:pPr>
              <w:spacing w:after="0"/>
              <w:rPr>
                <w:sz w:val="21"/>
                <w:szCs w:val="21"/>
                <w:color w:val="auto"/>
              </w:rPr>
            </w:pPr>
          </w:p>
        </w:tc>
        <w:tc>
          <w:tcPr>
            <w:tcW w:w="980" w:type="dxa"/>
            <w:vAlign w:val="bottom"/>
            <w:tcBorders>
              <w:bottom w:val="single" w:sz="8" w:color="B2B2B2"/>
              <w:right w:val="single" w:sz="8" w:color="B2B2B2"/>
            </w:tcBorders>
          </w:tcPr>
          <w:p>
            <w:pPr>
              <w:spacing w:after="0"/>
              <w:rPr>
                <w:sz w:val="21"/>
                <w:szCs w:val="21"/>
                <w:color w:val="auto"/>
              </w:rPr>
            </w:pPr>
          </w:p>
        </w:tc>
        <w:tc>
          <w:tcPr>
            <w:tcW w:w="120" w:type="dxa"/>
            <w:vAlign w:val="bottom"/>
            <w:tcBorders>
              <w:bottom w:val="single" w:sz="8" w:color="B2B2B2"/>
            </w:tcBorders>
          </w:tcPr>
          <w:p>
            <w:pPr>
              <w:spacing w:after="0"/>
              <w:rPr>
                <w:sz w:val="21"/>
                <w:szCs w:val="21"/>
                <w:color w:val="auto"/>
              </w:rPr>
            </w:pPr>
          </w:p>
        </w:tc>
        <w:tc>
          <w:tcPr>
            <w:tcW w:w="880" w:type="dxa"/>
            <w:vAlign w:val="bottom"/>
            <w:tcBorders>
              <w:bottom w:val="single" w:sz="8" w:color="B2B2B2"/>
              <w:right w:val="single" w:sz="8" w:color="B2B2B2"/>
            </w:tcBorders>
          </w:tcPr>
          <w:p>
            <w:pPr>
              <w:spacing w:after="0"/>
              <w:rPr>
                <w:sz w:val="21"/>
                <w:szCs w:val="21"/>
                <w:color w:val="auto"/>
              </w:rPr>
            </w:pPr>
          </w:p>
        </w:tc>
        <w:tc>
          <w:tcPr>
            <w:tcW w:w="960" w:type="dxa"/>
            <w:vAlign w:val="bottom"/>
            <w:tcBorders>
              <w:bottom w:val="single" w:sz="8" w:color="B2B2B2"/>
              <w:right w:val="single" w:sz="8" w:color="B2B2B2"/>
            </w:tcBorders>
          </w:tcPr>
          <w:p>
            <w:pPr>
              <w:jc w:val="center"/>
              <w:ind w:left="211"/>
              <w:spacing w:after="0"/>
              <w:rPr>
                <w:sz w:val="20"/>
                <w:szCs w:val="20"/>
                <w:color w:val="auto"/>
              </w:rPr>
            </w:pPr>
            <w:r>
              <w:rPr>
                <w:rFonts w:ascii="Arial" w:cs="Arial" w:eastAsia="Arial" w:hAnsi="Arial"/>
                <w:sz w:val="14"/>
                <w:szCs w:val="14"/>
                <w:color w:val="auto"/>
              </w:rPr>
              <w:t>2,922</w:t>
            </w:r>
          </w:p>
        </w:tc>
        <w:tc>
          <w:tcPr>
            <w:tcW w:w="900" w:type="dxa"/>
            <w:vAlign w:val="bottom"/>
            <w:tcBorders>
              <w:bottom w:val="single" w:sz="8" w:color="B2B2B2"/>
              <w:right w:val="single" w:sz="8" w:color="B2B2B2"/>
            </w:tcBorders>
          </w:tcPr>
          <w:p>
            <w:pPr>
              <w:spacing w:after="0"/>
              <w:rPr>
                <w:sz w:val="21"/>
                <w:szCs w:val="21"/>
                <w:color w:val="auto"/>
              </w:rPr>
            </w:pPr>
          </w:p>
        </w:tc>
        <w:tc>
          <w:tcPr>
            <w:tcW w:w="1220" w:type="dxa"/>
            <w:vAlign w:val="bottom"/>
            <w:tcBorders>
              <w:bottom w:val="single" w:sz="8" w:color="B2B2B2"/>
              <w:right w:val="single" w:sz="8" w:color="B2B2B2"/>
            </w:tcBorders>
          </w:tcPr>
          <w:p>
            <w:pPr>
              <w:spacing w:after="0"/>
              <w:rPr>
                <w:sz w:val="21"/>
                <w:szCs w:val="21"/>
                <w:color w:val="auto"/>
              </w:rPr>
            </w:pP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711,010</w:t>
            </w:r>
          </w:p>
        </w:tc>
      </w:tr>
      <w:tr>
        <w:trPr>
          <w:trHeight w:val="226"/>
        </w:trPr>
        <w:tc>
          <w:tcPr>
            <w:tcW w:w="1920" w:type="dxa"/>
            <w:vAlign w:val="bottom"/>
            <w:tcBorders>
              <w:right w:val="single" w:sz="8" w:color="B2B2B2"/>
            </w:tcBorders>
          </w:tcPr>
          <w:p>
            <w:pPr>
              <w:spacing w:after="0"/>
              <w:rPr>
                <w:sz w:val="19"/>
                <w:szCs w:val="19"/>
                <w:color w:val="auto"/>
              </w:rPr>
            </w:pPr>
          </w:p>
        </w:tc>
        <w:tc>
          <w:tcPr>
            <w:tcW w:w="88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6/3/2025</w:t>
            </w:r>
          </w:p>
        </w:tc>
        <w:tc>
          <w:tcPr>
            <w:tcW w:w="86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5/7/2025</w:t>
            </w:r>
          </w:p>
        </w:tc>
        <w:tc>
          <w:tcPr>
            <w:tcW w:w="860" w:type="dxa"/>
            <w:vAlign w:val="bottom"/>
            <w:tcBorders>
              <w:bottom w:val="single" w:sz="8" w:color="B2B2B2"/>
            </w:tcBorders>
          </w:tcPr>
          <w:p>
            <w:pPr>
              <w:spacing w:after="0"/>
              <w:rPr>
                <w:sz w:val="19"/>
                <w:szCs w:val="19"/>
                <w:color w:val="auto"/>
              </w:rPr>
            </w:pPr>
          </w:p>
        </w:tc>
        <w:tc>
          <w:tcPr>
            <w:tcW w:w="120" w:type="dxa"/>
            <w:vAlign w:val="bottom"/>
            <w:tcBorders>
              <w:bottom w:val="single" w:sz="8" w:color="B2B2B2"/>
              <w:right w:val="single" w:sz="8" w:color="B2B2B2"/>
            </w:tcBorders>
          </w:tcPr>
          <w:p>
            <w:pPr>
              <w:spacing w:after="0"/>
              <w:rPr>
                <w:sz w:val="19"/>
                <w:szCs w:val="19"/>
                <w:color w:val="auto"/>
              </w:rPr>
            </w:pPr>
          </w:p>
        </w:tc>
        <w:tc>
          <w:tcPr>
            <w:tcW w:w="980" w:type="dxa"/>
            <w:vAlign w:val="bottom"/>
            <w:tcBorders>
              <w:bottom w:val="single" w:sz="8" w:color="B2B2B2"/>
              <w:right w:val="single" w:sz="8" w:color="B2B2B2"/>
            </w:tcBorders>
          </w:tcPr>
          <w:p>
            <w:pPr>
              <w:spacing w:after="0"/>
              <w:rPr>
                <w:sz w:val="19"/>
                <w:szCs w:val="19"/>
                <w:color w:val="auto"/>
              </w:rPr>
            </w:pPr>
          </w:p>
        </w:tc>
        <w:tc>
          <w:tcPr>
            <w:tcW w:w="120" w:type="dxa"/>
            <w:vAlign w:val="bottom"/>
            <w:tcBorders>
              <w:bottom w:val="single" w:sz="8" w:color="B2B2B2"/>
            </w:tcBorders>
          </w:tcPr>
          <w:p>
            <w:pPr>
              <w:spacing w:after="0"/>
              <w:rPr>
                <w:sz w:val="19"/>
                <w:szCs w:val="19"/>
                <w:color w:val="auto"/>
              </w:rPr>
            </w:pPr>
          </w:p>
        </w:tc>
        <w:tc>
          <w:tcPr>
            <w:tcW w:w="880" w:type="dxa"/>
            <w:vAlign w:val="bottom"/>
            <w:tcBorders>
              <w:bottom w:val="single" w:sz="8" w:color="B2B2B2"/>
              <w:right w:val="single" w:sz="8" w:color="B2B2B2"/>
            </w:tcBorders>
          </w:tcPr>
          <w:p>
            <w:pPr>
              <w:spacing w:after="0"/>
              <w:rPr>
                <w:sz w:val="19"/>
                <w:szCs w:val="19"/>
                <w:color w:val="auto"/>
              </w:rPr>
            </w:pPr>
          </w:p>
        </w:tc>
        <w:tc>
          <w:tcPr>
            <w:tcW w:w="960" w:type="dxa"/>
            <w:vAlign w:val="bottom"/>
            <w:tcBorders>
              <w:bottom w:val="single" w:sz="8" w:color="B2B2B2"/>
              <w:right w:val="single" w:sz="8" w:color="B2B2B2"/>
            </w:tcBorders>
          </w:tcPr>
          <w:p>
            <w:pPr>
              <w:spacing w:after="0"/>
              <w:rPr>
                <w:sz w:val="19"/>
                <w:szCs w:val="19"/>
                <w:color w:val="auto"/>
              </w:rPr>
            </w:pPr>
          </w:p>
        </w:tc>
        <w:tc>
          <w:tcPr>
            <w:tcW w:w="900" w:type="dxa"/>
            <w:vAlign w:val="bottom"/>
            <w:tcBorders>
              <w:bottom w:val="single" w:sz="8" w:color="B2B2B2"/>
              <w:right w:val="single" w:sz="8" w:color="B2B2B2"/>
            </w:tcBorders>
          </w:tcPr>
          <w:p>
            <w:pPr>
              <w:jc w:val="center"/>
              <w:ind w:left="211"/>
              <w:spacing w:after="0"/>
              <w:rPr>
                <w:sz w:val="20"/>
                <w:szCs w:val="20"/>
                <w:color w:val="auto"/>
              </w:rPr>
            </w:pPr>
            <w:r>
              <w:rPr>
                <w:rFonts w:ascii="Arial" w:cs="Arial" w:eastAsia="Arial" w:hAnsi="Arial"/>
                <w:sz w:val="14"/>
                <w:szCs w:val="14"/>
                <w:color w:val="auto"/>
                <w:w w:val="97"/>
              </w:rPr>
              <w:t>10,392</w:t>
            </w:r>
          </w:p>
        </w:tc>
        <w:tc>
          <w:tcPr>
            <w:tcW w:w="1220" w:type="dxa"/>
            <w:vAlign w:val="bottom"/>
            <w:tcBorders>
              <w:bottom w:val="single" w:sz="8" w:color="B2B2B2"/>
              <w:right w:val="single" w:sz="8" w:color="B2B2B2"/>
            </w:tcBorders>
          </w:tcPr>
          <w:p>
            <w:pPr>
              <w:ind w:left="480"/>
              <w:spacing w:after="0"/>
              <w:rPr>
                <w:sz w:val="20"/>
                <w:szCs w:val="20"/>
                <w:color w:val="auto"/>
              </w:rPr>
            </w:pPr>
            <w:r>
              <w:rPr>
                <w:rFonts w:ascii="Arial" w:cs="Arial" w:eastAsia="Arial" w:hAnsi="Arial"/>
                <w:sz w:val="14"/>
                <w:szCs w:val="14"/>
                <w:color w:val="auto"/>
              </w:rPr>
              <w:t>267.66</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711,242</w:t>
            </w:r>
          </w:p>
        </w:tc>
      </w:tr>
      <w:tr>
        <w:trPr>
          <w:trHeight w:val="217"/>
        </w:trPr>
        <w:tc>
          <w:tcPr>
            <w:tcW w:w="1920" w:type="dxa"/>
            <w:vAlign w:val="bottom"/>
            <w:tcBorders>
              <w:right w:val="single" w:sz="8" w:color="B2B2B2"/>
            </w:tcBorders>
          </w:tcPr>
          <w:p>
            <w:pPr>
              <w:spacing w:after="0"/>
              <w:rPr>
                <w:sz w:val="18"/>
                <w:szCs w:val="18"/>
                <w:color w:val="auto"/>
              </w:rPr>
            </w:pPr>
          </w:p>
        </w:tc>
        <w:tc>
          <w:tcPr>
            <w:tcW w:w="880" w:type="dxa"/>
            <w:vAlign w:val="bottom"/>
            <w:tcBorders>
              <w:right w:val="single" w:sz="8" w:color="B2B2B2"/>
            </w:tcBorders>
          </w:tcPr>
          <w:p>
            <w:pPr>
              <w:spacing w:after="0"/>
              <w:rPr>
                <w:sz w:val="18"/>
                <w:szCs w:val="18"/>
                <w:color w:val="auto"/>
              </w:rPr>
            </w:pPr>
          </w:p>
        </w:tc>
        <w:tc>
          <w:tcPr>
            <w:tcW w:w="860" w:type="dxa"/>
            <w:vAlign w:val="bottom"/>
            <w:tcBorders>
              <w:right w:val="single" w:sz="8" w:color="B2B2B2"/>
            </w:tcBorders>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4"/>
                <w:szCs w:val="14"/>
                <w:color w:val="auto"/>
              </w:rPr>
              <w:t>0</w:t>
            </w:r>
          </w:p>
        </w:tc>
        <w:tc>
          <w:tcPr>
            <w:tcW w:w="120" w:type="dxa"/>
            <w:vAlign w:val="bottom"/>
            <w:tcBorders>
              <w:right w:val="single" w:sz="8" w:color="B2B2B2"/>
            </w:tcBorders>
          </w:tcPr>
          <w:p>
            <w:pPr>
              <w:spacing w:after="0"/>
              <w:rPr>
                <w:sz w:val="18"/>
                <w:szCs w:val="18"/>
                <w:color w:val="auto"/>
              </w:rPr>
            </w:pPr>
          </w:p>
        </w:tc>
        <w:tc>
          <w:tcPr>
            <w:tcW w:w="980" w:type="dxa"/>
            <w:vAlign w:val="bottom"/>
            <w:tcBorders>
              <w:right w:val="single" w:sz="8" w:color="B2B2B2"/>
            </w:tcBorders>
          </w:tcPr>
          <w:p>
            <w:pPr>
              <w:jc w:val="right"/>
              <w:ind w:right="112"/>
              <w:spacing w:after="0"/>
              <w:rPr>
                <w:sz w:val="20"/>
                <w:szCs w:val="20"/>
                <w:color w:val="auto"/>
              </w:rPr>
            </w:pPr>
            <w:r>
              <w:rPr>
                <w:rFonts w:ascii="Arial" w:cs="Arial" w:eastAsia="Arial" w:hAnsi="Arial"/>
                <w:sz w:val="14"/>
                <w:szCs w:val="14"/>
                <w:color w:val="auto"/>
              </w:rPr>
              <w:t>378,525</w:t>
            </w:r>
          </w:p>
        </w:tc>
        <w:tc>
          <w:tcPr>
            <w:tcW w:w="120" w:type="dxa"/>
            <w:vAlign w:val="bottom"/>
          </w:tcPr>
          <w:p>
            <w:pPr>
              <w:spacing w:after="0"/>
              <w:rPr>
                <w:sz w:val="18"/>
                <w:szCs w:val="18"/>
                <w:color w:val="auto"/>
              </w:rPr>
            </w:pPr>
          </w:p>
        </w:tc>
        <w:tc>
          <w:tcPr>
            <w:tcW w:w="880" w:type="dxa"/>
            <w:vAlign w:val="bottom"/>
            <w:tcBorders>
              <w:right w:val="single" w:sz="8" w:color="B2B2B2"/>
            </w:tcBorders>
          </w:tcPr>
          <w:p>
            <w:pPr>
              <w:jc w:val="right"/>
              <w:ind w:right="111"/>
              <w:spacing w:after="0"/>
              <w:rPr>
                <w:sz w:val="20"/>
                <w:szCs w:val="20"/>
                <w:color w:val="auto"/>
              </w:rPr>
            </w:pPr>
            <w:r>
              <w:rPr>
                <w:rFonts w:ascii="Arial" w:cs="Arial" w:eastAsia="Arial" w:hAnsi="Arial"/>
                <w:sz w:val="14"/>
                <w:szCs w:val="14"/>
                <w:color w:val="auto"/>
              </w:rPr>
              <w:t>757,050</w:t>
            </w:r>
          </w:p>
        </w:tc>
        <w:tc>
          <w:tcPr>
            <w:tcW w:w="960" w:type="dxa"/>
            <w:vAlign w:val="bottom"/>
            <w:tcBorders>
              <w:right w:val="single" w:sz="8" w:color="B2B2B2"/>
            </w:tcBorders>
          </w:tcPr>
          <w:p>
            <w:pPr>
              <w:spacing w:after="0"/>
              <w:rPr>
                <w:sz w:val="18"/>
                <w:szCs w:val="18"/>
                <w:color w:val="auto"/>
              </w:rPr>
            </w:pPr>
          </w:p>
        </w:tc>
        <w:tc>
          <w:tcPr>
            <w:tcW w:w="900" w:type="dxa"/>
            <w:vAlign w:val="bottom"/>
            <w:tcBorders>
              <w:right w:val="single" w:sz="8" w:color="B2B2B2"/>
            </w:tcBorders>
          </w:tcPr>
          <w:p>
            <w:pPr>
              <w:spacing w:after="0"/>
              <w:rPr>
                <w:sz w:val="18"/>
                <w:szCs w:val="18"/>
                <w:color w:val="auto"/>
              </w:rPr>
            </w:pPr>
          </w:p>
        </w:tc>
        <w:tc>
          <w:tcPr>
            <w:tcW w:w="1220" w:type="dxa"/>
            <w:vAlign w:val="bottom"/>
            <w:tcBorders>
              <w:right w:val="single" w:sz="8" w:color="B2B2B2"/>
            </w:tcBorders>
          </w:tcPr>
          <w:p>
            <w:pPr>
              <w:spacing w:after="0"/>
              <w:rPr>
                <w:sz w:val="18"/>
                <w:szCs w:val="18"/>
                <w:color w:val="auto"/>
              </w:rPr>
            </w:pPr>
          </w:p>
        </w:tc>
        <w:tc>
          <w:tcPr>
            <w:tcW w:w="860" w:type="dxa"/>
            <w:vAlign w:val="bottom"/>
          </w:tcPr>
          <w:p>
            <w:pPr>
              <w:spacing w:after="0"/>
              <w:rPr>
                <w:sz w:val="18"/>
                <w:szCs w:val="18"/>
                <w:color w:val="auto"/>
              </w:rPr>
            </w:pPr>
          </w:p>
        </w:tc>
      </w:tr>
      <w:tr>
        <w:trPr>
          <w:trHeight w:val="233"/>
        </w:trPr>
        <w:tc>
          <w:tcPr>
            <w:tcW w:w="1920" w:type="dxa"/>
            <w:vAlign w:val="bottom"/>
            <w:tcBorders>
              <w:right w:val="single" w:sz="8" w:color="E2EEFA"/>
            </w:tcBorders>
            <w:shd w:val="clear" w:color="auto" w:fill="E2EEFA"/>
          </w:tcPr>
          <w:p>
            <w:pPr>
              <w:spacing w:after="0"/>
              <w:rPr>
                <w:sz w:val="20"/>
                <w:szCs w:val="20"/>
                <w:color w:val="auto"/>
              </w:rPr>
            </w:pPr>
            <w:r>
              <w:rPr>
                <w:rFonts w:ascii="Arial" w:cs="Arial" w:eastAsia="Arial" w:hAnsi="Arial"/>
                <w:sz w:val="14"/>
                <w:szCs w:val="14"/>
                <w:color w:val="auto"/>
              </w:rPr>
              <w:t>  Mary Clare Fraser</w:t>
            </w:r>
          </w:p>
        </w:tc>
        <w:tc>
          <w:tcPr>
            <w:tcW w:w="880" w:type="dxa"/>
            <w:vAlign w:val="bottom"/>
            <w:tcBorders>
              <w:right w:val="single" w:sz="8" w:color="E2EEFA"/>
            </w:tcBorders>
            <w:shd w:val="clear" w:color="auto" w:fill="E2EEFA"/>
          </w:tcPr>
          <w:p>
            <w:pPr>
              <w:spacing w:after="0"/>
              <w:rPr>
                <w:sz w:val="20"/>
                <w:szCs w:val="20"/>
                <w:color w:val="auto"/>
              </w:rPr>
            </w:pPr>
          </w:p>
        </w:tc>
        <w:tc>
          <w:tcPr>
            <w:tcW w:w="860" w:type="dxa"/>
            <w:vAlign w:val="bottom"/>
            <w:tcBorders>
              <w:right w:val="single" w:sz="8" w:color="E2EEFA"/>
            </w:tcBorders>
            <w:shd w:val="clear" w:color="auto" w:fill="E2EEFA"/>
          </w:tcPr>
          <w:p>
            <w:pPr>
              <w:spacing w:after="0"/>
              <w:rPr>
                <w:sz w:val="20"/>
                <w:szCs w:val="20"/>
                <w:color w:val="auto"/>
              </w:rPr>
            </w:pPr>
          </w:p>
        </w:tc>
        <w:tc>
          <w:tcPr>
            <w:tcW w:w="860" w:type="dxa"/>
            <w:vAlign w:val="bottom"/>
            <w:shd w:val="clear" w:color="auto" w:fill="E2EEFA"/>
          </w:tcPr>
          <w:p>
            <w:pPr>
              <w:spacing w:after="0"/>
              <w:rPr>
                <w:sz w:val="20"/>
                <w:szCs w:val="20"/>
                <w:color w:val="auto"/>
              </w:rPr>
            </w:pPr>
          </w:p>
        </w:tc>
        <w:tc>
          <w:tcPr>
            <w:tcW w:w="120" w:type="dxa"/>
            <w:vAlign w:val="bottom"/>
            <w:tcBorders>
              <w:right w:val="single" w:sz="8" w:color="E2EEFA"/>
            </w:tcBorders>
            <w:shd w:val="clear" w:color="auto" w:fill="E2EEFA"/>
          </w:tcPr>
          <w:p>
            <w:pPr>
              <w:spacing w:after="0"/>
              <w:rPr>
                <w:sz w:val="20"/>
                <w:szCs w:val="20"/>
                <w:color w:val="auto"/>
              </w:rPr>
            </w:pPr>
          </w:p>
        </w:tc>
        <w:tc>
          <w:tcPr>
            <w:tcW w:w="980" w:type="dxa"/>
            <w:vAlign w:val="bottom"/>
            <w:tcBorders>
              <w:right w:val="single" w:sz="8" w:color="E2EEFA"/>
            </w:tcBorders>
            <w:shd w:val="clear" w:color="auto" w:fill="E2EEFA"/>
          </w:tcPr>
          <w:p>
            <w:pPr>
              <w:spacing w:after="0"/>
              <w:rPr>
                <w:sz w:val="20"/>
                <w:szCs w:val="20"/>
                <w:color w:val="auto"/>
              </w:rPr>
            </w:pPr>
          </w:p>
        </w:tc>
        <w:tc>
          <w:tcPr>
            <w:tcW w:w="120" w:type="dxa"/>
            <w:vAlign w:val="bottom"/>
            <w:shd w:val="clear" w:color="auto" w:fill="E2EEFA"/>
          </w:tcPr>
          <w:p>
            <w:pPr>
              <w:spacing w:after="0"/>
              <w:rPr>
                <w:sz w:val="20"/>
                <w:szCs w:val="20"/>
                <w:color w:val="auto"/>
              </w:rPr>
            </w:pPr>
          </w:p>
        </w:tc>
        <w:tc>
          <w:tcPr>
            <w:tcW w:w="880" w:type="dxa"/>
            <w:vAlign w:val="bottom"/>
            <w:tcBorders>
              <w:right w:val="single" w:sz="8" w:color="E2EEFA"/>
            </w:tcBorders>
            <w:shd w:val="clear" w:color="auto" w:fill="E2EEFA"/>
          </w:tcPr>
          <w:p>
            <w:pPr>
              <w:spacing w:after="0"/>
              <w:rPr>
                <w:sz w:val="20"/>
                <w:szCs w:val="20"/>
                <w:color w:val="auto"/>
              </w:rPr>
            </w:pPr>
          </w:p>
        </w:tc>
        <w:tc>
          <w:tcPr>
            <w:tcW w:w="960" w:type="dxa"/>
            <w:vAlign w:val="bottom"/>
            <w:tcBorders>
              <w:right w:val="single" w:sz="8" w:color="E2EEFA"/>
            </w:tcBorders>
            <w:shd w:val="clear" w:color="auto" w:fill="E2EEFA"/>
          </w:tcPr>
          <w:p>
            <w:pPr>
              <w:spacing w:after="0"/>
              <w:rPr>
                <w:sz w:val="20"/>
                <w:szCs w:val="20"/>
                <w:color w:val="auto"/>
              </w:rPr>
            </w:pPr>
          </w:p>
        </w:tc>
        <w:tc>
          <w:tcPr>
            <w:tcW w:w="900" w:type="dxa"/>
            <w:vAlign w:val="bottom"/>
            <w:tcBorders>
              <w:right w:val="single" w:sz="8" w:color="E2EEFA"/>
            </w:tcBorders>
            <w:shd w:val="clear" w:color="auto" w:fill="E2EEFA"/>
          </w:tcPr>
          <w:p>
            <w:pPr>
              <w:spacing w:after="0"/>
              <w:rPr>
                <w:sz w:val="20"/>
                <w:szCs w:val="20"/>
                <w:color w:val="auto"/>
              </w:rPr>
            </w:pPr>
          </w:p>
        </w:tc>
        <w:tc>
          <w:tcPr>
            <w:tcW w:w="1220" w:type="dxa"/>
            <w:vAlign w:val="bottom"/>
            <w:tcBorders>
              <w:right w:val="single" w:sz="8" w:color="E2EEFA"/>
            </w:tcBorders>
            <w:shd w:val="clear" w:color="auto" w:fill="E2EEFA"/>
          </w:tcPr>
          <w:p>
            <w:pPr>
              <w:spacing w:after="0"/>
              <w:rPr>
                <w:sz w:val="20"/>
                <w:szCs w:val="20"/>
                <w:color w:val="auto"/>
              </w:rPr>
            </w:pPr>
          </w:p>
        </w:tc>
        <w:tc>
          <w:tcPr>
            <w:tcW w:w="860" w:type="dxa"/>
            <w:vAlign w:val="bottom"/>
            <w:shd w:val="clear" w:color="auto" w:fill="E2EEFA"/>
          </w:tcPr>
          <w:p>
            <w:pPr>
              <w:spacing w:after="0"/>
              <w:rPr>
                <w:sz w:val="20"/>
                <w:szCs w:val="20"/>
                <w:color w:val="auto"/>
              </w:rPr>
            </w:pPr>
          </w:p>
        </w:tc>
      </w:tr>
      <w:tr>
        <w:trPr>
          <w:trHeight w:val="242"/>
        </w:trPr>
        <w:tc>
          <w:tcPr>
            <w:tcW w:w="1920" w:type="dxa"/>
            <w:vAlign w:val="bottom"/>
            <w:tcBorders>
              <w:right w:val="single" w:sz="8" w:color="B2B2B2"/>
            </w:tcBorders>
          </w:tcPr>
          <w:p>
            <w:pPr>
              <w:spacing w:after="0"/>
              <w:rPr>
                <w:sz w:val="21"/>
                <w:szCs w:val="21"/>
                <w:color w:val="auto"/>
              </w:rPr>
            </w:pPr>
          </w:p>
        </w:tc>
        <w:tc>
          <w:tcPr>
            <w:tcW w:w="88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6/3/2025</w:t>
            </w:r>
          </w:p>
        </w:tc>
        <w:tc>
          <w:tcPr>
            <w:tcW w:w="86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5/7/2025</w:t>
            </w:r>
          </w:p>
        </w:tc>
        <w:tc>
          <w:tcPr>
            <w:tcW w:w="860" w:type="dxa"/>
            <w:vAlign w:val="bottom"/>
            <w:tcBorders>
              <w:bottom w:val="single" w:sz="8" w:color="B2B2B2"/>
            </w:tcBorders>
          </w:tcPr>
          <w:p>
            <w:pPr>
              <w:spacing w:after="0"/>
              <w:rPr>
                <w:sz w:val="21"/>
                <w:szCs w:val="21"/>
                <w:color w:val="auto"/>
              </w:rPr>
            </w:pPr>
          </w:p>
        </w:tc>
        <w:tc>
          <w:tcPr>
            <w:tcW w:w="120" w:type="dxa"/>
            <w:vAlign w:val="bottom"/>
            <w:tcBorders>
              <w:bottom w:val="single" w:sz="8" w:color="B2B2B2"/>
              <w:right w:val="single" w:sz="8" w:color="B2B2B2"/>
            </w:tcBorders>
          </w:tcPr>
          <w:p>
            <w:pPr>
              <w:spacing w:after="0"/>
              <w:rPr>
                <w:sz w:val="21"/>
                <w:szCs w:val="21"/>
                <w:color w:val="auto"/>
              </w:rPr>
            </w:pPr>
          </w:p>
        </w:tc>
        <w:tc>
          <w:tcPr>
            <w:tcW w:w="980" w:type="dxa"/>
            <w:vAlign w:val="bottom"/>
            <w:tcBorders>
              <w:bottom w:val="single" w:sz="8" w:color="B2B2B2"/>
              <w:right w:val="single" w:sz="8" w:color="B2B2B2"/>
            </w:tcBorders>
          </w:tcPr>
          <w:p>
            <w:pPr>
              <w:spacing w:after="0"/>
              <w:rPr>
                <w:sz w:val="21"/>
                <w:szCs w:val="21"/>
                <w:color w:val="auto"/>
              </w:rPr>
            </w:pPr>
          </w:p>
        </w:tc>
        <w:tc>
          <w:tcPr>
            <w:tcW w:w="120" w:type="dxa"/>
            <w:vAlign w:val="bottom"/>
            <w:tcBorders>
              <w:bottom w:val="single" w:sz="8" w:color="B2B2B2"/>
            </w:tcBorders>
          </w:tcPr>
          <w:p>
            <w:pPr>
              <w:spacing w:after="0"/>
              <w:rPr>
                <w:sz w:val="21"/>
                <w:szCs w:val="21"/>
                <w:color w:val="auto"/>
              </w:rPr>
            </w:pPr>
          </w:p>
        </w:tc>
        <w:tc>
          <w:tcPr>
            <w:tcW w:w="880" w:type="dxa"/>
            <w:vAlign w:val="bottom"/>
            <w:tcBorders>
              <w:bottom w:val="single" w:sz="8" w:color="B2B2B2"/>
              <w:right w:val="single" w:sz="8" w:color="B2B2B2"/>
            </w:tcBorders>
          </w:tcPr>
          <w:p>
            <w:pPr>
              <w:spacing w:after="0"/>
              <w:rPr>
                <w:sz w:val="21"/>
                <w:szCs w:val="21"/>
                <w:color w:val="auto"/>
              </w:rPr>
            </w:pPr>
          </w:p>
        </w:tc>
        <w:tc>
          <w:tcPr>
            <w:tcW w:w="960" w:type="dxa"/>
            <w:vAlign w:val="bottom"/>
            <w:tcBorders>
              <w:bottom w:val="single" w:sz="8" w:color="B2B2B2"/>
              <w:right w:val="single" w:sz="8" w:color="B2B2B2"/>
            </w:tcBorders>
          </w:tcPr>
          <w:p>
            <w:pPr>
              <w:jc w:val="center"/>
              <w:ind w:left="211"/>
              <w:spacing w:after="0"/>
              <w:rPr>
                <w:sz w:val="20"/>
                <w:szCs w:val="20"/>
                <w:color w:val="auto"/>
              </w:rPr>
            </w:pPr>
            <w:r>
              <w:rPr>
                <w:rFonts w:ascii="Arial" w:cs="Arial" w:eastAsia="Arial" w:hAnsi="Arial"/>
                <w:sz w:val="14"/>
                <w:szCs w:val="14"/>
                <w:color w:val="auto"/>
              </w:rPr>
              <w:t>2,505</w:t>
            </w:r>
          </w:p>
        </w:tc>
        <w:tc>
          <w:tcPr>
            <w:tcW w:w="900" w:type="dxa"/>
            <w:vAlign w:val="bottom"/>
            <w:tcBorders>
              <w:bottom w:val="single" w:sz="8" w:color="B2B2B2"/>
              <w:right w:val="single" w:sz="8" w:color="B2B2B2"/>
            </w:tcBorders>
          </w:tcPr>
          <w:p>
            <w:pPr>
              <w:spacing w:after="0"/>
              <w:rPr>
                <w:sz w:val="21"/>
                <w:szCs w:val="21"/>
                <w:color w:val="auto"/>
              </w:rPr>
            </w:pPr>
          </w:p>
        </w:tc>
        <w:tc>
          <w:tcPr>
            <w:tcW w:w="1220" w:type="dxa"/>
            <w:vAlign w:val="bottom"/>
            <w:tcBorders>
              <w:bottom w:val="single" w:sz="8" w:color="B2B2B2"/>
              <w:right w:val="single" w:sz="8" w:color="B2B2B2"/>
            </w:tcBorders>
          </w:tcPr>
          <w:p>
            <w:pPr>
              <w:spacing w:after="0"/>
              <w:rPr>
                <w:sz w:val="21"/>
                <w:szCs w:val="21"/>
                <w:color w:val="auto"/>
              </w:rPr>
            </w:pP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609,542</w:t>
            </w:r>
          </w:p>
        </w:tc>
      </w:tr>
      <w:tr>
        <w:trPr>
          <w:trHeight w:val="226"/>
        </w:trPr>
        <w:tc>
          <w:tcPr>
            <w:tcW w:w="1920" w:type="dxa"/>
            <w:vAlign w:val="bottom"/>
            <w:tcBorders>
              <w:right w:val="single" w:sz="8" w:color="B2B2B2"/>
            </w:tcBorders>
          </w:tcPr>
          <w:p>
            <w:pPr>
              <w:spacing w:after="0"/>
              <w:rPr>
                <w:sz w:val="19"/>
                <w:szCs w:val="19"/>
                <w:color w:val="auto"/>
              </w:rPr>
            </w:pPr>
          </w:p>
        </w:tc>
        <w:tc>
          <w:tcPr>
            <w:tcW w:w="88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6/3/2025</w:t>
            </w:r>
          </w:p>
        </w:tc>
        <w:tc>
          <w:tcPr>
            <w:tcW w:w="860" w:type="dxa"/>
            <w:vAlign w:val="bottom"/>
            <w:tcBorders>
              <w:bottom w:val="single" w:sz="8" w:color="B2B2B2"/>
              <w:right w:val="single" w:sz="8" w:color="B2B2B2"/>
            </w:tcBorders>
          </w:tcPr>
          <w:p>
            <w:pPr>
              <w:jc w:val="right"/>
              <w:spacing w:after="0"/>
              <w:rPr>
                <w:sz w:val="20"/>
                <w:szCs w:val="20"/>
                <w:color w:val="auto"/>
              </w:rPr>
            </w:pPr>
            <w:r>
              <w:rPr>
                <w:rFonts w:ascii="Arial" w:cs="Arial" w:eastAsia="Arial" w:hAnsi="Arial"/>
                <w:sz w:val="14"/>
                <w:szCs w:val="14"/>
                <w:color w:val="auto"/>
              </w:rPr>
              <w:t>5/7/2025</w:t>
            </w:r>
          </w:p>
        </w:tc>
        <w:tc>
          <w:tcPr>
            <w:tcW w:w="860" w:type="dxa"/>
            <w:vAlign w:val="bottom"/>
            <w:tcBorders>
              <w:bottom w:val="single" w:sz="8" w:color="B2B2B2"/>
            </w:tcBorders>
          </w:tcPr>
          <w:p>
            <w:pPr>
              <w:spacing w:after="0"/>
              <w:rPr>
                <w:sz w:val="19"/>
                <w:szCs w:val="19"/>
                <w:color w:val="auto"/>
              </w:rPr>
            </w:pPr>
          </w:p>
        </w:tc>
        <w:tc>
          <w:tcPr>
            <w:tcW w:w="120" w:type="dxa"/>
            <w:vAlign w:val="bottom"/>
            <w:tcBorders>
              <w:bottom w:val="single" w:sz="8" w:color="B2B2B2"/>
              <w:right w:val="single" w:sz="8" w:color="B2B2B2"/>
            </w:tcBorders>
          </w:tcPr>
          <w:p>
            <w:pPr>
              <w:spacing w:after="0"/>
              <w:rPr>
                <w:sz w:val="19"/>
                <w:szCs w:val="19"/>
                <w:color w:val="auto"/>
              </w:rPr>
            </w:pPr>
          </w:p>
        </w:tc>
        <w:tc>
          <w:tcPr>
            <w:tcW w:w="980" w:type="dxa"/>
            <w:vAlign w:val="bottom"/>
            <w:tcBorders>
              <w:bottom w:val="single" w:sz="8" w:color="B2B2B2"/>
              <w:right w:val="single" w:sz="8" w:color="B2B2B2"/>
            </w:tcBorders>
          </w:tcPr>
          <w:p>
            <w:pPr>
              <w:spacing w:after="0"/>
              <w:rPr>
                <w:sz w:val="19"/>
                <w:szCs w:val="19"/>
                <w:color w:val="auto"/>
              </w:rPr>
            </w:pPr>
          </w:p>
        </w:tc>
        <w:tc>
          <w:tcPr>
            <w:tcW w:w="120" w:type="dxa"/>
            <w:vAlign w:val="bottom"/>
            <w:tcBorders>
              <w:bottom w:val="single" w:sz="8" w:color="B2B2B2"/>
            </w:tcBorders>
          </w:tcPr>
          <w:p>
            <w:pPr>
              <w:spacing w:after="0"/>
              <w:rPr>
                <w:sz w:val="19"/>
                <w:szCs w:val="19"/>
                <w:color w:val="auto"/>
              </w:rPr>
            </w:pPr>
          </w:p>
        </w:tc>
        <w:tc>
          <w:tcPr>
            <w:tcW w:w="880" w:type="dxa"/>
            <w:vAlign w:val="bottom"/>
            <w:tcBorders>
              <w:bottom w:val="single" w:sz="8" w:color="B2B2B2"/>
              <w:right w:val="single" w:sz="8" w:color="B2B2B2"/>
            </w:tcBorders>
          </w:tcPr>
          <w:p>
            <w:pPr>
              <w:spacing w:after="0"/>
              <w:rPr>
                <w:sz w:val="19"/>
                <w:szCs w:val="19"/>
                <w:color w:val="auto"/>
              </w:rPr>
            </w:pPr>
          </w:p>
        </w:tc>
        <w:tc>
          <w:tcPr>
            <w:tcW w:w="960" w:type="dxa"/>
            <w:vAlign w:val="bottom"/>
            <w:tcBorders>
              <w:bottom w:val="single" w:sz="8" w:color="B2B2B2"/>
              <w:right w:val="single" w:sz="8" w:color="B2B2B2"/>
            </w:tcBorders>
          </w:tcPr>
          <w:p>
            <w:pPr>
              <w:spacing w:after="0"/>
              <w:rPr>
                <w:sz w:val="19"/>
                <w:szCs w:val="19"/>
                <w:color w:val="auto"/>
              </w:rPr>
            </w:pPr>
          </w:p>
        </w:tc>
        <w:tc>
          <w:tcPr>
            <w:tcW w:w="900" w:type="dxa"/>
            <w:vAlign w:val="bottom"/>
            <w:tcBorders>
              <w:bottom w:val="single" w:sz="8" w:color="B2B2B2"/>
              <w:right w:val="single" w:sz="8" w:color="B2B2B2"/>
            </w:tcBorders>
          </w:tcPr>
          <w:p>
            <w:pPr>
              <w:jc w:val="center"/>
              <w:ind w:left="231"/>
              <w:spacing w:after="0"/>
              <w:rPr>
                <w:sz w:val="20"/>
                <w:szCs w:val="20"/>
                <w:color w:val="auto"/>
              </w:rPr>
            </w:pPr>
            <w:r>
              <w:rPr>
                <w:rFonts w:ascii="Arial" w:cs="Arial" w:eastAsia="Arial" w:hAnsi="Arial"/>
                <w:sz w:val="14"/>
                <w:szCs w:val="14"/>
                <w:color w:val="auto"/>
              </w:rPr>
              <w:t>8,904</w:t>
            </w:r>
          </w:p>
        </w:tc>
        <w:tc>
          <w:tcPr>
            <w:tcW w:w="1220" w:type="dxa"/>
            <w:vAlign w:val="bottom"/>
            <w:tcBorders>
              <w:bottom w:val="single" w:sz="8" w:color="B2B2B2"/>
              <w:right w:val="single" w:sz="8" w:color="B2B2B2"/>
            </w:tcBorders>
          </w:tcPr>
          <w:p>
            <w:pPr>
              <w:ind w:left="480"/>
              <w:spacing w:after="0"/>
              <w:rPr>
                <w:sz w:val="20"/>
                <w:szCs w:val="20"/>
                <w:color w:val="auto"/>
              </w:rPr>
            </w:pPr>
            <w:r>
              <w:rPr>
                <w:rFonts w:ascii="Arial" w:cs="Arial" w:eastAsia="Arial" w:hAnsi="Arial"/>
                <w:sz w:val="14"/>
                <w:szCs w:val="14"/>
                <w:color w:val="auto"/>
              </w:rPr>
              <w:t>267.66</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609,401</w:t>
            </w:r>
          </w:p>
        </w:tc>
      </w:tr>
      <w:tr>
        <w:trPr>
          <w:trHeight w:val="226"/>
        </w:trPr>
        <w:tc>
          <w:tcPr>
            <w:tcW w:w="1920" w:type="dxa"/>
            <w:vAlign w:val="bottom"/>
            <w:tcBorders>
              <w:bottom w:val="single" w:sz="8" w:color="3E8EDE"/>
              <w:right w:val="single" w:sz="8" w:color="B2B2B2"/>
            </w:tcBorders>
          </w:tcPr>
          <w:p>
            <w:pPr>
              <w:spacing w:after="0"/>
              <w:rPr>
                <w:sz w:val="19"/>
                <w:szCs w:val="19"/>
                <w:color w:val="auto"/>
              </w:rPr>
            </w:pPr>
          </w:p>
        </w:tc>
        <w:tc>
          <w:tcPr>
            <w:tcW w:w="880" w:type="dxa"/>
            <w:vAlign w:val="bottom"/>
            <w:tcBorders>
              <w:bottom w:val="single" w:sz="8" w:color="3E8EDE"/>
              <w:right w:val="single" w:sz="8" w:color="B2B2B2"/>
            </w:tcBorders>
          </w:tcPr>
          <w:p>
            <w:pPr>
              <w:spacing w:after="0"/>
              <w:rPr>
                <w:sz w:val="19"/>
                <w:szCs w:val="19"/>
                <w:color w:val="auto"/>
              </w:rPr>
            </w:pPr>
          </w:p>
        </w:tc>
        <w:tc>
          <w:tcPr>
            <w:tcW w:w="860" w:type="dxa"/>
            <w:vAlign w:val="bottom"/>
            <w:tcBorders>
              <w:bottom w:val="single" w:sz="8" w:color="3E8EDE"/>
              <w:right w:val="single" w:sz="8" w:color="B2B2B2"/>
            </w:tcBorders>
          </w:tcPr>
          <w:p>
            <w:pPr>
              <w:spacing w:after="0"/>
              <w:rPr>
                <w:sz w:val="19"/>
                <w:szCs w:val="19"/>
                <w:color w:val="auto"/>
              </w:rPr>
            </w:pPr>
          </w:p>
        </w:tc>
        <w:tc>
          <w:tcPr>
            <w:tcW w:w="860" w:type="dxa"/>
            <w:vAlign w:val="bottom"/>
            <w:tcBorders>
              <w:bottom w:val="single" w:sz="8" w:color="3E8EDE"/>
            </w:tcBorders>
          </w:tcPr>
          <w:p>
            <w:pPr>
              <w:jc w:val="right"/>
              <w:ind w:right="211"/>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3E8EDE"/>
              <w:right w:val="single" w:sz="8" w:color="B2B2B2"/>
            </w:tcBorders>
          </w:tcPr>
          <w:p>
            <w:pPr>
              <w:spacing w:after="0"/>
              <w:rPr>
                <w:sz w:val="19"/>
                <w:szCs w:val="19"/>
                <w:color w:val="auto"/>
              </w:rPr>
            </w:pPr>
          </w:p>
        </w:tc>
        <w:tc>
          <w:tcPr>
            <w:tcW w:w="980" w:type="dxa"/>
            <w:vAlign w:val="bottom"/>
            <w:tcBorders>
              <w:bottom w:val="single" w:sz="8" w:color="3E8EDE"/>
              <w:right w:val="single" w:sz="8" w:color="B2B2B2"/>
            </w:tcBorders>
          </w:tcPr>
          <w:p>
            <w:pPr>
              <w:jc w:val="right"/>
              <w:ind w:right="112"/>
              <w:spacing w:after="0"/>
              <w:rPr>
                <w:sz w:val="20"/>
                <w:szCs w:val="20"/>
                <w:color w:val="auto"/>
              </w:rPr>
            </w:pPr>
            <w:r>
              <w:rPr>
                <w:rFonts w:ascii="Arial" w:cs="Arial" w:eastAsia="Arial" w:hAnsi="Arial"/>
                <w:sz w:val="14"/>
                <w:szCs w:val="14"/>
                <w:color w:val="auto"/>
              </w:rPr>
              <w:t>302,080</w:t>
            </w:r>
          </w:p>
        </w:tc>
        <w:tc>
          <w:tcPr>
            <w:tcW w:w="120" w:type="dxa"/>
            <w:vAlign w:val="bottom"/>
            <w:tcBorders>
              <w:bottom w:val="single" w:sz="8" w:color="3E8EDE"/>
            </w:tcBorders>
          </w:tcPr>
          <w:p>
            <w:pPr>
              <w:spacing w:after="0"/>
              <w:rPr>
                <w:sz w:val="19"/>
                <w:szCs w:val="19"/>
                <w:color w:val="auto"/>
              </w:rPr>
            </w:pPr>
          </w:p>
        </w:tc>
        <w:tc>
          <w:tcPr>
            <w:tcW w:w="880" w:type="dxa"/>
            <w:vAlign w:val="bottom"/>
            <w:tcBorders>
              <w:bottom w:val="single" w:sz="8" w:color="3E8EDE"/>
              <w:right w:val="single" w:sz="8" w:color="B2B2B2"/>
            </w:tcBorders>
          </w:tcPr>
          <w:p>
            <w:pPr>
              <w:jc w:val="right"/>
              <w:ind w:right="111"/>
              <w:spacing w:after="0"/>
              <w:rPr>
                <w:sz w:val="20"/>
                <w:szCs w:val="20"/>
                <w:color w:val="auto"/>
              </w:rPr>
            </w:pPr>
            <w:r>
              <w:rPr>
                <w:rFonts w:ascii="Arial" w:cs="Arial" w:eastAsia="Arial" w:hAnsi="Arial"/>
                <w:sz w:val="14"/>
                <w:szCs w:val="14"/>
                <w:color w:val="auto"/>
              </w:rPr>
              <w:t>604,159</w:t>
            </w:r>
          </w:p>
        </w:tc>
        <w:tc>
          <w:tcPr>
            <w:tcW w:w="960" w:type="dxa"/>
            <w:vAlign w:val="bottom"/>
            <w:tcBorders>
              <w:bottom w:val="single" w:sz="8" w:color="3E8EDE"/>
              <w:right w:val="single" w:sz="8" w:color="B2B2B2"/>
            </w:tcBorders>
          </w:tcPr>
          <w:p>
            <w:pPr>
              <w:spacing w:after="0"/>
              <w:rPr>
                <w:sz w:val="19"/>
                <w:szCs w:val="19"/>
                <w:color w:val="auto"/>
              </w:rPr>
            </w:pPr>
          </w:p>
        </w:tc>
        <w:tc>
          <w:tcPr>
            <w:tcW w:w="900" w:type="dxa"/>
            <w:vAlign w:val="bottom"/>
            <w:tcBorders>
              <w:bottom w:val="single" w:sz="8" w:color="3E8EDE"/>
              <w:right w:val="single" w:sz="8" w:color="B2B2B2"/>
            </w:tcBorders>
          </w:tcPr>
          <w:p>
            <w:pPr>
              <w:spacing w:after="0"/>
              <w:rPr>
                <w:sz w:val="19"/>
                <w:szCs w:val="19"/>
                <w:color w:val="auto"/>
              </w:rPr>
            </w:pPr>
          </w:p>
        </w:tc>
        <w:tc>
          <w:tcPr>
            <w:tcW w:w="1220" w:type="dxa"/>
            <w:vAlign w:val="bottom"/>
            <w:tcBorders>
              <w:bottom w:val="single" w:sz="8" w:color="3E8EDE"/>
              <w:right w:val="single" w:sz="8" w:color="B2B2B2"/>
            </w:tcBorders>
          </w:tcPr>
          <w:p>
            <w:pPr>
              <w:spacing w:after="0"/>
              <w:rPr>
                <w:sz w:val="19"/>
                <w:szCs w:val="19"/>
                <w:color w:val="auto"/>
              </w:rPr>
            </w:pPr>
          </w:p>
        </w:tc>
        <w:tc>
          <w:tcPr>
            <w:tcW w:w="860" w:type="dxa"/>
            <w:vAlign w:val="bottom"/>
            <w:tcBorders>
              <w:bottom w:val="single" w:sz="8" w:color="3E8EDE"/>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-4933315</wp:posOffset>
            </wp:positionV>
            <wp:extent cx="6710045" cy="9620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10045" cy="962025"/>
                    </a:xfrm>
                    <a:prstGeom prst="rect">
                      <a:avLst/>
                    </a:prstGeom>
                    <a:noFill/>
                  </pic:spPr>
                </pic:pic>
              </a:graphicData>
            </a:graphic>
          </wp:anchor>
        </w:drawing>
      </w:r>
    </w:p>
    <w:p>
      <w:pPr>
        <w:spacing w:after="0" w:line="206" w:lineRule="exact"/>
        <w:rPr>
          <w:sz w:val="20"/>
          <w:szCs w:val="20"/>
          <w:color w:val="auto"/>
        </w:rPr>
      </w:pPr>
    </w:p>
    <w:p>
      <w:pPr>
        <w:ind w:left="760" w:right="100" w:hanging="420"/>
        <w:spacing w:after="0" w:line="261" w:lineRule="auto"/>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Restricted stock and stock option grants made as part of the annual long-term equity grant. All restricted stock and stock option awards were granted under the 2006 Plan.</w:t>
      </w:r>
    </w:p>
    <w:p>
      <w:pPr>
        <w:spacing w:after="0" w:line="77" w:lineRule="exact"/>
        <w:rPr>
          <w:rFonts w:ascii="Arial" w:cs="Arial" w:eastAsia="Arial" w:hAnsi="Arial"/>
          <w:sz w:val="14"/>
          <w:szCs w:val="14"/>
          <w:color w:val="auto"/>
        </w:rPr>
      </w:pPr>
    </w:p>
    <w:p>
      <w:pPr>
        <w:ind w:left="760" w:right="180" w:hanging="420"/>
        <w:spacing w:after="0" w:line="246" w:lineRule="auto"/>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shown represent the annual incentive compensation opportunity under the Company MICP for fiscal 2026 for each named executive officer. See “Compensation Discussion and Analysis—Principal Components of Compensation for Named Executive Officers—Annual Incentive Compensation” above for more detail regarding these amounts. See the Fiscal 2026 Summary Compensation Table above for actual payouts for fiscal 2026 achievement under the MICP.</w:t>
      </w:r>
    </w:p>
    <w:p>
      <w:pPr>
        <w:spacing w:after="0" w:line="87" w:lineRule="exact"/>
        <w:rPr>
          <w:rFonts w:ascii="Arial" w:cs="Arial" w:eastAsia="Arial" w:hAnsi="Arial"/>
          <w:sz w:val="14"/>
          <w:szCs w:val="14"/>
          <w:color w:val="auto"/>
        </w:rPr>
      </w:pPr>
    </w:p>
    <w:p>
      <w:pPr>
        <w:ind w:left="760" w:hanging="420"/>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shown reflect pro-ration for time spent in each role served during fiscal 2026.</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48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Tabular and Other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180"/>
        <w:spacing w:after="0" w:line="273" w:lineRule="auto"/>
        <w:rPr>
          <w:sz w:val="20"/>
          <w:szCs w:val="20"/>
          <w:color w:val="auto"/>
        </w:rPr>
      </w:pPr>
      <w:r>
        <w:rPr>
          <w:rFonts w:ascii="Arial" w:cs="Arial" w:eastAsia="Arial" w:hAnsi="Arial"/>
          <w:sz w:val="19"/>
          <w:szCs w:val="19"/>
          <w:b w:val="1"/>
          <w:bCs w:val="1"/>
          <w:color w:val="auto"/>
        </w:rPr>
        <w:t>NARRATIVE SUPPLEMENT TO THE FISCAL 2026 SUMMARY COMPENSATION TABLE AND THE GRANTS OF PLAN-BASED AWARDS IN FISCAL 2026 TABLE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Vesting Schedule</w:t>
      </w:r>
    </w:p>
    <w:p>
      <w:pPr>
        <w:spacing w:after="0" w:line="92" w:lineRule="exact"/>
        <w:rPr>
          <w:sz w:val="20"/>
          <w:szCs w:val="20"/>
          <w:color w:val="auto"/>
        </w:rPr>
      </w:pPr>
    </w:p>
    <w:p>
      <w:pPr>
        <w:ind w:left="340" w:right="40"/>
        <w:spacing w:after="0" w:line="230" w:lineRule="auto"/>
        <w:rPr>
          <w:sz w:val="20"/>
          <w:szCs w:val="20"/>
          <w:color w:val="auto"/>
        </w:rPr>
      </w:pPr>
      <w:r>
        <w:rPr>
          <w:rFonts w:ascii="Arial" w:cs="Arial" w:eastAsia="Arial" w:hAnsi="Arial"/>
          <w:sz w:val="19"/>
          <w:szCs w:val="19"/>
          <w:color w:val="auto"/>
        </w:rPr>
        <w:t>Stock option awards to employees generally vest and become nonforfeitable in increments of 25% per year over a four-year period, with full vesting four years after the date of grant. Historically, restricted stock awards to employee recipients generally cliff vested on the fourth anniversary of the grant date if the recipient remained in continuous employment through that date. Beginning with the awards granted on or after May 31, 2023, Company restricted stock (and restricted stock units) generally cliff vest over a three year period after the grant date. However, employees who are grantees of restricted stock and have attained age 55 and been employed for at least 5 years at the time of the grant or meet these criteria during the term of the grant and are employed in the U.S. or in a few other foreign jurisdictions, or employees who have 25 years of service at the time of grant or meet that criterion during the term of the grant, will be subject to installment vesting rules over the applicable vesting period. Awards made on or after May 31, 2023 to employees in the U.S. or a few other jurisdictions may provide for continued vesting after “retirement” (termination of employment more than 6 months after the award date either at or after age 55 with at least ten years of continuous service, or at or after age 65), if certain conditions are met. All outstanding unvested equity awards are subject to “double trigger” vesting and generally will not vest immediately upon a change of control unless the recipient does not receive a qualified replacement award. Stock options and restricted stock will vest immediately if the grantee dies while employed by the Company.</w:t>
      </w:r>
    </w:p>
    <w:p>
      <w:pPr>
        <w:spacing w:after="0" w:line="28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Forfeiture and Post-Employment Treatment</w:t>
      </w:r>
    </w:p>
    <w:p>
      <w:pPr>
        <w:spacing w:after="0" w:line="92" w:lineRule="exact"/>
        <w:rPr>
          <w:sz w:val="20"/>
          <w:szCs w:val="20"/>
          <w:color w:val="auto"/>
        </w:rPr>
      </w:pPr>
    </w:p>
    <w:p>
      <w:pPr>
        <w:ind w:left="340" w:right="20"/>
        <w:spacing w:after="0" w:line="235" w:lineRule="auto"/>
        <w:rPr>
          <w:sz w:val="20"/>
          <w:szCs w:val="20"/>
          <w:color w:val="auto"/>
        </w:rPr>
      </w:pPr>
      <w:r>
        <w:rPr>
          <w:rFonts w:ascii="Arial" w:cs="Arial" w:eastAsia="Arial" w:hAnsi="Arial"/>
          <w:sz w:val="19"/>
          <w:szCs w:val="19"/>
          <w:color w:val="auto"/>
        </w:rPr>
        <w:t>Unvested equity awards are generally forfeited at termination of employment, unless employment terminates on account of death, qualifying termination following a change of control, or the employee is eligible for the “retirement” provisions described above. Likewise, the vested portion of a stock option award is forfeited following termination of employment and expiration of the applicable post-employment exercise period and also may be forfeited in the case of a termination of employment for “Cause.” Unvested equity awards are subject to “double trigger” vesting upon a change in control, as described above. See “STERIS Equity Incentive Plan” for additional information.</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Dividends</w:t>
      </w:r>
    </w:p>
    <w:p>
      <w:pPr>
        <w:spacing w:after="0" w:line="92" w:lineRule="exact"/>
        <w:rPr>
          <w:sz w:val="20"/>
          <w:szCs w:val="20"/>
          <w:color w:val="auto"/>
        </w:rPr>
      </w:pPr>
    </w:p>
    <w:p>
      <w:pPr>
        <w:jc w:val="both"/>
        <w:ind w:left="340" w:right="100"/>
        <w:spacing w:after="0" w:line="244" w:lineRule="auto"/>
        <w:rPr>
          <w:sz w:val="20"/>
          <w:szCs w:val="20"/>
          <w:color w:val="auto"/>
        </w:rPr>
      </w:pPr>
      <w:r>
        <w:rPr>
          <w:rFonts w:ascii="Arial" w:cs="Arial" w:eastAsia="Arial" w:hAnsi="Arial"/>
          <w:sz w:val="19"/>
          <w:szCs w:val="19"/>
          <w:color w:val="auto"/>
        </w:rPr>
        <w:t>Dividends are payable on restricted stock at the same times and in the same amounts as payable generally from time to time on our outstanding Shares. Dividend equivalents are payable on restricted stock units in the same amounts as dividends are payable generally from time to time on our outstanding shares.</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Option Exercise Price</w:t>
      </w:r>
    </w:p>
    <w:p>
      <w:pPr>
        <w:spacing w:after="0" w:line="92" w:lineRule="exact"/>
        <w:rPr>
          <w:sz w:val="20"/>
          <w:szCs w:val="20"/>
          <w:color w:val="auto"/>
        </w:rPr>
      </w:pPr>
    </w:p>
    <w:p>
      <w:pPr>
        <w:ind w:left="340" w:right="400"/>
        <w:spacing w:after="0" w:line="262" w:lineRule="auto"/>
        <w:rPr>
          <w:sz w:val="20"/>
          <w:szCs w:val="20"/>
          <w:color w:val="auto"/>
        </w:rPr>
      </w:pPr>
      <w:r>
        <w:rPr>
          <w:rFonts w:ascii="Arial" w:cs="Arial" w:eastAsia="Arial" w:hAnsi="Arial"/>
          <w:sz w:val="19"/>
          <w:szCs w:val="19"/>
          <w:color w:val="auto"/>
        </w:rPr>
        <w:t>All recent stock option grants to executives and other employees have an exercise price of 110% of the NYSE Composite Transaction System closing price of our shares on the effective date of the grant.</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67</w:t>
      </w:r>
    </w:p>
    <w:p>
      <w:pPr>
        <w:sectPr>
          <w:pgSz w:w="11900" w:h="16838" w:orient="portrait"/>
          <w:cols w:equalWidth="0" w:num="1">
            <w:col w:w="10900"/>
          </w:cols>
          <w:pgMar w:left="320" w:top="469" w:right="6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48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Tabular and Other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440"/>
        <w:spacing w:after="0" w:line="244" w:lineRule="auto"/>
        <w:rPr>
          <w:sz w:val="20"/>
          <w:szCs w:val="20"/>
          <w:color w:val="auto"/>
        </w:rPr>
      </w:pPr>
      <w:r>
        <w:rPr>
          <w:rFonts w:ascii="Arial" w:cs="Arial" w:eastAsia="Arial" w:hAnsi="Arial"/>
          <w:sz w:val="19"/>
          <w:szCs w:val="19"/>
          <w:color w:val="auto"/>
        </w:rPr>
        <w:t>The effective date of the grant may not be earlier than the approval date. The 2006 Plan requires that the option exercise price for any option not be less than the closing price of the Company’s shares on the NYSE Composite Transaction Reporting System on the effective date of grant.</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OUTSTANDING EQUITY AWARDS ON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154305</wp:posOffset>
            </wp:positionV>
            <wp:extent cx="6710045" cy="6991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10045" cy="699135"/>
                    </a:xfrm>
                    <a:prstGeom prst="rect">
                      <a:avLst/>
                    </a:prstGeom>
                    <a:noFill/>
                  </pic:spPr>
                </pic:pic>
              </a:graphicData>
            </a:graphic>
          </wp:anchor>
        </w:drawing>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99"/>
        </w:trPr>
        <w:tc>
          <w:tcPr>
            <w:tcW w:w="1400" w:type="dxa"/>
            <w:vAlign w:val="bottom"/>
            <w:tcBorders>
              <w:right w:val="single" w:sz="8" w:color="3E8EDE"/>
            </w:tcBorders>
            <w:shd w:val="clear" w:color="auto" w:fill="3E8EDE"/>
          </w:tcPr>
          <w:p>
            <w:pPr>
              <w:spacing w:after="0"/>
              <w:rPr>
                <w:sz w:val="17"/>
                <w:szCs w:val="17"/>
                <w:color w:val="auto"/>
              </w:rPr>
            </w:pPr>
          </w:p>
        </w:tc>
        <w:tc>
          <w:tcPr>
            <w:tcW w:w="780" w:type="dxa"/>
            <w:vAlign w:val="bottom"/>
            <w:tcBorders>
              <w:right w:val="single" w:sz="8" w:color="3E8EDE"/>
            </w:tcBorders>
            <w:shd w:val="clear" w:color="auto" w:fill="3E8EDE"/>
          </w:tcPr>
          <w:p>
            <w:pPr>
              <w:spacing w:after="0"/>
              <w:rPr>
                <w:sz w:val="17"/>
                <w:szCs w:val="17"/>
                <w:color w:val="auto"/>
              </w:rPr>
            </w:pPr>
          </w:p>
        </w:tc>
        <w:tc>
          <w:tcPr>
            <w:tcW w:w="1260" w:type="dxa"/>
            <w:vAlign w:val="bottom"/>
            <w:tcBorders>
              <w:right w:val="single" w:sz="8" w:color="3E8EDE"/>
            </w:tcBorders>
            <w:shd w:val="clear" w:color="auto" w:fill="3E8EDE"/>
          </w:tcPr>
          <w:p>
            <w:pPr>
              <w:spacing w:after="0"/>
              <w:rPr>
                <w:sz w:val="17"/>
                <w:szCs w:val="17"/>
                <w:color w:val="auto"/>
              </w:rPr>
            </w:pPr>
          </w:p>
        </w:tc>
        <w:tc>
          <w:tcPr>
            <w:tcW w:w="1360" w:type="dxa"/>
            <w:vAlign w:val="bottom"/>
            <w:tcBorders>
              <w:right w:val="single" w:sz="8" w:color="3E8EDE"/>
            </w:tcBorders>
            <w:shd w:val="clear" w:color="auto" w:fill="3E8EDE"/>
          </w:tcPr>
          <w:p>
            <w:pPr>
              <w:jc w:val="right"/>
              <w:ind w:right="300"/>
              <w:spacing w:after="0"/>
              <w:rPr>
                <w:sz w:val="20"/>
                <w:szCs w:val="20"/>
                <w:color w:val="auto"/>
              </w:rPr>
            </w:pPr>
            <w:r>
              <w:rPr>
                <w:rFonts w:ascii="Arial" w:cs="Arial" w:eastAsia="Arial" w:hAnsi="Arial"/>
                <w:sz w:val="12"/>
                <w:szCs w:val="12"/>
                <w:b w:val="1"/>
                <w:bCs w:val="1"/>
                <w:color w:val="FFFFFF"/>
              </w:rPr>
              <w:t>Option Awards</w:t>
            </w:r>
          </w:p>
        </w:tc>
        <w:tc>
          <w:tcPr>
            <w:tcW w:w="1040" w:type="dxa"/>
            <w:vAlign w:val="bottom"/>
            <w:tcBorders>
              <w:right w:val="single" w:sz="8" w:color="3E8EDE"/>
            </w:tcBorders>
            <w:shd w:val="clear" w:color="auto" w:fill="3E8EDE"/>
          </w:tcPr>
          <w:p>
            <w:pPr>
              <w:spacing w:after="0"/>
              <w:rPr>
                <w:sz w:val="17"/>
                <w:szCs w:val="17"/>
                <w:color w:val="auto"/>
              </w:rPr>
            </w:pPr>
          </w:p>
        </w:tc>
        <w:tc>
          <w:tcPr>
            <w:tcW w:w="800" w:type="dxa"/>
            <w:vAlign w:val="bottom"/>
            <w:tcBorders>
              <w:right w:val="single" w:sz="8" w:color="3E8EDE"/>
            </w:tcBorders>
            <w:shd w:val="clear" w:color="auto" w:fill="3E8EDE"/>
          </w:tcPr>
          <w:p>
            <w:pPr>
              <w:spacing w:after="0"/>
              <w:rPr>
                <w:sz w:val="17"/>
                <w:szCs w:val="17"/>
                <w:color w:val="auto"/>
              </w:rPr>
            </w:pPr>
          </w:p>
        </w:tc>
        <w:tc>
          <w:tcPr>
            <w:tcW w:w="780" w:type="dxa"/>
            <w:vAlign w:val="bottom"/>
            <w:tcBorders>
              <w:right w:val="single" w:sz="8" w:color="3E8EDE"/>
            </w:tcBorders>
            <w:shd w:val="clear" w:color="auto" w:fill="3E8EDE"/>
          </w:tcPr>
          <w:p>
            <w:pPr>
              <w:spacing w:after="0"/>
              <w:rPr>
                <w:sz w:val="17"/>
                <w:szCs w:val="17"/>
                <w:color w:val="auto"/>
              </w:rPr>
            </w:pPr>
          </w:p>
        </w:tc>
        <w:tc>
          <w:tcPr>
            <w:tcW w:w="1680" w:type="dxa"/>
            <w:vAlign w:val="bottom"/>
            <w:gridSpan w:val="2"/>
            <w:shd w:val="clear" w:color="auto" w:fill="3E8EDE"/>
          </w:tcPr>
          <w:p>
            <w:pPr>
              <w:ind w:left="800"/>
              <w:spacing w:after="0"/>
              <w:rPr>
                <w:sz w:val="20"/>
                <w:szCs w:val="20"/>
                <w:color w:val="auto"/>
              </w:rPr>
            </w:pPr>
            <w:r>
              <w:rPr>
                <w:rFonts w:ascii="Arial" w:cs="Arial" w:eastAsia="Arial" w:hAnsi="Arial"/>
                <w:sz w:val="12"/>
                <w:szCs w:val="12"/>
                <w:b w:val="1"/>
                <w:bCs w:val="1"/>
                <w:color w:val="FFFFFF"/>
              </w:rPr>
              <w:t>Stock Awards</w:t>
            </w:r>
          </w:p>
        </w:tc>
        <w:tc>
          <w:tcPr>
            <w:tcW w:w="1460" w:type="dxa"/>
            <w:vAlign w:val="bottom"/>
            <w:shd w:val="clear" w:color="auto" w:fill="3E8ED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400" w:type="dxa"/>
            <w:vAlign w:val="bottom"/>
            <w:tcBorders>
              <w:right w:val="single" w:sz="8" w:color="3E8EDE"/>
            </w:tcBorders>
            <w:shd w:val="clear" w:color="auto" w:fill="3E8EDE"/>
          </w:tcPr>
          <w:p>
            <w:pPr>
              <w:spacing w:after="0"/>
              <w:rPr>
                <w:sz w:val="16"/>
                <w:szCs w:val="16"/>
                <w:color w:val="auto"/>
              </w:rPr>
            </w:pPr>
          </w:p>
        </w:tc>
        <w:tc>
          <w:tcPr>
            <w:tcW w:w="780" w:type="dxa"/>
            <w:vAlign w:val="bottom"/>
            <w:tcBorders>
              <w:right w:val="single" w:sz="8" w:color="3E8EDE"/>
            </w:tcBorders>
            <w:shd w:val="clear" w:color="auto" w:fill="3E8EDE"/>
          </w:tcPr>
          <w:p>
            <w:pPr>
              <w:spacing w:after="0"/>
              <w:rPr>
                <w:sz w:val="16"/>
                <w:szCs w:val="16"/>
                <w:color w:val="auto"/>
              </w:rPr>
            </w:pPr>
          </w:p>
        </w:tc>
        <w:tc>
          <w:tcPr>
            <w:tcW w:w="126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2"/>
                <w:szCs w:val="12"/>
                <w:b w:val="1"/>
                <w:bCs w:val="1"/>
                <w:color w:val="FFFFFF"/>
                <w:w w:val="99"/>
              </w:rPr>
              <w:t>Number of</w:t>
            </w:r>
          </w:p>
        </w:tc>
        <w:tc>
          <w:tcPr>
            <w:tcW w:w="136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2"/>
                <w:szCs w:val="12"/>
                <w:b w:val="1"/>
                <w:bCs w:val="1"/>
                <w:color w:val="FFFFFF"/>
                <w:w w:val="99"/>
              </w:rPr>
              <w:t>Number of</w:t>
            </w:r>
          </w:p>
        </w:tc>
        <w:tc>
          <w:tcPr>
            <w:tcW w:w="1040" w:type="dxa"/>
            <w:vAlign w:val="bottom"/>
            <w:tcBorders>
              <w:right w:val="single" w:sz="8" w:color="3E8EDE"/>
            </w:tcBorders>
            <w:shd w:val="clear" w:color="auto" w:fill="3E8EDE"/>
          </w:tcPr>
          <w:p>
            <w:pPr>
              <w:spacing w:after="0"/>
              <w:rPr>
                <w:sz w:val="16"/>
                <w:szCs w:val="16"/>
                <w:color w:val="auto"/>
              </w:rPr>
            </w:pPr>
          </w:p>
        </w:tc>
        <w:tc>
          <w:tcPr>
            <w:tcW w:w="800" w:type="dxa"/>
            <w:vAlign w:val="bottom"/>
            <w:tcBorders>
              <w:right w:val="single" w:sz="8" w:color="3E8EDE"/>
            </w:tcBorders>
            <w:shd w:val="clear" w:color="auto" w:fill="3E8EDE"/>
          </w:tcPr>
          <w:p>
            <w:pPr>
              <w:spacing w:after="0"/>
              <w:rPr>
                <w:sz w:val="16"/>
                <w:szCs w:val="16"/>
                <w:color w:val="auto"/>
              </w:rPr>
            </w:pPr>
          </w:p>
        </w:tc>
        <w:tc>
          <w:tcPr>
            <w:tcW w:w="780" w:type="dxa"/>
            <w:vAlign w:val="bottom"/>
            <w:tcBorders>
              <w:right w:val="single" w:sz="8" w:color="3E8EDE"/>
            </w:tcBorders>
            <w:shd w:val="clear" w:color="auto" w:fill="3E8EDE"/>
          </w:tcPr>
          <w:p>
            <w:pPr>
              <w:spacing w:after="0"/>
              <w:rPr>
                <w:sz w:val="16"/>
                <w:szCs w:val="16"/>
                <w:color w:val="auto"/>
              </w:rPr>
            </w:pPr>
          </w:p>
        </w:tc>
        <w:tc>
          <w:tcPr>
            <w:tcW w:w="1680" w:type="dxa"/>
            <w:vAlign w:val="bottom"/>
            <w:gridSpan w:val="2"/>
            <w:vMerge w:val="restart"/>
            <w:shd w:val="clear" w:color="auto" w:fill="3E8EDE"/>
          </w:tcPr>
          <w:p>
            <w:pPr>
              <w:jc w:val="center"/>
              <w:ind w:right="240"/>
              <w:spacing w:after="0"/>
              <w:rPr>
                <w:sz w:val="20"/>
                <w:szCs w:val="20"/>
                <w:color w:val="auto"/>
              </w:rPr>
            </w:pPr>
            <w:r>
              <w:rPr>
                <w:rFonts w:ascii="Arial" w:cs="Arial" w:eastAsia="Arial" w:hAnsi="Arial"/>
                <w:sz w:val="12"/>
                <w:szCs w:val="12"/>
                <w:b w:val="1"/>
                <w:bCs w:val="1"/>
                <w:color w:val="FFFFFF"/>
                <w:w w:val="99"/>
              </w:rPr>
              <w:t>Number of</w:t>
            </w:r>
          </w:p>
        </w:tc>
        <w:tc>
          <w:tcPr>
            <w:tcW w:w="1460" w:type="dxa"/>
            <w:vAlign w:val="bottom"/>
            <w:vMerge w:val="restart"/>
            <w:shd w:val="clear" w:color="auto" w:fill="3E8EDE"/>
          </w:tcPr>
          <w:p>
            <w:pPr>
              <w:jc w:val="center"/>
              <w:ind w:right="140"/>
              <w:spacing w:after="0"/>
              <w:rPr>
                <w:sz w:val="20"/>
                <w:szCs w:val="20"/>
                <w:color w:val="auto"/>
              </w:rPr>
            </w:pPr>
            <w:r>
              <w:rPr>
                <w:rFonts w:ascii="Arial" w:cs="Arial" w:eastAsia="Arial" w:hAnsi="Arial"/>
                <w:sz w:val="12"/>
                <w:szCs w:val="12"/>
                <w:b w:val="1"/>
                <w:bCs w:val="1"/>
                <w:color w:val="FFFFFF"/>
              </w:rPr>
              <w:t>Market Value of</w:t>
            </w:r>
          </w:p>
        </w:tc>
        <w:tc>
          <w:tcPr>
            <w:tcW w:w="0" w:type="dxa"/>
            <w:vAlign w:val="bottom"/>
          </w:tcPr>
          <w:p>
            <w:pPr>
              <w:spacing w:after="0"/>
              <w:rPr>
                <w:sz w:val="1"/>
                <w:szCs w:val="1"/>
                <w:color w:val="auto"/>
              </w:rPr>
            </w:pPr>
          </w:p>
        </w:tc>
      </w:tr>
      <w:tr>
        <w:trPr>
          <w:trHeight w:val="130"/>
        </w:trPr>
        <w:tc>
          <w:tcPr>
            <w:tcW w:w="1400" w:type="dxa"/>
            <w:vAlign w:val="bottom"/>
            <w:tcBorders>
              <w:right w:val="single" w:sz="8" w:color="3E8EDE"/>
            </w:tcBorders>
            <w:shd w:val="clear" w:color="auto" w:fill="3E8EDE"/>
          </w:tcPr>
          <w:p>
            <w:pPr>
              <w:spacing w:after="0"/>
              <w:rPr>
                <w:sz w:val="11"/>
                <w:szCs w:val="11"/>
                <w:color w:val="auto"/>
              </w:rPr>
            </w:pPr>
          </w:p>
        </w:tc>
        <w:tc>
          <w:tcPr>
            <w:tcW w:w="780" w:type="dxa"/>
            <w:vAlign w:val="bottom"/>
            <w:tcBorders>
              <w:right w:val="single" w:sz="8" w:color="3E8EDE"/>
            </w:tcBorders>
            <w:vMerge w:val="restart"/>
            <w:shd w:val="clear" w:color="auto" w:fill="3E8EDE"/>
          </w:tcPr>
          <w:p>
            <w:pPr>
              <w:jc w:val="center"/>
              <w:spacing w:after="0"/>
              <w:rPr>
                <w:sz w:val="20"/>
                <w:szCs w:val="20"/>
                <w:color w:val="auto"/>
              </w:rPr>
            </w:pPr>
            <w:r>
              <w:rPr>
                <w:rFonts w:ascii="Arial" w:cs="Arial" w:eastAsia="Arial" w:hAnsi="Arial"/>
                <w:sz w:val="12"/>
                <w:szCs w:val="12"/>
                <w:b w:val="1"/>
                <w:bCs w:val="1"/>
                <w:color w:val="FFFFFF"/>
                <w:w w:val="98"/>
              </w:rPr>
              <w:t>Option</w:t>
            </w:r>
          </w:p>
        </w:tc>
        <w:tc>
          <w:tcPr>
            <w:tcW w:w="126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Securities</w:t>
            </w:r>
          </w:p>
        </w:tc>
        <w:tc>
          <w:tcPr>
            <w:tcW w:w="136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Securities</w:t>
            </w:r>
          </w:p>
        </w:tc>
        <w:tc>
          <w:tcPr>
            <w:tcW w:w="1040" w:type="dxa"/>
            <w:vAlign w:val="bottom"/>
            <w:tcBorders>
              <w:right w:val="single" w:sz="8" w:color="3E8EDE"/>
            </w:tcBorders>
            <w:shd w:val="clear" w:color="auto" w:fill="3E8EDE"/>
          </w:tcPr>
          <w:p>
            <w:pPr>
              <w:spacing w:after="0"/>
              <w:rPr>
                <w:sz w:val="11"/>
                <w:szCs w:val="11"/>
                <w:color w:val="auto"/>
              </w:rPr>
            </w:pPr>
          </w:p>
        </w:tc>
        <w:tc>
          <w:tcPr>
            <w:tcW w:w="800" w:type="dxa"/>
            <w:vAlign w:val="bottom"/>
            <w:tcBorders>
              <w:right w:val="single" w:sz="8" w:color="3E8EDE"/>
            </w:tcBorders>
            <w:shd w:val="clear" w:color="auto" w:fill="3E8EDE"/>
          </w:tcPr>
          <w:p>
            <w:pPr>
              <w:spacing w:after="0"/>
              <w:rPr>
                <w:sz w:val="11"/>
                <w:szCs w:val="11"/>
                <w:color w:val="auto"/>
              </w:rPr>
            </w:pPr>
          </w:p>
        </w:tc>
        <w:tc>
          <w:tcPr>
            <w:tcW w:w="780" w:type="dxa"/>
            <w:vAlign w:val="bottom"/>
            <w:tcBorders>
              <w:right w:val="single" w:sz="8" w:color="3E8EDE"/>
            </w:tcBorders>
            <w:vMerge w:val="restart"/>
            <w:shd w:val="clear" w:color="auto" w:fill="3E8EDE"/>
          </w:tcPr>
          <w:p>
            <w:pPr>
              <w:jc w:val="center"/>
              <w:spacing w:after="0"/>
              <w:rPr>
                <w:sz w:val="20"/>
                <w:szCs w:val="20"/>
                <w:color w:val="auto"/>
              </w:rPr>
            </w:pPr>
            <w:r>
              <w:rPr>
                <w:rFonts w:ascii="Arial" w:cs="Arial" w:eastAsia="Arial" w:hAnsi="Arial"/>
                <w:sz w:val="12"/>
                <w:szCs w:val="12"/>
                <w:b w:val="1"/>
                <w:bCs w:val="1"/>
                <w:color w:val="FFFFFF"/>
                <w:w w:val="97"/>
              </w:rPr>
              <w:t>Stock</w:t>
            </w:r>
          </w:p>
        </w:tc>
        <w:tc>
          <w:tcPr>
            <w:tcW w:w="1680" w:type="dxa"/>
            <w:vAlign w:val="bottom"/>
            <w:gridSpan w:val="2"/>
            <w:vMerge w:val="continue"/>
            <w:shd w:val="clear" w:color="auto" w:fill="3E8EDE"/>
          </w:tcPr>
          <w:p>
            <w:pPr>
              <w:spacing w:after="0"/>
              <w:rPr>
                <w:sz w:val="11"/>
                <w:szCs w:val="11"/>
                <w:color w:val="auto"/>
              </w:rPr>
            </w:pPr>
          </w:p>
        </w:tc>
        <w:tc>
          <w:tcPr>
            <w:tcW w:w="1460" w:type="dxa"/>
            <w:vAlign w:val="bottom"/>
            <w:vMerge w:val="continue"/>
            <w:shd w:val="clear" w:color="auto" w:fill="3E8ED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00" w:type="dxa"/>
            <w:vAlign w:val="bottom"/>
            <w:tcBorders>
              <w:right w:val="single" w:sz="8" w:color="3E8EDE"/>
            </w:tcBorders>
            <w:shd w:val="clear" w:color="auto" w:fill="3E8EDE"/>
          </w:tcPr>
          <w:p>
            <w:pPr>
              <w:spacing w:after="0"/>
              <w:rPr>
                <w:sz w:val="11"/>
                <w:szCs w:val="11"/>
                <w:color w:val="auto"/>
              </w:rPr>
            </w:pPr>
          </w:p>
        </w:tc>
        <w:tc>
          <w:tcPr>
            <w:tcW w:w="780" w:type="dxa"/>
            <w:vAlign w:val="bottom"/>
            <w:tcBorders>
              <w:right w:val="single" w:sz="8" w:color="3E8EDE"/>
            </w:tcBorders>
            <w:vMerge w:val="continue"/>
            <w:shd w:val="clear" w:color="auto" w:fill="3E8EDE"/>
          </w:tcPr>
          <w:p>
            <w:pPr>
              <w:spacing w:after="0"/>
              <w:rPr>
                <w:sz w:val="11"/>
                <w:szCs w:val="11"/>
                <w:color w:val="auto"/>
              </w:rPr>
            </w:pPr>
          </w:p>
        </w:tc>
        <w:tc>
          <w:tcPr>
            <w:tcW w:w="126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Underlying</w:t>
            </w:r>
          </w:p>
        </w:tc>
        <w:tc>
          <w:tcPr>
            <w:tcW w:w="136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Underlying</w:t>
            </w:r>
          </w:p>
        </w:tc>
        <w:tc>
          <w:tcPr>
            <w:tcW w:w="1040" w:type="dxa"/>
            <w:vAlign w:val="bottom"/>
            <w:tcBorders>
              <w:right w:val="single" w:sz="8" w:color="3E8EDE"/>
            </w:tcBorders>
            <w:vMerge w:val="restart"/>
            <w:shd w:val="clear" w:color="auto" w:fill="3E8EDE"/>
          </w:tcPr>
          <w:p>
            <w:pPr>
              <w:jc w:val="center"/>
              <w:spacing w:after="0"/>
              <w:rPr>
                <w:sz w:val="20"/>
                <w:szCs w:val="20"/>
                <w:color w:val="auto"/>
              </w:rPr>
            </w:pPr>
            <w:r>
              <w:rPr>
                <w:rFonts w:ascii="Arial" w:cs="Arial" w:eastAsia="Arial" w:hAnsi="Arial"/>
                <w:sz w:val="12"/>
                <w:szCs w:val="12"/>
                <w:b w:val="1"/>
                <w:bCs w:val="1"/>
                <w:color w:val="FFFFFF"/>
                <w:w w:val="98"/>
              </w:rPr>
              <w:t>Option</w:t>
            </w:r>
          </w:p>
        </w:tc>
        <w:tc>
          <w:tcPr>
            <w:tcW w:w="800" w:type="dxa"/>
            <w:vAlign w:val="bottom"/>
            <w:tcBorders>
              <w:right w:val="single" w:sz="8" w:color="3E8EDE"/>
            </w:tcBorders>
            <w:vMerge w:val="restart"/>
            <w:shd w:val="clear" w:color="auto" w:fill="3E8EDE"/>
          </w:tcPr>
          <w:p>
            <w:pPr>
              <w:jc w:val="center"/>
              <w:spacing w:after="0"/>
              <w:rPr>
                <w:sz w:val="20"/>
                <w:szCs w:val="20"/>
                <w:color w:val="auto"/>
              </w:rPr>
            </w:pPr>
            <w:r>
              <w:rPr>
                <w:rFonts w:ascii="Arial" w:cs="Arial" w:eastAsia="Arial" w:hAnsi="Arial"/>
                <w:sz w:val="12"/>
                <w:szCs w:val="12"/>
                <w:b w:val="1"/>
                <w:bCs w:val="1"/>
                <w:color w:val="FFFFFF"/>
                <w:w w:val="98"/>
              </w:rPr>
              <w:t>Option</w:t>
            </w:r>
          </w:p>
        </w:tc>
        <w:tc>
          <w:tcPr>
            <w:tcW w:w="780" w:type="dxa"/>
            <w:vAlign w:val="bottom"/>
            <w:tcBorders>
              <w:right w:val="single" w:sz="8" w:color="3E8EDE"/>
            </w:tcBorders>
            <w:vMerge w:val="continue"/>
            <w:shd w:val="clear" w:color="auto" w:fill="3E8EDE"/>
          </w:tcPr>
          <w:p>
            <w:pPr>
              <w:spacing w:after="0"/>
              <w:rPr>
                <w:sz w:val="11"/>
                <w:szCs w:val="11"/>
                <w:color w:val="auto"/>
              </w:rPr>
            </w:pPr>
          </w:p>
        </w:tc>
        <w:tc>
          <w:tcPr>
            <w:tcW w:w="1680" w:type="dxa"/>
            <w:vAlign w:val="bottom"/>
            <w:gridSpan w:val="2"/>
            <w:shd w:val="clear" w:color="auto" w:fill="3E8EDE"/>
          </w:tcPr>
          <w:p>
            <w:pPr>
              <w:jc w:val="center"/>
              <w:ind w:right="220"/>
              <w:spacing w:after="0" w:line="130" w:lineRule="exact"/>
              <w:rPr>
                <w:sz w:val="20"/>
                <w:szCs w:val="20"/>
                <w:color w:val="auto"/>
              </w:rPr>
            </w:pPr>
            <w:r>
              <w:rPr>
                <w:rFonts w:ascii="Arial" w:cs="Arial" w:eastAsia="Arial" w:hAnsi="Arial"/>
                <w:sz w:val="12"/>
                <w:szCs w:val="12"/>
                <w:b w:val="1"/>
                <w:bCs w:val="1"/>
                <w:color w:val="FFFFFF"/>
              </w:rPr>
              <w:t xml:space="preserve"> Shares or Units </w:t>
            </w:r>
          </w:p>
        </w:tc>
        <w:tc>
          <w:tcPr>
            <w:tcW w:w="1460" w:type="dxa"/>
            <w:vAlign w:val="bottom"/>
            <w:shd w:val="clear" w:color="auto" w:fill="3E8EDE"/>
          </w:tcPr>
          <w:p>
            <w:pPr>
              <w:jc w:val="center"/>
              <w:ind w:right="140"/>
              <w:spacing w:after="0" w:line="130" w:lineRule="exact"/>
              <w:rPr>
                <w:sz w:val="20"/>
                <w:szCs w:val="20"/>
                <w:color w:val="auto"/>
              </w:rPr>
            </w:pPr>
            <w:r>
              <w:rPr>
                <w:rFonts w:ascii="Arial" w:cs="Arial" w:eastAsia="Arial" w:hAnsi="Arial"/>
                <w:sz w:val="12"/>
                <w:szCs w:val="12"/>
                <w:b w:val="1"/>
                <w:bCs w:val="1"/>
                <w:color w:val="FFFFFF"/>
              </w:rPr>
              <w:t xml:space="preserve"> Shares or Units of </w:t>
            </w:r>
          </w:p>
        </w:tc>
        <w:tc>
          <w:tcPr>
            <w:tcW w:w="0" w:type="dxa"/>
            <w:vAlign w:val="bottom"/>
          </w:tcPr>
          <w:p>
            <w:pPr>
              <w:spacing w:after="0"/>
              <w:rPr>
                <w:sz w:val="1"/>
                <w:szCs w:val="1"/>
                <w:color w:val="auto"/>
              </w:rPr>
            </w:pPr>
          </w:p>
        </w:tc>
      </w:tr>
      <w:tr>
        <w:trPr>
          <w:trHeight w:val="130"/>
        </w:trPr>
        <w:tc>
          <w:tcPr>
            <w:tcW w:w="1400" w:type="dxa"/>
            <w:vAlign w:val="bottom"/>
            <w:tcBorders>
              <w:right w:val="single" w:sz="8" w:color="3E8EDE"/>
            </w:tcBorders>
            <w:shd w:val="clear" w:color="auto" w:fill="3E8EDE"/>
          </w:tcPr>
          <w:p>
            <w:pPr>
              <w:spacing w:after="0"/>
              <w:rPr>
                <w:sz w:val="11"/>
                <w:szCs w:val="11"/>
                <w:color w:val="auto"/>
              </w:rPr>
            </w:pPr>
          </w:p>
        </w:tc>
        <w:tc>
          <w:tcPr>
            <w:tcW w:w="78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w w:val="98"/>
              </w:rPr>
              <w:t>Award</w:t>
            </w:r>
          </w:p>
        </w:tc>
        <w:tc>
          <w:tcPr>
            <w:tcW w:w="126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 xml:space="preserve"> Unexercised </w:t>
            </w:r>
          </w:p>
        </w:tc>
        <w:tc>
          <w:tcPr>
            <w:tcW w:w="136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Unexercised</w:t>
            </w:r>
          </w:p>
        </w:tc>
        <w:tc>
          <w:tcPr>
            <w:tcW w:w="1040" w:type="dxa"/>
            <w:vAlign w:val="bottom"/>
            <w:tcBorders>
              <w:right w:val="single" w:sz="8" w:color="3E8EDE"/>
            </w:tcBorders>
            <w:vMerge w:val="continue"/>
            <w:shd w:val="clear" w:color="auto" w:fill="3E8EDE"/>
          </w:tcPr>
          <w:p>
            <w:pPr>
              <w:spacing w:after="0"/>
              <w:rPr>
                <w:sz w:val="11"/>
                <w:szCs w:val="11"/>
                <w:color w:val="auto"/>
              </w:rPr>
            </w:pPr>
          </w:p>
        </w:tc>
        <w:tc>
          <w:tcPr>
            <w:tcW w:w="800" w:type="dxa"/>
            <w:vAlign w:val="bottom"/>
            <w:tcBorders>
              <w:right w:val="single" w:sz="8" w:color="3E8EDE"/>
            </w:tcBorders>
            <w:vMerge w:val="continue"/>
            <w:shd w:val="clear" w:color="auto" w:fill="3E8EDE"/>
          </w:tcPr>
          <w:p>
            <w:pPr>
              <w:spacing w:after="0"/>
              <w:rPr>
                <w:sz w:val="11"/>
                <w:szCs w:val="11"/>
                <w:color w:val="auto"/>
              </w:rPr>
            </w:pPr>
          </w:p>
        </w:tc>
        <w:tc>
          <w:tcPr>
            <w:tcW w:w="78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 xml:space="preserve"> Award </w:t>
            </w:r>
          </w:p>
        </w:tc>
        <w:tc>
          <w:tcPr>
            <w:tcW w:w="1680" w:type="dxa"/>
            <w:vAlign w:val="bottom"/>
            <w:gridSpan w:val="2"/>
            <w:shd w:val="clear" w:color="auto" w:fill="3E8EDE"/>
          </w:tcPr>
          <w:p>
            <w:pPr>
              <w:jc w:val="center"/>
              <w:ind w:right="240"/>
              <w:spacing w:after="0" w:line="130" w:lineRule="exact"/>
              <w:rPr>
                <w:sz w:val="20"/>
                <w:szCs w:val="20"/>
                <w:color w:val="auto"/>
              </w:rPr>
            </w:pPr>
            <w:r>
              <w:rPr>
                <w:rFonts w:ascii="Arial" w:cs="Arial" w:eastAsia="Arial" w:hAnsi="Arial"/>
                <w:sz w:val="12"/>
                <w:szCs w:val="12"/>
                <w:b w:val="1"/>
                <w:bCs w:val="1"/>
                <w:color w:val="FFFFFF"/>
                <w:w w:val="99"/>
              </w:rPr>
              <w:t>of Stock That</w:t>
            </w:r>
          </w:p>
        </w:tc>
        <w:tc>
          <w:tcPr>
            <w:tcW w:w="1460" w:type="dxa"/>
            <w:vAlign w:val="bottom"/>
            <w:shd w:val="clear" w:color="auto" w:fill="3E8EDE"/>
          </w:tcPr>
          <w:p>
            <w:pPr>
              <w:jc w:val="center"/>
              <w:ind w:right="140"/>
              <w:spacing w:after="0" w:line="130" w:lineRule="exact"/>
              <w:rPr>
                <w:sz w:val="20"/>
                <w:szCs w:val="20"/>
                <w:color w:val="auto"/>
              </w:rPr>
            </w:pPr>
            <w:r>
              <w:rPr>
                <w:rFonts w:ascii="Arial" w:cs="Arial" w:eastAsia="Arial" w:hAnsi="Arial"/>
                <w:sz w:val="12"/>
                <w:szCs w:val="12"/>
                <w:b w:val="1"/>
                <w:bCs w:val="1"/>
                <w:color w:val="FFFFFF"/>
              </w:rPr>
              <w:t>Stock That Have</w:t>
            </w:r>
          </w:p>
        </w:tc>
        <w:tc>
          <w:tcPr>
            <w:tcW w:w="0" w:type="dxa"/>
            <w:vAlign w:val="bottom"/>
          </w:tcPr>
          <w:p>
            <w:pPr>
              <w:spacing w:after="0"/>
              <w:rPr>
                <w:sz w:val="1"/>
                <w:szCs w:val="1"/>
                <w:color w:val="auto"/>
              </w:rPr>
            </w:pPr>
          </w:p>
        </w:tc>
      </w:tr>
      <w:tr>
        <w:trPr>
          <w:trHeight w:val="130"/>
        </w:trPr>
        <w:tc>
          <w:tcPr>
            <w:tcW w:w="1400" w:type="dxa"/>
            <w:vAlign w:val="bottom"/>
            <w:tcBorders>
              <w:right w:val="single" w:sz="8" w:color="3E8EDE"/>
            </w:tcBorders>
            <w:vMerge w:val="restart"/>
            <w:shd w:val="clear" w:color="auto" w:fill="3E8EDE"/>
          </w:tcPr>
          <w:p>
            <w:pPr>
              <w:ind w:left="520"/>
              <w:spacing w:after="0"/>
              <w:rPr>
                <w:sz w:val="20"/>
                <w:szCs w:val="20"/>
                <w:color w:val="auto"/>
              </w:rPr>
            </w:pPr>
            <w:r>
              <w:rPr>
                <w:rFonts w:ascii="Arial" w:cs="Arial" w:eastAsia="Arial" w:hAnsi="Arial"/>
                <w:sz w:val="12"/>
                <w:szCs w:val="12"/>
                <w:b w:val="1"/>
                <w:bCs w:val="1"/>
                <w:color w:val="FFFFFF"/>
              </w:rPr>
              <w:t>Name</w:t>
            </w:r>
          </w:p>
        </w:tc>
        <w:tc>
          <w:tcPr>
            <w:tcW w:w="78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w w:val="99"/>
              </w:rPr>
              <w:t>Grant</w:t>
            </w:r>
          </w:p>
        </w:tc>
        <w:tc>
          <w:tcPr>
            <w:tcW w:w="126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Options (#)</w:t>
            </w:r>
          </w:p>
        </w:tc>
        <w:tc>
          <w:tcPr>
            <w:tcW w:w="136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Options (#)</w:t>
            </w:r>
          </w:p>
        </w:tc>
        <w:tc>
          <w:tcPr>
            <w:tcW w:w="104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 xml:space="preserve"> Exercise </w:t>
            </w:r>
          </w:p>
        </w:tc>
        <w:tc>
          <w:tcPr>
            <w:tcW w:w="80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 xml:space="preserve"> Expiration </w:t>
            </w:r>
          </w:p>
        </w:tc>
        <w:tc>
          <w:tcPr>
            <w:tcW w:w="78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w w:val="99"/>
              </w:rPr>
              <w:t>Grant</w:t>
            </w:r>
          </w:p>
        </w:tc>
        <w:tc>
          <w:tcPr>
            <w:tcW w:w="1680" w:type="dxa"/>
            <w:vAlign w:val="bottom"/>
            <w:gridSpan w:val="2"/>
            <w:shd w:val="clear" w:color="auto" w:fill="3E8EDE"/>
          </w:tcPr>
          <w:p>
            <w:pPr>
              <w:jc w:val="center"/>
              <w:ind w:right="240"/>
              <w:spacing w:after="0" w:line="130" w:lineRule="exact"/>
              <w:rPr>
                <w:sz w:val="20"/>
                <w:szCs w:val="20"/>
                <w:color w:val="auto"/>
              </w:rPr>
            </w:pPr>
            <w:r>
              <w:rPr>
                <w:rFonts w:ascii="Arial" w:cs="Arial" w:eastAsia="Arial" w:hAnsi="Arial"/>
                <w:sz w:val="12"/>
                <w:szCs w:val="12"/>
                <w:b w:val="1"/>
                <w:bCs w:val="1"/>
                <w:color w:val="FFFFFF"/>
                <w:w w:val="99"/>
              </w:rPr>
              <w:t>Have Not</w:t>
            </w:r>
          </w:p>
        </w:tc>
        <w:tc>
          <w:tcPr>
            <w:tcW w:w="1460" w:type="dxa"/>
            <w:vAlign w:val="bottom"/>
            <w:shd w:val="clear" w:color="auto" w:fill="3E8EDE"/>
          </w:tcPr>
          <w:p>
            <w:pPr>
              <w:jc w:val="center"/>
              <w:ind w:right="140"/>
              <w:spacing w:after="0" w:line="130" w:lineRule="exact"/>
              <w:rPr>
                <w:sz w:val="20"/>
                <w:szCs w:val="20"/>
                <w:color w:val="auto"/>
              </w:rPr>
            </w:pPr>
            <w:r>
              <w:rPr>
                <w:rFonts w:ascii="Arial" w:cs="Arial" w:eastAsia="Arial" w:hAnsi="Arial"/>
                <w:sz w:val="12"/>
                <w:szCs w:val="12"/>
                <w:b w:val="1"/>
                <w:bCs w:val="1"/>
                <w:color w:val="FFFFFF"/>
                <w:w w:val="98"/>
              </w:rPr>
              <w:t>Not Vested</w:t>
            </w:r>
          </w:p>
        </w:tc>
        <w:tc>
          <w:tcPr>
            <w:tcW w:w="0" w:type="dxa"/>
            <w:vAlign w:val="bottom"/>
          </w:tcPr>
          <w:p>
            <w:pPr>
              <w:spacing w:after="0"/>
              <w:rPr>
                <w:sz w:val="1"/>
                <w:szCs w:val="1"/>
                <w:color w:val="auto"/>
              </w:rPr>
            </w:pPr>
          </w:p>
        </w:tc>
      </w:tr>
      <w:tr>
        <w:trPr>
          <w:trHeight w:val="186"/>
        </w:trPr>
        <w:tc>
          <w:tcPr>
            <w:tcW w:w="1400" w:type="dxa"/>
            <w:vAlign w:val="bottom"/>
            <w:tcBorders>
              <w:right w:val="single" w:sz="8" w:color="3E8EDE"/>
            </w:tcBorders>
            <w:vMerge w:val="continue"/>
            <w:shd w:val="clear" w:color="auto" w:fill="3E8EDE"/>
          </w:tcPr>
          <w:p>
            <w:pPr>
              <w:spacing w:after="0"/>
              <w:rPr>
                <w:sz w:val="16"/>
                <w:szCs w:val="16"/>
                <w:color w:val="auto"/>
              </w:rPr>
            </w:pPr>
          </w:p>
        </w:tc>
        <w:tc>
          <w:tcPr>
            <w:tcW w:w="78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2"/>
                <w:szCs w:val="12"/>
                <w:b w:val="1"/>
                <w:bCs w:val="1"/>
                <w:color w:val="FFFFFF"/>
                <w:w w:val="99"/>
              </w:rPr>
              <w:t>Date</w:t>
            </w:r>
          </w:p>
        </w:tc>
        <w:tc>
          <w:tcPr>
            <w:tcW w:w="126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2"/>
                <w:szCs w:val="12"/>
                <w:b w:val="1"/>
                <w:bCs w:val="1"/>
                <w:color w:val="FFFFFF"/>
              </w:rPr>
              <w:t>Exercisable</w:t>
            </w:r>
          </w:p>
        </w:tc>
        <w:tc>
          <w:tcPr>
            <w:tcW w:w="136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2"/>
                <w:szCs w:val="12"/>
                <w:b w:val="1"/>
                <w:bCs w:val="1"/>
                <w:color w:val="FFFFFF"/>
              </w:rPr>
              <w:t xml:space="preserve"> Unexercisable </w:t>
            </w:r>
          </w:p>
        </w:tc>
        <w:tc>
          <w:tcPr>
            <w:tcW w:w="104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2"/>
                <w:szCs w:val="12"/>
                <w:b w:val="1"/>
                <w:bCs w:val="1"/>
                <w:color w:val="FFFFFF"/>
                <w:w w:val="97"/>
              </w:rPr>
              <w:t>Price ($)</w:t>
            </w:r>
          </w:p>
        </w:tc>
        <w:tc>
          <w:tcPr>
            <w:tcW w:w="80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2"/>
                <w:szCs w:val="12"/>
                <w:b w:val="1"/>
                <w:bCs w:val="1"/>
                <w:color w:val="FFFFFF"/>
                <w:w w:val="99"/>
              </w:rPr>
              <w:t>Date</w:t>
            </w:r>
          </w:p>
        </w:tc>
        <w:tc>
          <w:tcPr>
            <w:tcW w:w="78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2"/>
                <w:szCs w:val="12"/>
                <w:b w:val="1"/>
                <w:bCs w:val="1"/>
                <w:color w:val="FFFFFF"/>
                <w:w w:val="99"/>
              </w:rPr>
              <w:t>Date</w:t>
            </w:r>
          </w:p>
        </w:tc>
        <w:tc>
          <w:tcPr>
            <w:tcW w:w="1680" w:type="dxa"/>
            <w:vAlign w:val="bottom"/>
            <w:gridSpan w:val="2"/>
            <w:shd w:val="clear" w:color="auto" w:fill="3E8EDE"/>
          </w:tcPr>
          <w:p>
            <w:pPr>
              <w:jc w:val="center"/>
              <w:ind w:right="220"/>
              <w:spacing w:after="0"/>
              <w:rPr>
                <w:sz w:val="20"/>
                <w:szCs w:val="20"/>
                <w:color w:val="auto"/>
              </w:rPr>
            </w:pPr>
            <w:r>
              <w:rPr>
                <w:rFonts w:ascii="Arial" w:cs="Arial" w:eastAsia="Arial" w:hAnsi="Arial"/>
                <w:sz w:val="12"/>
                <w:szCs w:val="12"/>
                <w:b w:val="1"/>
                <w:bCs w:val="1"/>
                <w:color w:val="FFFFFF"/>
              </w:rPr>
              <w:t>Vested (#)</w:t>
            </w:r>
          </w:p>
        </w:tc>
        <w:tc>
          <w:tcPr>
            <w:tcW w:w="1460" w:type="dxa"/>
            <w:vAlign w:val="bottom"/>
            <w:shd w:val="clear" w:color="auto" w:fill="3E8EDE"/>
          </w:tcPr>
          <w:p>
            <w:pPr>
              <w:jc w:val="center"/>
              <w:ind w:right="140"/>
              <w:spacing w:after="0" w:line="186" w:lineRule="exact"/>
              <w:rPr>
                <w:sz w:val="20"/>
                <w:szCs w:val="20"/>
                <w:color w:val="auto"/>
              </w:rPr>
            </w:pPr>
            <w:r>
              <w:rPr>
                <w:rFonts w:ascii="Arial" w:cs="Arial" w:eastAsia="Arial" w:hAnsi="Arial"/>
                <w:sz w:val="12"/>
                <w:szCs w:val="12"/>
                <w:b w:val="1"/>
                <w:bCs w:val="1"/>
                <w:color w:val="FFFFFF"/>
                <w:w w:val="88"/>
              </w:rPr>
              <w:t>($)</w:t>
            </w:r>
            <w:r>
              <w:rPr>
                <w:rFonts w:ascii="Arial" w:cs="Arial" w:eastAsia="Arial" w:hAnsi="Arial"/>
                <w:sz w:val="18"/>
                <w:szCs w:val="18"/>
                <w:b w:val="1"/>
                <w:bCs w:val="1"/>
                <w:color w:val="FFFFFF"/>
                <w:w w:val="88"/>
                <w:vertAlign w:val="superscript"/>
              </w:rPr>
              <w:t>(1)</w:t>
            </w:r>
          </w:p>
        </w:tc>
        <w:tc>
          <w:tcPr>
            <w:tcW w:w="0" w:type="dxa"/>
            <w:vAlign w:val="bottom"/>
          </w:tcPr>
          <w:p>
            <w:pPr>
              <w:spacing w:after="0"/>
              <w:rPr>
                <w:sz w:val="1"/>
                <w:szCs w:val="1"/>
                <w:color w:val="auto"/>
              </w:rPr>
            </w:pPr>
          </w:p>
        </w:tc>
      </w:tr>
      <w:tr>
        <w:trPr>
          <w:trHeight w:val="187"/>
        </w:trPr>
        <w:tc>
          <w:tcPr>
            <w:tcW w:w="1400" w:type="dxa"/>
            <w:vAlign w:val="bottom"/>
            <w:tcBorders>
              <w:bottom w:val="single" w:sz="8" w:color="E2EEFA"/>
              <w:right w:val="single" w:sz="8" w:color="E2EEFA"/>
            </w:tcBorders>
            <w:shd w:val="clear" w:color="auto" w:fill="E2EEFA"/>
          </w:tcPr>
          <w:p>
            <w:pPr>
              <w:spacing w:after="0"/>
              <w:rPr>
                <w:sz w:val="20"/>
                <w:szCs w:val="20"/>
                <w:color w:val="auto"/>
              </w:rPr>
            </w:pPr>
            <w:r>
              <w:rPr>
                <w:rFonts w:ascii="Arial" w:cs="Arial" w:eastAsia="Arial" w:hAnsi="Arial"/>
                <w:sz w:val="12"/>
                <w:szCs w:val="12"/>
                <w:color w:val="auto"/>
              </w:rPr>
              <w:t>  Daniel A. Carestio</w:t>
            </w:r>
          </w:p>
        </w:tc>
        <w:tc>
          <w:tcPr>
            <w:tcW w:w="780" w:type="dxa"/>
            <w:vAlign w:val="bottom"/>
            <w:tcBorders>
              <w:bottom w:val="single" w:sz="8" w:color="E2EEFA"/>
              <w:right w:val="single" w:sz="8" w:color="E2EEFA"/>
            </w:tcBorders>
            <w:shd w:val="clear" w:color="auto" w:fill="E2EEFA"/>
          </w:tcPr>
          <w:p>
            <w:pPr>
              <w:spacing w:after="0"/>
              <w:rPr>
                <w:sz w:val="16"/>
                <w:szCs w:val="16"/>
                <w:color w:val="auto"/>
              </w:rPr>
            </w:pPr>
          </w:p>
        </w:tc>
        <w:tc>
          <w:tcPr>
            <w:tcW w:w="1260" w:type="dxa"/>
            <w:vAlign w:val="bottom"/>
            <w:tcBorders>
              <w:bottom w:val="single" w:sz="8" w:color="E2EEFA"/>
              <w:right w:val="single" w:sz="8" w:color="E2EEFA"/>
            </w:tcBorders>
            <w:shd w:val="clear" w:color="auto" w:fill="E2EEFA"/>
          </w:tcPr>
          <w:p>
            <w:pPr>
              <w:spacing w:after="0"/>
              <w:rPr>
                <w:sz w:val="16"/>
                <w:szCs w:val="16"/>
                <w:color w:val="auto"/>
              </w:rPr>
            </w:pPr>
          </w:p>
        </w:tc>
        <w:tc>
          <w:tcPr>
            <w:tcW w:w="1360" w:type="dxa"/>
            <w:vAlign w:val="bottom"/>
            <w:tcBorders>
              <w:bottom w:val="single" w:sz="8" w:color="E2EEFA"/>
              <w:right w:val="single" w:sz="8" w:color="E2EEFA"/>
            </w:tcBorders>
            <w:shd w:val="clear" w:color="auto" w:fill="E2EEFA"/>
          </w:tcPr>
          <w:p>
            <w:pPr>
              <w:spacing w:after="0"/>
              <w:rPr>
                <w:sz w:val="16"/>
                <w:szCs w:val="16"/>
                <w:color w:val="auto"/>
              </w:rPr>
            </w:pPr>
          </w:p>
        </w:tc>
        <w:tc>
          <w:tcPr>
            <w:tcW w:w="1040" w:type="dxa"/>
            <w:vAlign w:val="bottom"/>
            <w:tcBorders>
              <w:bottom w:val="single" w:sz="8" w:color="E2EEFA"/>
              <w:right w:val="single" w:sz="8" w:color="E2EEFA"/>
            </w:tcBorders>
            <w:shd w:val="clear" w:color="auto" w:fill="E2EEFA"/>
          </w:tcPr>
          <w:p>
            <w:pPr>
              <w:spacing w:after="0"/>
              <w:rPr>
                <w:sz w:val="16"/>
                <w:szCs w:val="16"/>
                <w:color w:val="auto"/>
              </w:rPr>
            </w:pPr>
          </w:p>
        </w:tc>
        <w:tc>
          <w:tcPr>
            <w:tcW w:w="800" w:type="dxa"/>
            <w:vAlign w:val="bottom"/>
            <w:tcBorders>
              <w:bottom w:val="single" w:sz="8" w:color="E2EEFA"/>
              <w:right w:val="single" w:sz="8" w:color="E2EEFA"/>
            </w:tcBorders>
            <w:shd w:val="clear" w:color="auto" w:fill="E2EEFA"/>
          </w:tcPr>
          <w:p>
            <w:pPr>
              <w:spacing w:after="0"/>
              <w:rPr>
                <w:sz w:val="16"/>
                <w:szCs w:val="16"/>
                <w:color w:val="auto"/>
              </w:rPr>
            </w:pPr>
          </w:p>
        </w:tc>
        <w:tc>
          <w:tcPr>
            <w:tcW w:w="780" w:type="dxa"/>
            <w:vAlign w:val="bottom"/>
            <w:tcBorders>
              <w:bottom w:val="single" w:sz="8" w:color="E2EEFA"/>
              <w:right w:val="single" w:sz="8" w:color="E2EEFA"/>
            </w:tcBorders>
            <w:shd w:val="clear" w:color="auto" w:fill="E2EEFA"/>
          </w:tcPr>
          <w:p>
            <w:pPr>
              <w:spacing w:after="0"/>
              <w:rPr>
                <w:sz w:val="16"/>
                <w:szCs w:val="16"/>
                <w:color w:val="auto"/>
              </w:rPr>
            </w:pPr>
          </w:p>
        </w:tc>
        <w:tc>
          <w:tcPr>
            <w:tcW w:w="1440" w:type="dxa"/>
            <w:vAlign w:val="bottom"/>
            <w:tcBorders>
              <w:bottom w:val="single" w:sz="8" w:color="E2EEFA"/>
              <w:right w:val="single" w:sz="8" w:color="E2EEFA"/>
            </w:tcBorders>
            <w:shd w:val="clear" w:color="auto" w:fill="E2EEFA"/>
          </w:tcPr>
          <w:p>
            <w:pPr>
              <w:spacing w:after="0"/>
              <w:rPr>
                <w:sz w:val="16"/>
                <w:szCs w:val="16"/>
                <w:color w:val="auto"/>
              </w:rPr>
            </w:pPr>
          </w:p>
        </w:tc>
        <w:tc>
          <w:tcPr>
            <w:tcW w:w="240" w:type="dxa"/>
            <w:vAlign w:val="bottom"/>
            <w:tcBorders>
              <w:bottom w:val="single" w:sz="8" w:color="E2EEFA"/>
            </w:tcBorders>
            <w:shd w:val="clear" w:color="auto" w:fill="E2EEFA"/>
          </w:tcPr>
          <w:p>
            <w:pPr>
              <w:spacing w:after="0"/>
              <w:rPr>
                <w:sz w:val="16"/>
                <w:szCs w:val="16"/>
                <w:color w:val="auto"/>
              </w:rPr>
            </w:pPr>
          </w:p>
        </w:tc>
        <w:tc>
          <w:tcPr>
            <w:tcW w:w="1460" w:type="dxa"/>
            <w:vAlign w:val="bottom"/>
            <w:tcBorders>
              <w:bottom w:val="single" w:sz="8" w:color="E2EEFA"/>
            </w:tcBorders>
            <w:shd w:val="clear" w:color="auto" w:fill="E2EEFA"/>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400" w:type="dxa"/>
            <w:vAlign w:val="bottom"/>
            <w:tcBorders>
              <w:right w:val="single" w:sz="8" w:color="B2B2B2"/>
            </w:tcBorders>
          </w:tcPr>
          <w:p>
            <w:pPr>
              <w:spacing w:after="0"/>
              <w:rPr>
                <w:sz w:val="14"/>
                <w:szCs w:val="14"/>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5/30/2017</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4,500</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77.07</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5/30/2027</w:t>
            </w:r>
          </w:p>
        </w:tc>
        <w:tc>
          <w:tcPr>
            <w:tcW w:w="780" w:type="dxa"/>
            <w:vAlign w:val="bottom"/>
            <w:tcBorders>
              <w:right w:val="single" w:sz="8" w:color="B2B2B2"/>
            </w:tcBorders>
          </w:tcPr>
          <w:p>
            <w:pPr>
              <w:spacing w:after="0"/>
              <w:rPr>
                <w:sz w:val="14"/>
                <w:szCs w:val="14"/>
                <w:color w:val="auto"/>
              </w:rPr>
            </w:pPr>
          </w:p>
        </w:tc>
        <w:tc>
          <w:tcPr>
            <w:tcW w:w="1440" w:type="dxa"/>
            <w:vAlign w:val="bottom"/>
            <w:tcBorders>
              <w:right w:val="single" w:sz="8" w:color="B2B2B2"/>
            </w:tcBorders>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5/31/2018</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29,864</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114.22</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5/31/2028</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10/01/2018</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9,468</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125.58</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10/01/2028</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5/31/2019</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28,868</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147.05</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5/31/2029</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6/01/2020</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26,776</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182.22</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6/01/2030</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6/02/2021</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59,316</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210.30</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6/02/2031</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10/01/2021</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18,920</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228.36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10/01/2031</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6/02/2022</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59,961</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19,987</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250.06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6/02/2032</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5/31/2023</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44,904</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44,904</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219.97</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5/31/2033</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6/04/2024</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20,386</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61,158</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251.34</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6/04/2034</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6/03/2025</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0</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63,328</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267.66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6/03/2035</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6/02/2022</w:t>
            </w:r>
          </w:p>
        </w:tc>
        <w:tc>
          <w:tcPr>
            <w:tcW w:w="144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2,369</w:t>
            </w:r>
          </w:p>
        </w:tc>
        <w:tc>
          <w:tcPr>
            <w:tcW w:w="240" w:type="dxa"/>
            <w:vAlign w:val="bottom"/>
          </w:tcPr>
          <w:p>
            <w:pPr>
              <w:spacing w:after="0"/>
              <w:rPr>
                <w:sz w:val="13"/>
                <w:szCs w:val="13"/>
                <w:color w:val="auto"/>
              </w:rPr>
            </w:pPr>
          </w:p>
        </w:tc>
        <w:tc>
          <w:tcPr>
            <w:tcW w:w="1460" w:type="dxa"/>
            <w:vAlign w:val="bottom"/>
          </w:tcPr>
          <w:p>
            <w:pPr>
              <w:jc w:val="right"/>
              <w:ind w:right="480"/>
              <w:spacing w:after="0"/>
              <w:rPr>
                <w:sz w:val="20"/>
                <w:szCs w:val="20"/>
                <w:color w:val="auto"/>
              </w:rPr>
            </w:pPr>
            <w:r>
              <w:rPr>
                <w:rFonts w:ascii="Arial" w:cs="Arial" w:eastAsia="Arial" w:hAnsi="Arial"/>
                <w:sz w:val="12"/>
                <w:szCs w:val="12"/>
                <w:color w:val="auto"/>
              </w:rPr>
              <w:t>523,857</w:t>
            </w: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5/31/2023</w:t>
            </w:r>
          </w:p>
        </w:tc>
        <w:tc>
          <w:tcPr>
            <w:tcW w:w="144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4,308</w:t>
            </w:r>
          </w:p>
        </w:tc>
        <w:tc>
          <w:tcPr>
            <w:tcW w:w="240" w:type="dxa"/>
            <w:vAlign w:val="bottom"/>
          </w:tcPr>
          <w:p>
            <w:pPr>
              <w:spacing w:after="0"/>
              <w:rPr>
                <w:sz w:val="13"/>
                <w:szCs w:val="13"/>
                <w:color w:val="auto"/>
              </w:rPr>
            </w:pPr>
          </w:p>
        </w:tc>
        <w:tc>
          <w:tcPr>
            <w:tcW w:w="1460" w:type="dxa"/>
            <w:vAlign w:val="bottom"/>
          </w:tcPr>
          <w:p>
            <w:pPr>
              <w:jc w:val="right"/>
              <w:ind w:right="480"/>
              <w:spacing w:after="0"/>
              <w:rPr>
                <w:sz w:val="20"/>
                <w:szCs w:val="20"/>
                <w:color w:val="auto"/>
              </w:rPr>
            </w:pPr>
            <w:r>
              <w:rPr>
                <w:rFonts w:ascii="Arial" w:cs="Arial" w:eastAsia="Arial" w:hAnsi="Arial"/>
                <w:sz w:val="12"/>
                <w:szCs w:val="12"/>
                <w:color w:val="auto"/>
              </w:rPr>
              <w:t>952,628</w:t>
            </w: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6/04/2024</w:t>
            </w:r>
          </w:p>
        </w:tc>
        <w:tc>
          <w:tcPr>
            <w:tcW w:w="144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8,566</w:t>
            </w:r>
          </w:p>
        </w:tc>
        <w:tc>
          <w:tcPr>
            <w:tcW w:w="240" w:type="dxa"/>
            <w:vAlign w:val="bottom"/>
          </w:tcPr>
          <w:p>
            <w:pPr>
              <w:spacing w:after="0"/>
              <w:rPr>
                <w:sz w:val="13"/>
                <w:szCs w:val="13"/>
                <w:color w:val="auto"/>
              </w:rPr>
            </w:pPr>
          </w:p>
        </w:tc>
        <w:tc>
          <w:tcPr>
            <w:tcW w:w="1460" w:type="dxa"/>
            <w:vAlign w:val="bottom"/>
          </w:tcPr>
          <w:p>
            <w:pPr>
              <w:jc w:val="right"/>
              <w:ind w:right="480"/>
              <w:spacing w:after="0"/>
              <w:rPr>
                <w:sz w:val="20"/>
                <w:szCs w:val="20"/>
                <w:color w:val="auto"/>
              </w:rPr>
            </w:pPr>
            <w:r>
              <w:rPr>
                <w:rFonts w:ascii="Arial" w:cs="Arial" w:eastAsia="Arial" w:hAnsi="Arial"/>
                <w:sz w:val="12"/>
                <w:szCs w:val="12"/>
                <w:color w:val="auto"/>
              </w:rPr>
              <w:t>1,894,200</w:t>
            </w: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400" w:type="dxa"/>
            <w:vAlign w:val="bottom"/>
            <w:tcBorders>
              <w:right w:val="single" w:sz="8" w:color="B2B2B2"/>
            </w:tcBorders>
          </w:tcPr>
          <w:p>
            <w:pPr>
              <w:spacing w:after="0"/>
              <w:rPr>
                <w:sz w:val="16"/>
                <w:szCs w:val="16"/>
                <w:color w:val="auto"/>
              </w:rPr>
            </w:pPr>
          </w:p>
        </w:tc>
        <w:tc>
          <w:tcPr>
            <w:tcW w:w="780" w:type="dxa"/>
            <w:vAlign w:val="bottom"/>
            <w:tcBorders>
              <w:right w:val="single" w:sz="8" w:color="B2B2B2"/>
            </w:tcBorders>
          </w:tcPr>
          <w:p>
            <w:pPr>
              <w:spacing w:after="0"/>
              <w:rPr>
                <w:sz w:val="16"/>
                <w:szCs w:val="16"/>
                <w:color w:val="auto"/>
              </w:rPr>
            </w:pPr>
          </w:p>
        </w:tc>
        <w:tc>
          <w:tcPr>
            <w:tcW w:w="1260" w:type="dxa"/>
            <w:vAlign w:val="bottom"/>
            <w:tcBorders>
              <w:right w:val="single" w:sz="8" w:color="B2B2B2"/>
            </w:tcBorders>
          </w:tcPr>
          <w:p>
            <w:pPr>
              <w:spacing w:after="0"/>
              <w:rPr>
                <w:sz w:val="16"/>
                <w:szCs w:val="16"/>
                <w:color w:val="auto"/>
              </w:rPr>
            </w:pPr>
          </w:p>
        </w:tc>
        <w:tc>
          <w:tcPr>
            <w:tcW w:w="1360" w:type="dxa"/>
            <w:vAlign w:val="bottom"/>
            <w:tcBorders>
              <w:right w:val="single" w:sz="8" w:color="B2B2B2"/>
            </w:tcBorders>
          </w:tcPr>
          <w:p>
            <w:pPr>
              <w:spacing w:after="0"/>
              <w:rPr>
                <w:sz w:val="16"/>
                <w:szCs w:val="16"/>
                <w:color w:val="auto"/>
              </w:rPr>
            </w:pPr>
          </w:p>
        </w:tc>
        <w:tc>
          <w:tcPr>
            <w:tcW w:w="1040" w:type="dxa"/>
            <w:vAlign w:val="bottom"/>
            <w:tcBorders>
              <w:right w:val="single" w:sz="8" w:color="B2B2B2"/>
            </w:tcBorders>
          </w:tcPr>
          <w:p>
            <w:pPr>
              <w:spacing w:after="0"/>
              <w:rPr>
                <w:sz w:val="16"/>
                <w:szCs w:val="16"/>
                <w:color w:val="auto"/>
              </w:rPr>
            </w:pPr>
          </w:p>
        </w:tc>
        <w:tc>
          <w:tcPr>
            <w:tcW w:w="800" w:type="dxa"/>
            <w:vAlign w:val="bottom"/>
            <w:tcBorders>
              <w:right w:val="single" w:sz="8" w:color="B2B2B2"/>
            </w:tcBorders>
          </w:tcPr>
          <w:p>
            <w:pPr>
              <w:spacing w:after="0"/>
              <w:rPr>
                <w:sz w:val="16"/>
                <w:szCs w:val="16"/>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6/03/2025</w:t>
            </w:r>
          </w:p>
        </w:tc>
        <w:tc>
          <w:tcPr>
            <w:tcW w:w="144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17,811</w:t>
            </w:r>
          </w:p>
        </w:tc>
        <w:tc>
          <w:tcPr>
            <w:tcW w:w="240" w:type="dxa"/>
            <w:vAlign w:val="bottom"/>
          </w:tcPr>
          <w:p>
            <w:pPr>
              <w:spacing w:after="0"/>
              <w:rPr>
                <w:sz w:val="16"/>
                <w:szCs w:val="16"/>
                <w:color w:val="auto"/>
              </w:rPr>
            </w:pPr>
          </w:p>
        </w:tc>
        <w:tc>
          <w:tcPr>
            <w:tcW w:w="1460" w:type="dxa"/>
            <w:vAlign w:val="bottom"/>
          </w:tcPr>
          <w:p>
            <w:pPr>
              <w:jc w:val="right"/>
              <w:ind w:right="480"/>
              <w:spacing w:after="0"/>
              <w:rPr>
                <w:sz w:val="20"/>
                <w:szCs w:val="20"/>
                <w:color w:val="auto"/>
              </w:rPr>
            </w:pPr>
            <w:r>
              <w:rPr>
                <w:rFonts w:ascii="Arial" w:cs="Arial" w:eastAsia="Arial" w:hAnsi="Arial"/>
                <w:sz w:val="12"/>
                <w:szCs w:val="12"/>
                <w:color w:val="auto"/>
              </w:rPr>
              <w:t>3,938,546</w:t>
            </w:r>
          </w:p>
        </w:tc>
        <w:tc>
          <w:tcPr>
            <w:tcW w:w="0" w:type="dxa"/>
            <w:vAlign w:val="bottom"/>
          </w:tcPr>
          <w:p>
            <w:pPr>
              <w:spacing w:after="0"/>
              <w:rPr>
                <w:sz w:val="1"/>
                <w:szCs w:val="1"/>
                <w:color w:val="auto"/>
              </w:rPr>
            </w:pPr>
          </w:p>
        </w:tc>
      </w:tr>
      <w:tr>
        <w:trPr>
          <w:trHeight w:val="174"/>
        </w:trPr>
        <w:tc>
          <w:tcPr>
            <w:tcW w:w="1400" w:type="dxa"/>
            <w:vAlign w:val="bottom"/>
            <w:tcBorders>
              <w:bottom w:val="single" w:sz="8" w:color="E2EEFA"/>
              <w:right w:val="single" w:sz="8" w:color="E2EEFA"/>
            </w:tcBorders>
            <w:shd w:val="clear" w:color="auto" w:fill="E2EEFA"/>
          </w:tcPr>
          <w:p>
            <w:pPr>
              <w:spacing w:after="0"/>
              <w:rPr>
                <w:sz w:val="20"/>
                <w:szCs w:val="20"/>
                <w:color w:val="auto"/>
              </w:rPr>
            </w:pPr>
            <w:r>
              <w:rPr>
                <w:rFonts w:ascii="Arial" w:cs="Arial" w:eastAsia="Arial" w:hAnsi="Arial"/>
                <w:sz w:val="12"/>
                <w:szCs w:val="12"/>
                <w:color w:val="auto"/>
              </w:rPr>
              <w:t>  Karen L. Burton</w:t>
            </w:r>
          </w:p>
        </w:tc>
        <w:tc>
          <w:tcPr>
            <w:tcW w:w="780" w:type="dxa"/>
            <w:vAlign w:val="bottom"/>
            <w:tcBorders>
              <w:bottom w:val="single" w:sz="8" w:color="E2EEFA"/>
              <w:right w:val="single" w:sz="8" w:color="E2EEFA"/>
            </w:tcBorders>
            <w:shd w:val="clear" w:color="auto" w:fill="E2EEFA"/>
          </w:tcPr>
          <w:p>
            <w:pPr>
              <w:spacing w:after="0"/>
              <w:rPr>
                <w:sz w:val="15"/>
                <w:szCs w:val="15"/>
                <w:color w:val="auto"/>
              </w:rPr>
            </w:pPr>
          </w:p>
        </w:tc>
        <w:tc>
          <w:tcPr>
            <w:tcW w:w="1260" w:type="dxa"/>
            <w:vAlign w:val="bottom"/>
            <w:tcBorders>
              <w:bottom w:val="single" w:sz="8" w:color="E2EEFA"/>
              <w:right w:val="single" w:sz="8" w:color="E2EEFA"/>
            </w:tcBorders>
            <w:shd w:val="clear" w:color="auto" w:fill="E2EEFA"/>
          </w:tcPr>
          <w:p>
            <w:pPr>
              <w:spacing w:after="0"/>
              <w:rPr>
                <w:sz w:val="15"/>
                <w:szCs w:val="15"/>
                <w:color w:val="auto"/>
              </w:rPr>
            </w:pPr>
          </w:p>
        </w:tc>
        <w:tc>
          <w:tcPr>
            <w:tcW w:w="1360" w:type="dxa"/>
            <w:vAlign w:val="bottom"/>
            <w:tcBorders>
              <w:bottom w:val="single" w:sz="8" w:color="E2EEFA"/>
              <w:right w:val="single" w:sz="8" w:color="E2EEFA"/>
            </w:tcBorders>
            <w:shd w:val="clear" w:color="auto" w:fill="E2EEFA"/>
          </w:tcPr>
          <w:p>
            <w:pPr>
              <w:spacing w:after="0"/>
              <w:rPr>
                <w:sz w:val="15"/>
                <w:szCs w:val="15"/>
                <w:color w:val="auto"/>
              </w:rPr>
            </w:pPr>
          </w:p>
        </w:tc>
        <w:tc>
          <w:tcPr>
            <w:tcW w:w="1040" w:type="dxa"/>
            <w:vAlign w:val="bottom"/>
            <w:tcBorders>
              <w:bottom w:val="single" w:sz="8" w:color="E2EEFA"/>
              <w:right w:val="single" w:sz="8" w:color="E2EEFA"/>
            </w:tcBorders>
            <w:shd w:val="clear" w:color="auto" w:fill="E2EEFA"/>
          </w:tcPr>
          <w:p>
            <w:pPr>
              <w:spacing w:after="0"/>
              <w:rPr>
                <w:sz w:val="15"/>
                <w:szCs w:val="15"/>
                <w:color w:val="auto"/>
              </w:rPr>
            </w:pPr>
          </w:p>
        </w:tc>
        <w:tc>
          <w:tcPr>
            <w:tcW w:w="800" w:type="dxa"/>
            <w:vAlign w:val="bottom"/>
            <w:tcBorders>
              <w:bottom w:val="single" w:sz="8" w:color="E2EEFA"/>
              <w:right w:val="single" w:sz="8" w:color="E2EEFA"/>
            </w:tcBorders>
            <w:shd w:val="clear" w:color="auto" w:fill="E2EEFA"/>
          </w:tcPr>
          <w:p>
            <w:pPr>
              <w:spacing w:after="0"/>
              <w:rPr>
                <w:sz w:val="15"/>
                <w:szCs w:val="15"/>
                <w:color w:val="auto"/>
              </w:rPr>
            </w:pPr>
          </w:p>
        </w:tc>
        <w:tc>
          <w:tcPr>
            <w:tcW w:w="780" w:type="dxa"/>
            <w:vAlign w:val="bottom"/>
            <w:tcBorders>
              <w:bottom w:val="single" w:sz="8" w:color="E2EEFA"/>
              <w:right w:val="single" w:sz="8" w:color="E2EEFA"/>
            </w:tcBorders>
            <w:shd w:val="clear" w:color="auto" w:fill="E2EEFA"/>
          </w:tcPr>
          <w:p>
            <w:pPr>
              <w:spacing w:after="0"/>
              <w:rPr>
                <w:sz w:val="15"/>
                <w:szCs w:val="15"/>
                <w:color w:val="auto"/>
              </w:rPr>
            </w:pPr>
          </w:p>
        </w:tc>
        <w:tc>
          <w:tcPr>
            <w:tcW w:w="1440" w:type="dxa"/>
            <w:vAlign w:val="bottom"/>
            <w:tcBorders>
              <w:bottom w:val="single" w:sz="8" w:color="E2EEFA"/>
              <w:right w:val="single" w:sz="8" w:color="E2EEFA"/>
            </w:tcBorders>
            <w:shd w:val="clear" w:color="auto" w:fill="E2EEFA"/>
          </w:tcPr>
          <w:p>
            <w:pPr>
              <w:spacing w:after="0"/>
              <w:rPr>
                <w:sz w:val="15"/>
                <w:szCs w:val="15"/>
                <w:color w:val="auto"/>
              </w:rPr>
            </w:pPr>
          </w:p>
        </w:tc>
        <w:tc>
          <w:tcPr>
            <w:tcW w:w="240" w:type="dxa"/>
            <w:vAlign w:val="bottom"/>
            <w:tcBorders>
              <w:bottom w:val="single" w:sz="8" w:color="E2EEFA"/>
            </w:tcBorders>
            <w:shd w:val="clear" w:color="auto" w:fill="E2EEFA"/>
          </w:tcPr>
          <w:p>
            <w:pPr>
              <w:spacing w:after="0"/>
              <w:rPr>
                <w:sz w:val="15"/>
                <w:szCs w:val="15"/>
                <w:color w:val="auto"/>
              </w:rPr>
            </w:pPr>
          </w:p>
        </w:tc>
        <w:tc>
          <w:tcPr>
            <w:tcW w:w="1460" w:type="dxa"/>
            <w:vAlign w:val="bottom"/>
            <w:tcBorders>
              <w:bottom w:val="single" w:sz="8" w:color="E2EEFA"/>
            </w:tcBorders>
            <w:shd w:val="clear" w:color="auto" w:fill="E2EEFA"/>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400" w:type="dxa"/>
            <w:vAlign w:val="bottom"/>
            <w:tcBorders>
              <w:right w:val="single" w:sz="8" w:color="B2B2B2"/>
            </w:tcBorders>
          </w:tcPr>
          <w:p>
            <w:pPr>
              <w:spacing w:after="0"/>
              <w:rPr>
                <w:sz w:val="14"/>
                <w:szCs w:val="14"/>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5/31/2019</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5,880</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147.05</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5/31/2029</w:t>
            </w:r>
          </w:p>
        </w:tc>
        <w:tc>
          <w:tcPr>
            <w:tcW w:w="780" w:type="dxa"/>
            <w:vAlign w:val="bottom"/>
            <w:tcBorders>
              <w:right w:val="single" w:sz="8" w:color="B2B2B2"/>
            </w:tcBorders>
          </w:tcPr>
          <w:p>
            <w:pPr>
              <w:spacing w:after="0"/>
              <w:rPr>
                <w:sz w:val="14"/>
                <w:szCs w:val="14"/>
                <w:color w:val="auto"/>
              </w:rPr>
            </w:pPr>
          </w:p>
        </w:tc>
        <w:tc>
          <w:tcPr>
            <w:tcW w:w="1440" w:type="dxa"/>
            <w:vAlign w:val="bottom"/>
            <w:tcBorders>
              <w:right w:val="single" w:sz="8" w:color="B2B2B2"/>
            </w:tcBorders>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6/01/2020</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4,780</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182.22</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6/01/2030</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6/02/2021</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4,148</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210.30</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6/02/2031</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10/01/2021</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1,892</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228.36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10/01/2031</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6/02/2022</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3,075</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1,025</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250.06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6/02/2032</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5/31/2023</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1,910</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1,910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219.97</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5/31/2033</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6/04/2024</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786</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2,358</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251.34</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6/04/2034</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6/03/2025</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0</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6,944</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267.66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6/03/2035</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10/01/2025</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0</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8,356</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265.43</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10/01/2035</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6/02/2022</w:t>
            </w:r>
          </w:p>
        </w:tc>
        <w:tc>
          <w:tcPr>
            <w:tcW w:w="144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225</w:t>
            </w:r>
          </w:p>
        </w:tc>
        <w:tc>
          <w:tcPr>
            <w:tcW w:w="240" w:type="dxa"/>
            <w:vAlign w:val="bottom"/>
          </w:tcPr>
          <w:p>
            <w:pPr>
              <w:spacing w:after="0"/>
              <w:rPr>
                <w:sz w:val="13"/>
                <w:szCs w:val="13"/>
                <w:color w:val="auto"/>
              </w:rPr>
            </w:pPr>
          </w:p>
        </w:tc>
        <w:tc>
          <w:tcPr>
            <w:tcW w:w="1460" w:type="dxa"/>
            <w:vAlign w:val="bottom"/>
          </w:tcPr>
          <w:p>
            <w:pPr>
              <w:jc w:val="right"/>
              <w:ind w:right="480"/>
              <w:spacing w:after="0"/>
              <w:rPr>
                <w:sz w:val="20"/>
                <w:szCs w:val="20"/>
                <w:color w:val="auto"/>
              </w:rPr>
            </w:pPr>
            <w:r>
              <w:rPr>
                <w:rFonts w:ascii="Arial" w:cs="Arial" w:eastAsia="Arial" w:hAnsi="Arial"/>
                <w:sz w:val="12"/>
                <w:szCs w:val="12"/>
                <w:color w:val="auto"/>
              </w:rPr>
              <w:t>49,754</w:t>
            </w: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5/31/2023</w:t>
            </w:r>
          </w:p>
        </w:tc>
        <w:tc>
          <w:tcPr>
            <w:tcW w:w="144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340</w:t>
            </w:r>
          </w:p>
        </w:tc>
        <w:tc>
          <w:tcPr>
            <w:tcW w:w="240" w:type="dxa"/>
            <w:vAlign w:val="bottom"/>
          </w:tcPr>
          <w:p>
            <w:pPr>
              <w:spacing w:after="0"/>
              <w:rPr>
                <w:sz w:val="13"/>
                <w:szCs w:val="13"/>
                <w:color w:val="auto"/>
              </w:rPr>
            </w:pPr>
          </w:p>
        </w:tc>
        <w:tc>
          <w:tcPr>
            <w:tcW w:w="1460" w:type="dxa"/>
            <w:vAlign w:val="bottom"/>
          </w:tcPr>
          <w:p>
            <w:pPr>
              <w:jc w:val="right"/>
              <w:ind w:right="480"/>
              <w:spacing w:after="0"/>
              <w:rPr>
                <w:sz w:val="20"/>
                <w:szCs w:val="20"/>
                <w:color w:val="auto"/>
              </w:rPr>
            </w:pPr>
            <w:r>
              <w:rPr>
                <w:rFonts w:ascii="Arial" w:cs="Arial" w:eastAsia="Arial" w:hAnsi="Arial"/>
                <w:sz w:val="12"/>
                <w:szCs w:val="12"/>
                <w:color w:val="auto"/>
              </w:rPr>
              <w:t>75,184</w:t>
            </w: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6/04/2024</w:t>
            </w:r>
          </w:p>
        </w:tc>
        <w:tc>
          <w:tcPr>
            <w:tcW w:w="144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612</w:t>
            </w:r>
          </w:p>
        </w:tc>
        <w:tc>
          <w:tcPr>
            <w:tcW w:w="240" w:type="dxa"/>
            <w:vAlign w:val="bottom"/>
          </w:tcPr>
          <w:p>
            <w:pPr>
              <w:spacing w:after="0"/>
              <w:rPr>
                <w:sz w:val="13"/>
                <w:szCs w:val="13"/>
                <w:color w:val="auto"/>
              </w:rPr>
            </w:pPr>
          </w:p>
        </w:tc>
        <w:tc>
          <w:tcPr>
            <w:tcW w:w="1460" w:type="dxa"/>
            <w:vAlign w:val="bottom"/>
          </w:tcPr>
          <w:p>
            <w:pPr>
              <w:jc w:val="right"/>
              <w:ind w:right="480"/>
              <w:spacing w:after="0"/>
              <w:rPr>
                <w:sz w:val="20"/>
                <w:szCs w:val="20"/>
                <w:color w:val="auto"/>
              </w:rPr>
            </w:pPr>
            <w:r>
              <w:rPr>
                <w:rFonts w:ascii="Arial" w:cs="Arial" w:eastAsia="Arial" w:hAnsi="Arial"/>
                <w:sz w:val="12"/>
                <w:szCs w:val="12"/>
                <w:color w:val="auto"/>
              </w:rPr>
              <w:t>135,332</w:t>
            </w: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6/03/2025</w:t>
            </w:r>
          </w:p>
        </w:tc>
        <w:tc>
          <w:tcPr>
            <w:tcW w:w="144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1,953</w:t>
            </w:r>
          </w:p>
        </w:tc>
        <w:tc>
          <w:tcPr>
            <w:tcW w:w="240" w:type="dxa"/>
            <w:vAlign w:val="bottom"/>
          </w:tcPr>
          <w:p>
            <w:pPr>
              <w:spacing w:after="0"/>
              <w:rPr>
                <w:sz w:val="13"/>
                <w:szCs w:val="13"/>
                <w:color w:val="auto"/>
              </w:rPr>
            </w:pPr>
          </w:p>
        </w:tc>
        <w:tc>
          <w:tcPr>
            <w:tcW w:w="1460" w:type="dxa"/>
            <w:vAlign w:val="bottom"/>
          </w:tcPr>
          <w:p>
            <w:pPr>
              <w:jc w:val="right"/>
              <w:ind w:right="480"/>
              <w:spacing w:after="0"/>
              <w:rPr>
                <w:sz w:val="20"/>
                <w:szCs w:val="20"/>
                <w:color w:val="auto"/>
              </w:rPr>
            </w:pPr>
            <w:r>
              <w:rPr>
                <w:rFonts w:ascii="Arial" w:cs="Arial" w:eastAsia="Arial" w:hAnsi="Arial"/>
                <w:sz w:val="12"/>
                <w:szCs w:val="12"/>
                <w:color w:val="auto"/>
              </w:rPr>
              <w:t>431,867</w:t>
            </w: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400" w:type="dxa"/>
            <w:vAlign w:val="bottom"/>
            <w:tcBorders>
              <w:right w:val="single" w:sz="8" w:color="B2B2B2"/>
            </w:tcBorders>
          </w:tcPr>
          <w:p>
            <w:pPr>
              <w:spacing w:after="0"/>
              <w:rPr>
                <w:sz w:val="16"/>
                <w:szCs w:val="16"/>
                <w:color w:val="auto"/>
              </w:rPr>
            </w:pPr>
          </w:p>
        </w:tc>
        <w:tc>
          <w:tcPr>
            <w:tcW w:w="780" w:type="dxa"/>
            <w:vAlign w:val="bottom"/>
            <w:tcBorders>
              <w:right w:val="single" w:sz="8" w:color="B2B2B2"/>
            </w:tcBorders>
          </w:tcPr>
          <w:p>
            <w:pPr>
              <w:spacing w:after="0"/>
              <w:rPr>
                <w:sz w:val="16"/>
                <w:szCs w:val="16"/>
                <w:color w:val="auto"/>
              </w:rPr>
            </w:pPr>
          </w:p>
        </w:tc>
        <w:tc>
          <w:tcPr>
            <w:tcW w:w="1260" w:type="dxa"/>
            <w:vAlign w:val="bottom"/>
            <w:tcBorders>
              <w:right w:val="single" w:sz="8" w:color="B2B2B2"/>
            </w:tcBorders>
          </w:tcPr>
          <w:p>
            <w:pPr>
              <w:spacing w:after="0"/>
              <w:rPr>
                <w:sz w:val="16"/>
                <w:szCs w:val="16"/>
                <w:color w:val="auto"/>
              </w:rPr>
            </w:pPr>
          </w:p>
        </w:tc>
        <w:tc>
          <w:tcPr>
            <w:tcW w:w="1360" w:type="dxa"/>
            <w:vAlign w:val="bottom"/>
            <w:tcBorders>
              <w:right w:val="single" w:sz="8" w:color="B2B2B2"/>
            </w:tcBorders>
          </w:tcPr>
          <w:p>
            <w:pPr>
              <w:spacing w:after="0"/>
              <w:rPr>
                <w:sz w:val="16"/>
                <w:szCs w:val="16"/>
                <w:color w:val="auto"/>
              </w:rPr>
            </w:pPr>
          </w:p>
        </w:tc>
        <w:tc>
          <w:tcPr>
            <w:tcW w:w="1040" w:type="dxa"/>
            <w:vAlign w:val="bottom"/>
            <w:tcBorders>
              <w:right w:val="single" w:sz="8" w:color="B2B2B2"/>
            </w:tcBorders>
          </w:tcPr>
          <w:p>
            <w:pPr>
              <w:spacing w:after="0"/>
              <w:rPr>
                <w:sz w:val="16"/>
                <w:szCs w:val="16"/>
                <w:color w:val="auto"/>
              </w:rPr>
            </w:pPr>
          </w:p>
        </w:tc>
        <w:tc>
          <w:tcPr>
            <w:tcW w:w="800" w:type="dxa"/>
            <w:vAlign w:val="bottom"/>
            <w:tcBorders>
              <w:right w:val="single" w:sz="8" w:color="B2B2B2"/>
            </w:tcBorders>
          </w:tcPr>
          <w:p>
            <w:pPr>
              <w:spacing w:after="0"/>
              <w:rPr>
                <w:sz w:val="16"/>
                <w:szCs w:val="16"/>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10/01/2025</w:t>
            </w:r>
          </w:p>
        </w:tc>
        <w:tc>
          <w:tcPr>
            <w:tcW w:w="144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2,349</w:t>
            </w:r>
          </w:p>
        </w:tc>
        <w:tc>
          <w:tcPr>
            <w:tcW w:w="240" w:type="dxa"/>
            <w:vAlign w:val="bottom"/>
          </w:tcPr>
          <w:p>
            <w:pPr>
              <w:spacing w:after="0"/>
              <w:rPr>
                <w:sz w:val="16"/>
                <w:szCs w:val="16"/>
                <w:color w:val="auto"/>
              </w:rPr>
            </w:pPr>
          </w:p>
        </w:tc>
        <w:tc>
          <w:tcPr>
            <w:tcW w:w="1460" w:type="dxa"/>
            <w:vAlign w:val="bottom"/>
          </w:tcPr>
          <w:p>
            <w:pPr>
              <w:jc w:val="right"/>
              <w:ind w:right="480"/>
              <w:spacing w:after="0"/>
              <w:rPr>
                <w:sz w:val="20"/>
                <w:szCs w:val="20"/>
                <w:color w:val="auto"/>
              </w:rPr>
            </w:pPr>
            <w:r>
              <w:rPr>
                <w:rFonts w:ascii="Arial" w:cs="Arial" w:eastAsia="Arial" w:hAnsi="Arial"/>
                <w:sz w:val="12"/>
                <w:szCs w:val="12"/>
                <w:color w:val="auto"/>
              </w:rPr>
              <w:t>519,434</w:t>
            </w:r>
          </w:p>
        </w:tc>
        <w:tc>
          <w:tcPr>
            <w:tcW w:w="0" w:type="dxa"/>
            <w:vAlign w:val="bottom"/>
          </w:tcPr>
          <w:p>
            <w:pPr>
              <w:spacing w:after="0"/>
              <w:rPr>
                <w:sz w:val="1"/>
                <w:szCs w:val="1"/>
                <w:color w:val="auto"/>
              </w:rPr>
            </w:pPr>
          </w:p>
        </w:tc>
      </w:tr>
      <w:tr>
        <w:trPr>
          <w:trHeight w:val="174"/>
        </w:trPr>
        <w:tc>
          <w:tcPr>
            <w:tcW w:w="1400" w:type="dxa"/>
            <w:vAlign w:val="bottom"/>
            <w:tcBorders>
              <w:bottom w:val="single" w:sz="8" w:color="E2EEFA"/>
              <w:right w:val="single" w:sz="8" w:color="E2EEFA"/>
            </w:tcBorders>
            <w:shd w:val="clear" w:color="auto" w:fill="E2EEFA"/>
          </w:tcPr>
          <w:p>
            <w:pPr>
              <w:spacing w:after="0"/>
              <w:rPr>
                <w:sz w:val="20"/>
                <w:szCs w:val="20"/>
                <w:color w:val="auto"/>
              </w:rPr>
            </w:pPr>
            <w:r>
              <w:rPr>
                <w:rFonts w:ascii="Arial" w:cs="Arial" w:eastAsia="Arial" w:hAnsi="Arial"/>
                <w:sz w:val="12"/>
                <w:szCs w:val="12"/>
                <w:color w:val="auto"/>
              </w:rPr>
              <w:t>  Michael J. Tokich</w:t>
            </w:r>
          </w:p>
        </w:tc>
        <w:tc>
          <w:tcPr>
            <w:tcW w:w="780" w:type="dxa"/>
            <w:vAlign w:val="bottom"/>
            <w:tcBorders>
              <w:bottom w:val="single" w:sz="8" w:color="E2EEFA"/>
              <w:right w:val="single" w:sz="8" w:color="E2EEFA"/>
            </w:tcBorders>
            <w:shd w:val="clear" w:color="auto" w:fill="E2EEFA"/>
          </w:tcPr>
          <w:p>
            <w:pPr>
              <w:spacing w:after="0"/>
              <w:rPr>
                <w:sz w:val="15"/>
                <w:szCs w:val="15"/>
                <w:color w:val="auto"/>
              </w:rPr>
            </w:pPr>
          </w:p>
        </w:tc>
        <w:tc>
          <w:tcPr>
            <w:tcW w:w="1260" w:type="dxa"/>
            <w:vAlign w:val="bottom"/>
            <w:tcBorders>
              <w:bottom w:val="single" w:sz="8" w:color="E2EEFA"/>
              <w:right w:val="single" w:sz="8" w:color="E2EEFA"/>
            </w:tcBorders>
            <w:shd w:val="clear" w:color="auto" w:fill="E2EEFA"/>
          </w:tcPr>
          <w:p>
            <w:pPr>
              <w:spacing w:after="0"/>
              <w:rPr>
                <w:sz w:val="15"/>
                <w:szCs w:val="15"/>
                <w:color w:val="auto"/>
              </w:rPr>
            </w:pPr>
          </w:p>
        </w:tc>
        <w:tc>
          <w:tcPr>
            <w:tcW w:w="1360" w:type="dxa"/>
            <w:vAlign w:val="bottom"/>
            <w:tcBorders>
              <w:bottom w:val="single" w:sz="8" w:color="E2EEFA"/>
              <w:right w:val="single" w:sz="8" w:color="E2EEFA"/>
            </w:tcBorders>
            <w:shd w:val="clear" w:color="auto" w:fill="E2EEFA"/>
          </w:tcPr>
          <w:p>
            <w:pPr>
              <w:spacing w:after="0"/>
              <w:rPr>
                <w:sz w:val="15"/>
                <w:szCs w:val="15"/>
                <w:color w:val="auto"/>
              </w:rPr>
            </w:pPr>
          </w:p>
        </w:tc>
        <w:tc>
          <w:tcPr>
            <w:tcW w:w="1040" w:type="dxa"/>
            <w:vAlign w:val="bottom"/>
            <w:tcBorders>
              <w:bottom w:val="single" w:sz="8" w:color="E2EEFA"/>
              <w:right w:val="single" w:sz="8" w:color="E2EEFA"/>
            </w:tcBorders>
            <w:shd w:val="clear" w:color="auto" w:fill="E2EEFA"/>
          </w:tcPr>
          <w:p>
            <w:pPr>
              <w:spacing w:after="0"/>
              <w:rPr>
                <w:sz w:val="15"/>
                <w:szCs w:val="15"/>
                <w:color w:val="auto"/>
              </w:rPr>
            </w:pPr>
          </w:p>
        </w:tc>
        <w:tc>
          <w:tcPr>
            <w:tcW w:w="800" w:type="dxa"/>
            <w:vAlign w:val="bottom"/>
            <w:tcBorders>
              <w:bottom w:val="single" w:sz="8" w:color="E2EEFA"/>
              <w:right w:val="single" w:sz="8" w:color="E2EEFA"/>
            </w:tcBorders>
            <w:shd w:val="clear" w:color="auto" w:fill="E2EEFA"/>
          </w:tcPr>
          <w:p>
            <w:pPr>
              <w:spacing w:after="0"/>
              <w:rPr>
                <w:sz w:val="15"/>
                <w:szCs w:val="15"/>
                <w:color w:val="auto"/>
              </w:rPr>
            </w:pPr>
          </w:p>
        </w:tc>
        <w:tc>
          <w:tcPr>
            <w:tcW w:w="780" w:type="dxa"/>
            <w:vAlign w:val="bottom"/>
            <w:tcBorders>
              <w:bottom w:val="single" w:sz="8" w:color="E2EEFA"/>
              <w:right w:val="single" w:sz="8" w:color="E2EEFA"/>
            </w:tcBorders>
            <w:shd w:val="clear" w:color="auto" w:fill="E2EEFA"/>
          </w:tcPr>
          <w:p>
            <w:pPr>
              <w:spacing w:after="0"/>
              <w:rPr>
                <w:sz w:val="15"/>
                <w:szCs w:val="15"/>
                <w:color w:val="auto"/>
              </w:rPr>
            </w:pPr>
          </w:p>
        </w:tc>
        <w:tc>
          <w:tcPr>
            <w:tcW w:w="1440" w:type="dxa"/>
            <w:vAlign w:val="bottom"/>
            <w:tcBorders>
              <w:bottom w:val="single" w:sz="8" w:color="E2EEFA"/>
              <w:right w:val="single" w:sz="8" w:color="E2EEFA"/>
            </w:tcBorders>
            <w:shd w:val="clear" w:color="auto" w:fill="E2EEFA"/>
          </w:tcPr>
          <w:p>
            <w:pPr>
              <w:spacing w:after="0"/>
              <w:rPr>
                <w:sz w:val="15"/>
                <w:szCs w:val="15"/>
                <w:color w:val="auto"/>
              </w:rPr>
            </w:pPr>
          </w:p>
        </w:tc>
        <w:tc>
          <w:tcPr>
            <w:tcW w:w="240" w:type="dxa"/>
            <w:vAlign w:val="bottom"/>
            <w:tcBorders>
              <w:bottom w:val="single" w:sz="8" w:color="E2EEFA"/>
            </w:tcBorders>
            <w:shd w:val="clear" w:color="auto" w:fill="E2EEFA"/>
          </w:tcPr>
          <w:p>
            <w:pPr>
              <w:spacing w:after="0"/>
              <w:rPr>
                <w:sz w:val="15"/>
                <w:szCs w:val="15"/>
                <w:color w:val="auto"/>
              </w:rPr>
            </w:pPr>
          </w:p>
        </w:tc>
        <w:tc>
          <w:tcPr>
            <w:tcW w:w="1460" w:type="dxa"/>
            <w:vAlign w:val="bottom"/>
            <w:tcBorders>
              <w:bottom w:val="single" w:sz="8" w:color="E2EEFA"/>
            </w:tcBorders>
            <w:shd w:val="clear" w:color="auto" w:fill="E2EEFA"/>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400" w:type="dxa"/>
            <w:vAlign w:val="bottom"/>
            <w:tcBorders>
              <w:right w:val="single" w:sz="8" w:color="B2B2B2"/>
            </w:tcBorders>
          </w:tcPr>
          <w:p>
            <w:pPr>
              <w:spacing w:after="0"/>
              <w:rPr>
                <w:sz w:val="14"/>
                <w:szCs w:val="14"/>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6/01/2020</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44,472</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182.22</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6/01/2030</w:t>
            </w:r>
          </w:p>
        </w:tc>
        <w:tc>
          <w:tcPr>
            <w:tcW w:w="780" w:type="dxa"/>
            <w:vAlign w:val="bottom"/>
            <w:tcBorders>
              <w:right w:val="single" w:sz="8" w:color="B2B2B2"/>
            </w:tcBorders>
          </w:tcPr>
          <w:p>
            <w:pPr>
              <w:spacing w:after="0"/>
              <w:rPr>
                <w:sz w:val="14"/>
                <w:szCs w:val="14"/>
                <w:color w:val="auto"/>
              </w:rPr>
            </w:pPr>
          </w:p>
        </w:tc>
        <w:tc>
          <w:tcPr>
            <w:tcW w:w="1440" w:type="dxa"/>
            <w:vAlign w:val="bottom"/>
            <w:tcBorders>
              <w:right w:val="single" w:sz="8" w:color="B2B2B2"/>
            </w:tcBorders>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6/02/2021</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36,296</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210.30</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6/02/2031</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10/01/2021</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9,460</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228.36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10/01/2031</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6/02/2022</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23,061</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7,687</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250.06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6/02/2032</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5/31/2023</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13,482</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13,482</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219.97</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5/31/2033</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6/04/2024</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5,430</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16,290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251.34</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6/04/2034</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6/03/2025</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0</w:t>
            </w:r>
          </w:p>
        </w:tc>
        <w:tc>
          <w:tcPr>
            <w:tcW w:w="1360" w:type="dxa"/>
            <w:vAlign w:val="bottom"/>
            <w:tcBorders>
              <w:right w:val="single" w:sz="8" w:color="B2B2B2"/>
            </w:tcBorders>
          </w:tcPr>
          <w:p>
            <w:pPr>
              <w:jc w:val="right"/>
              <w:ind w:right="400"/>
              <w:spacing w:after="0"/>
              <w:rPr>
                <w:sz w:val="20"/>
                <w:szCs w:val="20"/>
                <w:color w:val="auto"/>
              </w:rPr>
            </w:pPr>
            <w:r>
              <w:rPr>
                <w:rFonts w:ascii="Arial" w:cs="Arial" w:eastAsia="Arial" w:hAnsi="Arial"/>
                <w:sz w:val="12"/>
                <w:szCs w:val="12"/>
                <w:color w:val="auto"/>
              </w:rPr>
              <w:t>7,908</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267.66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6/03/2035</w:t>
            </w:r>
          </w:p>
        </w:tc>
        <w:tc>
          <w:tcPr>
            <w:tcW w:w="780" w:type="dxa"/>
            <w:vAlign w:val="bottom"/>
            <w:tcBorders>
              <w:right w:val="single" w:sz="8" w:color="B2B2B2"/>
            </w:tcBorders>
          </w:tcPr>
          <w:p>
            <w:pPr>
              <w:spacing w:after="0"/>
              <w:rPr>
                <w:sz w:val="13"/>
                <w:szCs w:val="13"/>
                <w:color w:val="auto"/>
              </w:rPr>
            </w:pPr>
          </w:p>
        </w:tc>
        <w:tc>
          <w:tcPr>
            <w:tcW w:w="1440" w:type="dxa"/>
            <w:vAlign w:val="bottom"/>
            <w:tcBorders>
              <w:right w:val="single" w:sz="8" w:color="B2B2B2"/>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6/02/2022</w:t>
            </w:r>
          </w:p>
        </w:tc>
        <w:tc>
          <w:tcPr>
            <w:tcW w:w="144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564</w:t>
            </w:r>
          </w:p>
        </w:tc>
        <w:tc>
          <w:tcPr>
            <w:tcW w:w="240" w:type="dxa"/>
            <w:vAlign w:val="bottom"/>
          </w:tcPr>
          <w:p>
            <w:pPr>
              <w:spacing w:after="0"/>
              <w:rPr>
                <w:sz w:val="13"/>
                <w:szCs w:val="13"/>
                <w:color w:val="auto"/>
              </w:rPr>
            </w:pPr>
          </w:p>
        </w:tc>
        <w:tc>
          <w:tcPr>
            <w:tcW w:w="1460" w:type="dxa"/>
            <w:vAlign w:val="bottom"/>
          </w:tcPr>
          <w:p>
            <w:pPr>
              <w:jc w:val="right"/>
              <w:ind w:right="480"/>
              <w:spacing w:after="0"/>
              <w:rPr>
                <w:sz w:val="20"/>
                <w:szCs w:val="20"/>
                <w:color w:val="auto"/>
              </w:rPr>
            </w:pPr>
            <w:r>
              <w:rPr>
                <w:rFonts w:ascii="Arial" w:cs="Arial" w:eastAsia="Arial" w:hAnsi="Arial"/>
                <w:sz w:val="12"/>
                <w:szCs w:val="12"/>
                <w:color w:val="auto"/>
              </w:rPr>
              <w:t>124,717</w:t>
            </w: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5/31/2023</w:t>
            </w:r>
          </w:p>
        </w:tc>
        <w:tc>
          <w:tcPr>
            <w:tcW w:w="144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1,293</w:t>
            </w:r>
          </w:p>
        </w:tc>
        <w:tc>
          <w:tcPr>
            <w:tcW w:w="240" w:type="dxa"/>
            <w:vAlign w:val="bottom"/>
          </w:tcPr>
          <w:p>
            <w:pPr>
              <w:spacing w:after="0"/>
              <w:rPr>
                <w:sz w:val="13"/>
                <w:szCs w:val="13"/>
                <w:color w:val="auto"/>
              </w:rPr>
            </w:pPr>
          </w:p>
        </w:tc>
        <w:tc>
          <w:tcPr>
            <w:tcW w:w="1460" w:type="dxa"/>
            <w:vAlign w:val="bottom"/>
          </w:tcPr>
          <w:p>
            <w:pPr>
              <w:jc w:val="right"/>
              <w:ind w:right="480"/>
              <w:spacing w:after="0"/>
              <w:rPr>
                <w:sz w:val="20"/>
                <w:szCs w:val="20"/>
                <w:color w:val="auto"/>
              </w:rPr>
            </w:pPr>
            <w:r>
              <w:rPr>
                <w:rFonts w:ascii="Arial" w:cs="Arial" w:eastAsia="Arial" w:hAnsi="Arial"/>
                <w:sz w:val="12"/>
                <w:szCs w:val="12"/>
                <w:color w:val="auto"/>
              </w:rPr>
              <w:t>285,921</w:t>
            </w: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6/04/2024</w:t>
            </w:r>
          </w:p>
        </w:tc>
        <w:tc>
          <w:tcPr>
            <w:tcW w:w="144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2,282</w:t>
            </w:r>
          </w:p>
        </w:tc>
        <w:tc>
          <w:tcPr>
            <w:tcW w:w="240" w:type="dxa"/>
            <w:vAlign w:val="bottom"/>
          </w:tcPr>
          <w:p>
            <w:pPr>
              <w:spacing w:after="0"/>
              <w:rPr>
                <w:sz w:val="13"/>
                <w:szCs w:val="13"/>
                <w:color w:val="auto"/>
              </w:rPr>
            </w:pPr>
          </w:p>
        </w:tc>
        <w:tc>
          <w:tcPr>
            <w:tcW w:w="1460" w:type="dxa"/>
            <w:vAlign w:val="bottom"/>
          </w:tcPr>
          <w:p>
            <w:pPr>
              <w:jc w:val="right"/>
              <w:ind w:right="480"/>
              <w:spacing w:after="0"/>
              <w:rPr>
                <w:sz w:val="20"/>
                <w:szCs w:val="20"/>
                <w:color w:val="auto"/>
              </w:rPr>
            </w:pPr>
            <w:r>
              <w:rPr>
                <w:rFonts w:ascii="Arial" w:cs="Arial" w:eastAsia="Arial" w:hAnsi="Arial"/>
                <w:sz w:val="12"/>
                <w:szCs w:val="12"/>
                <w:color w:val="auto"/>
              </w:rPr>
              <w:t>504,619</w:t>
            </w:r>
          </w:p>
        </w:tc>
        <w:tc>
          <w:tcPr>
            <w:tcW w:w="0" w:type="dxa"/>
            <w:vAlign w:val="bottom"/>
          </w:tcPr>
          <w:p>
            <w:pPr>
              <w:spacing w:after="0"/>
              <w:rPr>
                <w:sz w:val="1"/>
                <w:szCs w:val="1"/>
                <w:color w:val="auto"/>
              </w:rPr>
            </w:pPr>
          </w:p>
        </w:tc>
      </w:tr>
      <w:tr>
        <w:trPr>
          <w:trHeight w:val="27"/>
        </w:trPr>
        <w:tc>
          <w:tcPr>
            <w:tcW w:w="140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440" w:type="dxa"/>
            <w:vAlign w:val="bottom"/>
            <w:tcBorders>
              <w:bottom w:val="single" w:sz="8" w:color="B2B2B2"/>
              <w:right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6/03/2025</w:t>
            </w:r>
          </w:p>
        </w:tc>
        <w:tc>
          <w:tcPr>
            <w:tcW w:w="144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2,223</w:t>
            </w:r>
          </w:p>
        </w:tc>
        <w:tc>
          <w:tcPr>
            <w:tcW w:w="240" w:type="dxa"/>
            <w:vAlign w:val="bottom"/>
          </w:tcPr>
          <w:p>
            <w:pPr>
              <w:spacing w:after="0"/>
              <w:rPr>
                <w:sz w:val="13"/>
                <w:szCs w:val="13"/>
                <w:color w:val="auto"/>
              </w:rPr>
            </w:pPr>
          </w:p>
        </w:tc>
        <w:tc>
          <w:tcPr>
            <w:tcW w:w="1460" w:type="dxa"/>
            <w:vAlign w:val="bottom"/>
          </w:tcPr>
          <w:p>
            <w:pPr>
              <w:jc w:val="right"/>
              <w:ind w:right="480"/>
              <w:spacing w:after="0"/>
              <w:rPr>
                <w:sz w:val="20"/>
                <w:szCs w:val="20"/>
                <w:color w:val="auto"/>
              </w:rPr>
            </w:pPr>
            <w:r>
              <w:rPr>
                <w:rFonts w:ascii="Arial" w:cs="Arial" w:eastAsia="Arial" w:hAnsi="Arial"/>
                <w:sz w:val="12"/>
                <w:szCs w:val="12"/>
                <w:color w:val="auto"/>
              </w:rPr>
              <w:t>491,572</w:t>
            </w:r>
          </w:p>
        </w:tc>
        <w:tc>
          <w:tcPr>
            <w:tcW w:w="0" w:type="dxa"/>
            <w:vAlign w:val="bottom"/>
          </w:tcPr>
          <w:p>
            <w:pPr>
              <w:spacing w:after="0"/>
              <w:rPr>
                <w:sz w:val="1"/>
                <w:szCs w:val="1"/>
                <w:color w:val="auto"/>
              </w:rPr>
            </w:pPr>
          </w:p>
        </w:tc>
      </w:tr>
      <w:tr>
        <w:trPr>
          <w:trHeight w:val="27"/>
        </w:trPr>
        <w:tc>
          <w:tcPr>
            <w:tcW w:w="1400" w:type="dxa"/>
            <w:vAlign w:val="bottom"/>
            <w:tcBorders>
              <w:bottom w:val="single" w:sz="8" w:color="3E8EDE"/>
              <w:right w:val="single" w:sz="8" w:color="B2B2B2"/>
            </w:tcBorders>
          </w:tcPr>
          <w:p>
            <w:pPr>
              <w:spacing w:after="0"/>
              <w:rPr>
                <w:sz w:val="2"/>
                <w:szCs w:val="2"/>
                <w:color w:val="auto"/>
              </w:rPr>
            </w:pPr>
          </w:p>
        </w:tc>
        <w:tc>
          <w:tcPr>
            <w:tcW w:w="780" w:type="dxa"/>
            <w:vAlign w:val="bottom"/>
            <w:tcBorders>
              <w:bottom w:val="single" w:sz="8" w:color="3E8EDE"/>
              <w:right w:val="single" w:sz="8" w:color="B2B2B2"/>
            </w:tcBorders>
          </w:tcPr>
          <w:p>
            <w:pPr>
              <w:spacing w:after="0"/>
              <w:rPr>
                <w:sz w:val="2"/>
                <w:szCs w:val="2"/>
                <w:color w:val="auto"/>
              </w:rPr>
            </w:pPr>
          </w:p>
        </w:tc>
        <w:tc>
          <w:tcPr>
            <w:tcW w:w="1260" w:type="dxa"/>
            <w:vAlign w:val="bottom"/>
            <w:tcBorders>
              <w:bottom w:val="single" w:sz="8" w:color="3E8EDE"/>
              <w:right w:val="single" w:sz="8" w:color="B2B2B2"/>
            </w:tcBorders>
          </w:tcPr>
          <w:p>
            <w:pPr>
              <w:spacing w:after="0"/>
              <w:rPr>
                <w:sz w:val="2"/>
                <w:szCs w:val="2"/>
                <w:color w:val="auto"/>
              </w:rPr>
            </w:pPr>
          </w:p>
        </w:tc>
        <w:tc>
          <w:tcPr>
            <w:tcW w:w="1360" w:type="dxa"/>
            <w:vAlign w:val="bottom"/>
            <w:tcBorders>
              <w:bottom w:val="single" w:sz="8" w:color="3E8EDE"/>
              <w:right w:val="single" w:sz="8" w:color="B2B2B2"/>
            </w:tcBorders>
          </w:tcPr>
          <w:p>
            <w:pPr>
              <w:spacing w:after="0"/>
              <w:rPr>
                <w:sz w:val="2"/>
                <w:szCs w:val="2"/>
                <w:color w:val="auto"/>
              </w:rPr>
            </w:pPr>
          </w:p>
        </w:tc>
        <w:tc>
          <w:tcPr>
            <w:tcW w:w="1040" w:type="dxa"/>
            <w:vAlign w:val="bottom"/>
            <w:tcBorders>
              <w:bottom w:val="single" w:sz="8" w:color="3E8EDE"/>
              <w:right w:val="single" w:sz="8" w:color="B2B2B2"/>
            </w:tcBorders>
          </w:tcPr>
          <w:p>
            <w:pPr>
              <w:spacing w:after="0"/>
              <w:rPr>
                <w:sz w:val="2"/>
                <w:szCs w:val="2"/>
                <w:color w:val="auto"/>
              </w:rPr>
            </w:pPr>
          </w:p>
        </w:tc>
        <w:tc>
          <w:tcPr>
            <w:tcW w:w="800" w:type="dxa"/>
            <w:vAlign w:val="bottom"/>
            <w:tcBorders>
              <w:bottom w:val="single" w:sz="8" w:color="3E8EDE"/>
              <w:right w:val="single" w:sz="8" w:color="B2B2B2"/>
            </w:tcBorders>
          </w:tcPr>
          <w:p>
            <w:pPr>
              <w:spacing w:after="0"/>
              <w:rPr>
                <w:sz w:val="2"/>
                <w:szCs w:val="2"/>
                <w:color w:val="auto"/>
              </w:rPr>
            </w:pPr>
          </w:p>
        </w:tc>
        <w:tc>
          <w:tcPr>
            <w:tcW w:w="780" w:type="dxa"/>
            <w:vAlign w:val="bottom"/>
            <w:tcBorders>
              <w:bottom w:val="single" w:sz="8" w:color="3E8EDE"/>
              <w:right w:val="single" w:sz="8" w:color="B2B2B2"/>
            </w:tcBorders>
          </w:tcPr>
          <w:p>
            <w:pPr>
              <w:spacing w:after="0"/>
              <w:rPr>
                <w:sz w:val="2"/>
                <w:szCs w:val="2"/>
                <w:color w:val="auto"/>
              </w:rPr>
            </w:pPr>
          </w:p>
        </w:tc>
        <w:tc>
          <w:tcPr>
            <w:tcW w:w="1440" w:type="dxa"/>
            <w:vAlign w:val="bottom"/>
            <w:tcBorders>
              <w:bottom w:val="single" w:sz="8" w:color="3E8EDE"/>
              <w:right w:val="single" w:sz="8" w:color="B2B2B2"/>
            </w:tcBorders>
          </w:tcPr>
          <w:p>
            <w:pPr>
              <w:spacing w:after="0"/>
              <w:rPr>
                <w:sz w:val="2"/>
                <w:szCs w:val="2"/>
                <w:color w:val="auto"/>
              </w:rPr>
            </w:pPr>
          </w:p>
        </w:tc>
        <w:tc>
          <w:tcPr>
            <w:tcW w:w="240" w:type="dxa"/>
            <w:vAlign w:val="bottom"/>
            <w:tcBorders>
              <w:bottom w:val="single" w:sz="8" w:color="3E8EDE"/>
            </w:tcBorders>
          </w:tcPr>
          <w:p>
            <w:pPr>
              <w:spacing w:after="0"/>
              <w:rPr>
                <w:sz w:val="2"/>
                <w:szCs w:val="2"/>
                <w:color w:val="auto"/>
              </w:rPr>
            </w:pPr>
          </w:p>
        </w:tc>
        <w:tc>
          <w:tcPr>
            <w:tcW w:w="1460" w:type="dxa"/>
            <w:vAlign w:val="bottom"/>
            <w:tcBorders>
              <w:bottom w:val="single" w:sz="8" w:color="3E8ED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r>
              <w:rPr>
                <w:rFonts w:ascii="Arial" w:cs="Arial" w:eastAsia="Arial" w:hAnsi="Arial"/>
                <w:sz w:val="17"/>
                <w:szCs w:val="17"/>
                <w:b w:val="1"/>
                <w:bCs w:val="1"/>
                <w:color w:val="auto"/>
              </w:rPr>
              <w:t> </w:t>
            </w: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900" w:type="dxa"/>
            <w:vAlign w:val="bottom"/>
            <w:gridSpan w:val="7"/>
          </w:tcPr>
          <w:p>
            <w:pPr>
              <w:jc w:val="right"/>
              <w:spacing w:after="0"/>
              <w:rPr>
                <w:sz w:val="20"/>
                <w:szCs w:val="20"/>
                <w:color w:val="auto"/>
              </w:rPr>
            </w:pPr>
            <w:r>
              <w:rPr>
                <w:rFonts w:ascii="Arial" w:cs="Arial" w:eastAsia="Arial" w:hAnsi="Arial"/>
                <w:sz w:val="16"/>
                <w:szCs w:val="16"/>
                <w:b w:val="1"/>
                <w:bCs w:val="1"/>
                <w:color w:val="3E8EDE"/>
              </w:rPr>
              <w:t xml:space="preserve">Executive Compensation: </w:t>
            </w:r>
            <w:r>
              <w:rPr>
                <w:rFonts w:ascii="Arial" w:cs="Arial" w:eastAsia="Arial" w:hAnsi="Arial"/>
                <w:sz w:val="16"/>
                <w:szCs w:val="16"/>
                <w:b w:val="1"/>
                <w:bCs w:val="1"/>
                <w:color w:val="000000"/>
              </w:rPr>
              <w:t>Tabular and Other Executive Compensation Disclosure</w:t>
            </w:r>
          </w:p>
        </w:tc>
        <w:tc>
          <w:tcPr>
            <w:tcW w:w="0" w:type="dxa"/>
            <w:vAlign w:val="bottom"/>
          </w:tcPr>
          <w:p>
            <w:pPr>
              <w:spacing w:after="0"/>
              <w:rPr>
                <w:sz w:val="1"/>
                <w:szCs w:val="1"/>
                <w:color w:val="auto"/>
              </w:rPr>
            </w:pPr>
          </w:p>
        </w:tc>
      </w:tr>
      <w:tr>
        <w:trPr>
          <w:trHeight w:val="27"/>
        </w:trPr>
        <w:tc>
          <w:tcPr>
            <w:tcW w:w="1620" w:type="dxa"/>
            <w:vAlign w:val="bottom"/>
            <w:tcBorders>
              <w:bottom w:val="single" w:sz="8" w:color="3E8EDE"/>
            </w:tcBorders>
          </w:tcPr>
          <w:p>
            <w:pPr>
              <w:spacing w:after="0"/>
              <w:rPr>
                <w:sz w:val="2"/>
                <w:szCs w:val="2"/>
                <w:color w:val="auto"/>
              </w:rPr>
            </w:pPr>
          </w:p>
        </w:tc>
        <w:tc>
          <w:tcPr>
            <w:tcW w:w="780" w:type="dxa"/>
            <w:vAlign w:val="bottom"/>
            <w:tcBorders>
              <w:bottom w:val="single" w:sz="8" w:color="3E8EDE"/>
            </w:tcBorders>
          </w:tcPr>
          <w:p>
            <w:pPr>
              <w:spacing w:after="0"/>
              <w:rPr>
                <w:sz w:val="2"/>
                <w:szCs w:val="2"/>
                <w:color w:val="auto"/>
              </w:rPr>
            </w:pPr>
          </w:p>
        </w:tc>
        <w:tc>
          <w:tcPr>
            <w:tcW w:w="1260" w:type="dxa"/>
            <w:vAlign w:val="bottom"/>
            <w:tcBorders>
              <w:bottom w:val="single" w:sz="8" w:color="3E8EDE"/>
            </w:tcBorders>
          </w:tcPr>
          <w:p>
            <w:pPr>
              <w:spacing w:after="0"/>
              <w:rPr>
                <w:sz w:val="2"/>
                <w:szCs w:val="2"/>
                <w:color w:val="auto"/>
              </w:rPr>
            </w:pPr>
          </w:p>
        </w:tc>
        <w:tc>
          <w:tcPr>
            <w:tcW w:w="1360" w:type="dxa"/>
            <w:vAlign w:val="bottom"/>
            <w:tcBorders>
              <w:bottom w:val="single" w:sz="8" w:color="3E8EDE"/>
            </w:tcBorders>
          </w:tcPr>
          <w:p>
            <w:pPr>
              <w:spacing w:after="0"/>
              <w:rPr>
                <w:sz w:val="2"/>
                <w:szCs w:val="2"/>
                <w:color w:val="auto"/>
              </w:rPr>
            </w:pPr>
          </w:p>
        </w:tc>
        <w:tc>
          <w:tcPr>
            <w:tcW w:w="1040" w:type="dxa"/>
            <w:vAlign w:val="bottom"/>
            <w:tcBorders>
              <w:bottom w:val="single" w:sz="8" w:color="3E8EDE"/>
            </w:tcBorders>
          </w:tcPr>
          <w:p>
            <w:pPr>
              <w:spacing w:after="0"/>
              <w:rPr>
                <w:sz w:val="2"/>
                <w:szCs w:val="2"/>
                <w:color w:val="auto"/>
              </w:rPr>
            </w:pPr>
          </w:p>
        </w:tc>
        <w:tc>
          <w:tcPr>
            <w:tcW w:w="800" w:type="dxa"/>
            <w:vAlign w:val="bottom"/>
            <w:tcBorders>
              <w:bottom w:val="single" w:sz="8" w:color="3E8EDE"/>
            </w:tcBorders>
          </w:tcPr>
          <w:p>
            <w:pPr>
              <w:spacing w:after="0"/>
              <w:rPr>
                <w:sz w:val="2"/>
                <w:szCs w:val="2"/>
                <w:color w:val="auto"/>
              </w:rPr>
            </w:pPr>
          </w:p>
        </w:tc>
        <w:tc>
          <w:tcPr>
            <w:tcW w:w="720" w:type="dxa"/>
            <w:vAlign w:val="bottom"/>
            <w:tcBorders>
              <w:bottom w:val="single" w:sz="8" w:color="3E8EDE"/>
            </w:tcBorders>
          </w:tcPr>
          <w:p>
            <w:pPr>
              <w:spacing w:after="0"/>
              <w:rPr>
                <w:sz w:val="2"/>
                <w:szCs w:val="2"/>
                <w:color w:val="auto"/>
              </w:rPr>
            </w:pPr>
          </w:p>
        </w:tc>
        <w:tc>
          <w:tcPr>
            <w:tcW w:w="1380" w:type="dxa"/>
            <w:vAlign w:val="bottom"/>
            <w:tcBorders>
              <w:bottom w:val="single" w:sz="8" w:color="3E8EDE"/>
            </w:tcBorders>
          </w:tcPr>
          <w:p>
            <w:pPr>
              <w:spacing w:after="0"/>
              <w:rPr>
                <w:sz w:val="2"/>
                <w:szCs w:val="2"/>
                <w:color w:val="auto"/>
              </w:rPr>
            </w:pPr>
          </w:p>
        </w:tc>
        <w:tc>
          <w:tcPr>
            <w:tcW w:w="220" w:type="dxa"/>
            <w:vAlign w:val="bottom"/>
            <w:tcBorders>
              <w:bottom w:val="single" w:sz="8" w:color="3E8EDE"/>
            </w:tcBorders>
          </w:tcPr>
          <w:p>
            <w:pPr>
              <w:spacing w:after="0"/>
              <w:rPr>
                <w:sz w:val="2"/>
                <w:szCs w:val="2"/>
                <w:color w:val="auto"/>
              </w:rPr>
            </w:pPr>
          </w:p>
        </w:tc>
        <w:tc>
          <w:tcPr>
            <w:tcW w:w="1380" w:type="dxa"/>
            <w:vAlign w:val="bottom"/>
            <w:tcBorders>
              <w:bottom w:val="single" w:sz="8" w:color="3E8EDE"/>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620" w:type="dxa"/>
            <w:vAlign w:val="bottom"/>
            <w:tcBorders>
              <w:right w:val="single" w:sz="8" w:color="3E8EDE"/>
            </w:tcBorders>
            <w:shd w:val="clear" w:color="auto" w:fill="3E8EDE"/>
          </w:tcPr>
          <w:p>
            <w:pPr>
              <w:spacing w:after="0"/>
              <w:rPr>
                <w:sz w:val="17"/>
                <w:szCs w:val="17"/>
                <w:color w:val="auto"/>
              </w:rPr>
            </w:pPr>
          </w:p>
        </w:tc>
        <w:tc>
          <w:tcPr>
            <w:tcW w:w="780" w:type="dxa"/>
            <w:vAlign w:val="bottom"/>
            <w:tcBorders>
              <w:right w:val="single" w:sz="8" w:color="3E8EDE"/>
            </w:tcBorders>
            <w:shd w:val="clear" w:color="auto" w:fill="3E8EDE"/>
          </w:tcPr>
          <w:p>
            <w:pPr>
              <w:spacing w:after="0"/>
              <w:rPr>
                <w:sz w:val="17"/>
                <w:szCs w:val="17"/>
                <w:color w:val="auto"/>
              </w:rPr>
            </w:pPr>
          </w:p>
        </w:tc>
        <w:tc>
          <w:tcPr>
            <w:tcW w:w="1260" w:type="dxa"/>
            <w:vAlign w:val="bottom"/>
            <w:tcBorders>
              <w:right w:val="single" w:sz="8" w:color="3E8EDE"/>
            </w:tcBorders>
            <w:shd w:val="clear" w:color="auto" w:fill="3E8EDE"/>
          </w:tcPr>
          <w:p>
            <w:pPr>
              <w:spacing w:after="0"/>
              <w:rPr>
                <w:sz w:val="17"/>
                <w:szCs w:val="17"/>
                <w:color w:val="auto"/>
              </w:rPr>
            </w:pPr>
          </w:p>
        </w:tc>
        <w:tc>
          <w:tcPr>
            <w:tcW w:w="1360" w:type="dxa"/>
            <w:vAlign w:val="bottom"/>
            <w:tcBorders>
              <w:right w:val="single" w:sz="8" w:color="3E8EDE"/>
            </w:tcBorders>
            <w:shd w:val="clear" w:color="auto" w:fill="3E8EDE"/>
          </w:tcPr>
          <w:p>
            <w:pPr>
              <w:jc w:val="right"/>
              <w:ind w:right="279"/>
              <w:spacing w:after="0"/>
              <w:rPr>
                <w:sz w:val="20"/>
                <w:szCs w:val="20"/>
                <w:color w:val="auto"/>
              </w:rPr>
            </w:pPr>
            <w:r>
              <w:rPr>
                <w:rFonts w:ascii="Arial" w:cs="Arial" w:eastAsia="Arial" w:hAnsi="Arial"/>
                <w:sz w:val="12"/>
                <w:szCs w:val="12"/>
                <w:b w:val="1"/>
                <w:bCs w:val="1"/>
                <w:color w:val="FFFFFF"/>
              </w:rPr>
              <w:t>Option Awards</w:t>
            </w:r>
          </w:p>
        </w:tc>
        <w:tc>
          <w:tcPr>
            <w:tcW w:w="1040" w:type="dxa"/>
            <w:vAlign w:val="bottom"/>
            <w:tcBorders>
              <w:right w:val="single" w:sz="8" w:color="3E8EDE"/>
            </w:tcBorders>
            <w:shd w:val="clear" w:color="auto" w:fill="3E8EDE"/>
          </w:tcPr>
          <w:p>
            <w:pPr>
              <w:spacing w:after="0"/>
              <w:rPr>
                <w:sz w:val="17"/>
                <w:szCs w:val="17"/>
                <w:color w:val="auto"/>
              </w:rPr>
            </w:pPr>
          </w:p>
        </w:tc>
        <w:tc>
          <w:tcPr>
            <w:tcW w:w="800" w:type="dxa"/>
            <w:vAlign w:val="bottom"/>
            <w:tcBorders>
              <w:right w:val="single" w:sz="8" w:color="3E8EDE"/>
            </w:tcBorders>
            <w:shd w:val="clear" w:color="auto" w:fill="3E8EDE"/>
          </w:tcPr>
          <w:p>
            <w:pPr>
              <w:spacing w:after="0"/>
              <w:rPr>
                <w:sz w:val="17"/>
                <w:szCs w:val="17"/>
                <w:color w:val="auto"/>
              </w:rPr>
            </w:pPr>
          </w:p>
        </w:tc>
        <w:tc>
          <w:tcPr>
            <w:tcW w:w="720" w:type="dxa"/>
            <w:vAlign w:val="bottom"/>
            <w:tcBorders>
              <w:right w:val="single" w:sz="8" w:color="3E8EDE"/>
            </w:tcBorders>
            <w:shd w:val="clear" w:color="auto" w:fill="3E8EDE"/>
          </w:tcPr>
          <w:p>
            <w:pPr>
              <w:spacing w:after="0"/>
              <w:rPr>
                <w:sz w:val="17"/>
                <w:szCs w:val="17"/>
                <w:color w:val="auto"/>
              </w:rPr>
            </w:pPr>
          </w:p>
        </w:tc>
        <w:tc>
          <w:tcPr>
            <w:tcW w:w="1600" w:type="dxa"/>
            <w:vAlign w:val="bottom"/>
            <w:gridSpan w:val="2"/>
            <w:shd w:val="clear" w:color="auto" w:fill="3E8EDE"/>
          </w:tcPr>
          <w:p>
            <w:pPr>
              <w:ind w:left="760"/>
              <w:spacing w:after="0"/>
              <w:rPr>
                <w:sz w:val="20"/>
                <w:szCs w:val="20"/>
                <w:color w:val="auto"/>
              </w:rPr>
            </w:pPr>
            <w:r>
              <w:rPr>
                <w:rFonts w:ascii="Arial" w:cs="Arial" w:eastAsia="Arial" w:hAnsi="Arial"/>
                <w:sz w:val="12"/>
                <w:szCs w:val="12"/>
                <w:b w:val="1"/>
                <w:bCs w:val="1"/>
                <w:color w:val="FFFFFF"/>
              </w:rPr>
              <w:t>Stock Awards</w:t>
            </w:r>
          </w:p>
        </w:tc>
        <w:tc>
          <w:tcPr>
            <w:tcW w:w="1380" w:type="dxa"/>
            <w:vAlign w:val="bottom"/>
            <w:shd w:val="clear" w:color="auto" w:fill="3E8ED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620" w:type="dxa"/>
            <w:vAlign w:val="bottom"/>
            <w:tcBorders>
              <w:right w:val="single" w:sz="8" w:color="3E8EDE"/>
            </w:tcBorders>
            <w:shd w:val="clear" w:color="auto" w:fill="3E8EDE"/>
          </w:tcPr>
          <w:p>
            <w:pPr>
              <w:spacing w:after="0"/>
              <w:rPr>
                <w:sz w:val="16"/>
                <w:szCs w:val="16"/>
                <w:color w:val="auto"/>
              </w:rPr>
            </w:pPr>
          </w:p>
        </w:tc>
        <w:tc>
          <w:tcPr>
            <w:tcW w:w="780" w:type="dxa"/>
            <w:vAlign w:val="bottom"/>
            <w:tcBorders>
              <w:right w:val="single" w:sz="8" w:color="3E8EDE"/>
            </w:tcBorders>
            <w:shd w:val="clear" w:color="auto" w:fill="3E8EDE"/>
          </w:tcPr>
          <w:p>
            <w:pPr>
              <w:spacing w:after="0"/>
              <w:rPr>
                <w:sz w:val="16"/>
                <w:szCs w:val="16"/>
                <w:color w:val="auto"/>
              </w:rPr>
            </w:pPr>
          </w:p>
        </w:tc>
        <w:tc>
          <w:tcPr>
            <w:tcW w:w="126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2"/>
                <w:szCs w:val="12"/>
                <w:b w:val="1"/>
                <w:bCs w:val="1"/>
                <w:color w:val="FFFFFF"/>
                <w:w w:val="99"/>
              </w:rPr>
              <w:t>Number of</w:t>
            </w:r>
          </w:p>
        </w:tc>
        <w:tc>
          <w:tcPr>
            <w:tcW w:w="136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2"/>
                <w:szCs w:val="12"/>
                <w:b w:val="1"/>
                <w:bCs w:val="1"/>
                <w:color w:val="FFFFFF"/>
                <w:w w:val="99"/>
              </w:rPr>
              <w:t>Number of</w:t>
            </w:r>
          </w:p>
        </w:tc>
        <w:tc>
          <w:tcPr>
            <w:tcW w:w="1040" w:type="dxa"/>
            <w:vAlign w:val="bottom"/>
            <w:tcBorders>
              <w:right w:val="single" w:sz="8" w:color="3E8EDE"/>
            </w:tcBorders>
            <w:shd w:val="clear" w:color="auto" w:fill="3E8EDE"/>
          </w:tcPr>
          <w:p>
            <w:pPr>
              <w:spacing w:after="0"/>
              <w:rPr>
                <w:sz w:val="16"/>
                <w:szCs w:val="16"/>
                <w:color w:val="auto"/>
              </w:rPr>
            </w:pPr>
          </w:p>
        </w:tc>
        <w:tc>
          <w:tcPr>
            <w:tcW w:w="800" w:type="dxa"/>
            <w:vAlign w:val="bottom"/>
            <w:tcBorders>
              <w:right w:val="single" w:sz="8" w:color="3E8EDE"/>
            </w:tcBorders>
            <w:shd w:val="clear" w:color="auto" w:fill="3E8EDE"/>
          </w:tcPr>
          <w:p>
            <w:pPr>
              <w:spacing w:after="0"/>
              <w:rPr>
                <w:sz w:val="16"/>
                <w:szCs w:val="16"/>
                <w:color w:val="auto"/>
              </w:rPr>
            </w:pPr>
          </w:p>
        </w:tc>
        <w:tc>
          <w:tcPr>
            <w:tcW w:w="720" w:type="dxa"/>
            <w:vAlign w:val="bottom"/>
            <w:tcBorders>
              <w:right w:val="single" w:sz="8" w:color="3E8EDE"/>
            </w:tcBorders>
            <w:shd w:val="clear" w:color="auto" w:fill="3E8EDE"/>
          </w:tcPr>
          <w:p>
            <w:pPr>
              <w:spacing w:after="0"/>
              <w:rPr>
                <w:sz w:val="16"/>
                <w:szCs w:val="16"/>
                <w:color w:val="auto"/>
              </w:rPr>
            </w:pPr>
          </w:p>
        </w:tc>
        <w:tc>
          <w:tcPr>
            <w:tcW w:w="1600" w:type="dxa"/>
            <w:vAlign w:val="bottom"/>
            <w:gridSpan w:val="2"/>
            <w:vMerge w:val="restart"/>
            <w:shd w:val="clear" w:color="auto" w:fill="3E8EDE"/>
          </w:tcPr>
          <w:p>
            <w:pPr>
              <w:jc w:val="center"/>
              <w:ind w:right="200"/>
              <w:spacing w:after="0"/>
              <w:rPr>
                <w:sz w:val="20"/>
                <w:szCs w:val="20"/>
                <w:color w:val="auto"/>
              </w:rPr>
            </w:pPr>
            <w:r>
              <w:rPr>
                <w:rFonts w:ascii="Arial" w:cs="Arial" w:eastAsia="Arial" w:hAnsi="Arial"/>
                <w:sz w:val="12"/>
                <w:szCs w:val="12"/>
                <w:b w:val="1"/>
                <w:bCs w:val="1"/>
                <w:color w:val="FFFFFF"/>
                <w:w w:val="99"/>
              </w:rPr>
              <w:t>Number of</w:t>
            </w:r>
          </w:p>
        </w:tc>
        <w:tc>
          <w:tcPr>
            <w:tcW w:w="1380" w:type="dxa"/>
            <w:vAlign w:val="bottom"/>
            <w:vMerge w:val="restart"/>
            <w:shd w:val="clear" w:color="auto" w:fill="3E8EDE"/>
          </w:tcPr>
          <w:p>
            <w:pPr>
              <w:jc w:val="center"/>
              <w:ind w:right="121"/>
              <w:spacing w:after="0"/>
              <w:rPr>
                <w:sz w:val="20"/>
                <w:szCs w:val="20"/>
                <w:color w:val="auto"/>
              </w:rPr>
            </w:pPr>
            <w:r>
              <w:rPr>
                <w:rFonts w:ascii="Arial" w:cs="Arial" w:eastAsia="Arial" w:hAnsi="Arial"/>
                <w:sz w:val="12"/>
                <w:szCs w:val="12"/>
                <w:b w:val="1"/>
                <w:bCs w:val="1"/>
                <w:color w:val="FFFFFF"/>
                <w:w w:val="99"/>
              </w:rPr>
              <w:t>Market Value of</w:t>
            </w:r>
          </w:p>
        </w:tc>
        <w:tc>
          <w:tcPr>
            <w:tcW w:w="0" w:type="dxa"/>
            <w:vAlign w:val="bottom"/>
          </w:tcPr>
          <w:p>
            <w:pPr>
              <w:spacing w:after="0"/>
              <w:rPr>
                <w:sz w:val="1"/>
                <w:szCs w:val="1"/>
                <w:color w:val="auto"/>
              </w:rPr>
            </w:pPr>
          </w:p>
        </w:tc>
      </w:tr>
      <w:tr>
        <w:trPr>
          <w:trHeight w:val="130"/>
        </w:trPr>
        <w:tc>
          <w:tcPr>
            <w:tcW w:w="1620" w:type="dxa"/>
            <w:vAlign w:val="bottom"/>
            <w:tcBorders>
              <w:right w:val="single" w:sz="8" w:color="3E8EDE"/>
            </w:tcBorders>
            <w:shd w:val="clear" w:color="auto" w:fill="3E8EDE"/>
          </w:tcPr>
          <w:p>
            <w:pPr>
              <w:spacing w:after="0"/>
              <w:rPr>
                <w:sz w:val="11"/>
                <w:szCs w:val="11"/>
                <w:color w:val="auto"/>
              </w:rPr>
            </w:pPr>
          </w:p>
        </w:tc>
        <w:tc>
          <w:tcPr>
            <w:tcW w:w="780" w:type="dxa"/>
            <w:vAlign w:val="bottom"/>
            <w:tcBorders>
              <w:right w:val="single" w:sz="8" w:color="3E8EDE"/>
            </w:tcBorders>
            <w:vMerge w:val="restart"/>
            <w:shd w:val="clear" w:color="auto" w:fill="3E8EDE"/>
          </w:tcPr>
          <w:p>
            <w:pPr>
              <w:jc w:val="center"/>
              <w:spacing w:after="0"/>
              <w:rPr>
                <w:sz w:val="20"/>
                <w:szCs w:val="20"/>
                <w:color w:val="auto"/>
              </w:rPr>
            </w:pPr>
            <w:r>
              <w:rPr>
                <w:rFonts w:ascii="Arial" w:cs="Arial" w:eastAsia="Arial" w:hAnsi="Arial"/>
                <w:sz w:val="12"/>
                <w:szCs w:val="12"/>
                <w:b w:val="1"/>
                <w:bCs w:val="1"/>
                <w:color w:val="FFFFFF"/>
                <w:w w:val="98"/>
              </w:rPr>
              <w:t>Option</w:t>
            </w:r>
          </w:p>
        </w:tc>
        <w:tc>
          <w:tcPr>
            <w:tcW w:w="126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Securities</w:t>
            </w:r>
          </w:p>
        </w:tc>
        <w:tc>
          <w:tcPr>
            <w:tcW w:w="136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Securities</w:t>
            </w:r>
          </w:p>
        </w:tc>
        <w:tc>
          <w:tcPr>
            <w:tcW w:w="1040" w:type="dxa"/>
            <w:vAlign w:val="bottom"/>
            <w:tcBorders>
              <w:right w:val="single" w:sz="8" w:color="3E8EDE"/>
            </w:tcBorders>
            <w:shd w:val="clear" w:color="auto" w:fill="3E8EDE"/>
          </w:tcPr>
          <w:p>
            <w:pPr>
              <w:spacing w:after="0"/>
              <w:rPr>
                <w:sz w:val="11"/>
                <w:szCs w:val="11"/>
                <w:color w:val="auto"/>
              </w:rPr>
            </w:pPr>
          </w:p>
        </w:tc>
        <w:tc>
          <w:tcPr>
            <w:tcW w:w="800" w:type="dxa"/>
            <w:vAlign w:val="bottom"/>
            <w:tcBorders>
              <w:right w:val="single" w:sz="8" w:color="3E8EDE"/>
            </w:tcBorders>
            <w:shd w:val="clear" w:color="auto" w:fill="3E8EDE"/>
          </w:tcPr>
          <w:p>
            <w:pPr>
              <w:spacing w:after="0"/>
              <w:rPr>
                <w:sz w:val="11"/>
                <w:szCs w:val="11"/>
                <w:color w:val="auto"/>
              </w:rPr>
            </w:pPr>
          </w:p>
        </w:tc>
        <w:tc>
          <w:tcPr>
            <w:tcW w:w="720" w:type="dxa"/>
            <w:vAlign w:val="bottom"/>
            <w:tcBorders>
              <w:right w:val="single" w:sz="8" w:color="3E8EDE"/>
            </w:tcBorders>
            <w:vMerge w:val="restart"/>
            <w:shd w:val="clear" w:color="auto" w:fill="3E8EDE"/>
          </w:tcPr>
          <w:p>
            <w:pPr>
              <w:jc w:val="center"/>
              <w:spacing w:after="0"/>
              <w:rPr>
                <w:sz w:val="20"/>
                <w:szCs w:val="20"/>
                <w:color w:val="auto"/>
              </w:rPr>
            </w:pPr>
            <w:r>
              <w:rPr>
                <w:rFonts w:ascii="Arial" w:cs="Arial" w:eastAsia="Arial" w:hAnsi="Arial"/>
                <w:sz w:val="12"/>
                <w:szCs w:val="12"/>
                <w:b w:val="1"/>
                <w:bCs w:val="1"/>
                <w:color w:val="FFFFFF"/>
              </w:rPr>
              <w:t>Stock</w:t>
            </w:r>
          </w:p>
        </w:tc>
        <w:tc>
          <w:tcPr>
            <w:tcW w:w="1600" w:type="dxa"/>
            <w:vAlign w:val="bottom"/>
            <w:gridSpan w:val="2"/>
            <w:vMerge w:val="continue"/>
            <w:shd w:val="clear" w:color="auto" w:fill="3E8EDE"/>
          </w:tcPr>
          <w:p>
            <w:pPr>
              <w:spacing w:after="0"/>
              <w:rPr>
                <w:sz w:val="11"/>
                <w:szCs w:val="11"/>
                <w:color w:val="auto"/>
              </w:rPr>
            </w:pPr>
          </w:p>
        </w:tc>
        <w:tc>
          <w:tcPr>
            <w:tcW w:w="1380" w:type="dxa"/>
            <w:vAlign w:val="bottom"/>
            <w:vMerge w:val="continue"/>
            <w:shd w:val="clear" w:color="auto" w:fill="3E8ED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20" w:type="dxa"/>
            <w:vAlign w:val="bottom"/>
            <w:tcBorders>
              <w:right w:val="single" w:sz="8" w:color="3E8EDE"/>
            </w:tcBorders>
            <w:shd w:val="clear" w:color="auto" w:fill="3E8EDE"/>
          </w:tcPr>
          <w:p>
            <w:pPr>
              <w:spacing w:after="0"/>
              <w:rPr>
                <w:sz w:val="11"/>
                <w:szCs w:val="11"/>
                <w:color w:val="auto"/>
              </w:rPr>
            </w:pPr>
          </w:p>
        </w:tc>
        <w:tc>
          <w:tcPr>
            <w:tcW w:w="780" w:type="dxa"/>
            <w:vAlign w:val="bottom"/>
            <w:tcBorders>
              <w:right w:val="single" w:sz="8" w:color="3E8EDE"/>
            </w:tcBorders>
            <w:vMerge w:val="continue"/>
            <w:shd w:val="clear" w:color="auto" w:fill="3E8EDE"/>
          </w:tcPr>
          <w:p>
            <w:pPr>
              <w:spacing w:after="0"/>
              <w:rPr>
                <w:sz w:val="11"/>
                <w:szCs w:val="11"/>
                <w:color w:val="auto"/>
              </w:rPr>
            </w:pPr>
          </w:p>
        </w:tc>
        <w:tc>
          <w:tcPr>
            <w:tcW w:w="126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Underlying</w:t>
            </w:r>
          </w:p>
        </w:tc>
        <w:tc>
          <w:tcPr>
            <w:tcW w:w="136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Underlying</w:t>
            </w:r>
          </w:p>
        </w:tc>
        <w:tc>
          <w:tcPr>
            <w:tcW w:w="1040" w:type="dxa"/>
            <w:vAlign w:val="bottom"/>
            <w:tcBorders>
              <w:right w:val="single" w:sz="8" w:color="3E8EDE"/>
            </w:tcBorders>
            <w:vMerge w:val="restart"/>
            <w:shd w:val="clear" w:color="auto" w:fill="3E8EDE"/>
          </w:tcPr>
          <w:p>
            <w:pPr>
              <w:jc w:val="center"/>
              <w:spacing w:after="0"/>
              <w:rPr>
                <w:sz w:val="20"/>
                <w:szCs w:val="20"/>
                <w:color w:val="auto"/>
              </w:rPr>
            </w:pPr>
            <w:r>
              <w:rPr>
                <w:rFonts w:ascii="Arial" w:cs="Arial" w:eastAsia="Arial" w:hAnsi="Arial"/>
                <w:sz w:val="12"/>
                <w:szCs w:val="12"/>
                <w:b w:val="1"/>
                <w:bCs w:val="1"/>
                <w:color w:val="FFFFFF"/>
                <w:w w:val="98"/>
              </w:rPr>
              <w:t>Option</w:t>
            </w:r>
          </w:p>
        </w:tc>
        <w:tc>
          <w:tcPr>
            <w:tcW w:w="800" w:type="dxa"/>
            <w:vAlign w:val="bottom"/>
            <w:tcBorders>
              <w:right w:val="single" w:sz="8" w:color="3E8EDE"/>
            </w:tcBorders>
            <w:vMerge w:val="restart"/>
            <w:shd w:val="clear" w:color="auto" w:fill="3E8EDE"/>
          </w:tcPr>
          <w:p>
            <w:pPr>
              <w:jc w:val="center"/>
              <w:spacing w:after="0"/>
              <w:rPr>
                <w:sz w:val="20"/>
                <w:szCs w:val="20"/>
                <w:color w:val="auto"/>
              </w:rPr>
            </w:pPr>
            <w:r>
              <w:rPr>
                <w:rFonts w:ascii="Arial" w:cs="Arial" w:eastAsia="Arial" w:hAnsi="Arial"/>
                <w:sz w:val="12"/>
                <w:szCs w:val="12"/>
                <w:b w:val="1"/>
                <w:bCs w:val="1"/>
                <w:color w:val="FFFFFF"/>
                <w:w w:val="98"/>
              </w:rPr>
              <w:t>Option</w:t>
            </w:r>
          </w:p>
        </w:tc>
        <w:tc>
          <w:tcPr>
            <w:tcW w:w="720" w:type="dxa"/>
            <w:vAlign w:val="bottom"/>
            <w:tcBorders>
              <w:right w:val="single" w:sz="8" w:color="3E8EDE"/>
            </w:tcBorders>
            <w:vMerge w:val="continue"/>
            <w:shd w:val="clear" w:color="auto" w:fill="3E8EDE"/>
          </w:tcPr>
          <w:p>
            <w:pPr>
              <w:spacing w:after="0"/>
              <w:rPr>
                <w:sz w:val="11"/>
                <w:szCs w:val="11"/>
                <w:color w:val="auto"/>
              </w:rPr>
            </w:pPr>
          </w:p>
        </w:tc>
        <w:tc>
          <w:tcPr>
            <w:tcW w:w="1600" w:type="dxa"/>
            <w:vAlign w:val="bottom"/>
            <w:gridSpan w:val="2"/>
            <w:shd w:val="clear" w:color="auto" w:fill="3E8EDE"/>
          </w:tcPr>
          <w:p>
            <w:pPr>
              <w:jc w:val="center"/>
              <w:ind w:right="200"/>
              <w:spacing w:after="0" w:line="130" w:lineRule="exact"/>
              <w:rPr>
                <w:sz w:val="20"/>
                <w:szCs w:val="20"/>
                <w:color w:val="auto"/>
              </w:rPr>
            </w:pPr>
            <w:r>
              <w:rPr>
                <w:rFonts w:ascii="Arial" w:cs="Arial" w:eastAsia="Arial" w:hAnsi="Arial"/>
                <w:sz w:val="12"/>
                <w:szCs w:val="12"/>
                <w:b w:val="1"/>
                <w:bCs w:val="1"/>
                <w:color w:val="FFFFFF"/>
              </w:rPr>
              <w:t xml:space="preserve"> Shares or Units </w:t>
            </w:r>
          </w:p>
        </w:tc>
        <w:tc>
          <w:tcPr>
            <w:tcW w:w="1380" w:type="dxa"/>
            <w:vAlign w:val="bottom"/>
            <w:shd w:val="clear" w:color="auto" w:fill="3E8EDE"/>
          </w:tcPr>
          <w:p>
            <w:pPr>
              <w:jc w:val="center"/>
              <w:ind w:right="101"/>
              <w:spacing w:after="0" w:line="130" w:lineRule="exact"/>
              <w:rPr>
                <w:sz w:val="20"/>
                <w:szCs w:val="20"/>
                <w:color w:val="auto"/>
              </w:rPr>
            </w:pPr>
            <w:r>
              <w:rPr>
                <w:rFonts w:ascii="Arial" w:cs="Arial" w:eastAsia="Arial" w:hAnsi="Arial"/>
                <w:sz w:val="12"/>
                <w:szCs w:val="12"/>
                <w:b w:val="1"/>
                <w:bCs w:val="1"/>
                <w:color w:val="FFFFFF"/>
              </w:rPr>
              <w:t xml:space="preserve"> Shares or Units of </w:t>
            </w:r>
          </w:p>
        </w:tc>
        <w:tc>
          <w:tcPr>
            <w:tcW w:w="0" w:type="dxa"/>
            <w:vAlign w:val="bottom"/>
          </w:tcPr>
          <w:p>
            <w:pPr>
              <w:spacing w:after="0"/>
              <w:rPr>
                <w:sz w:val="1"/>
                <w:szCs w:val="1"/>
                <w:color w:val="auto"/>
              </w:rPr>
            </w:pPr>
          </w:p>
        </w:tc>
      </w:tr>
      <w:tr>
        <w:trPr>
          <w:trHeight w:val="130"/>
        </w:trPr>
        <w:tc>
          <w:tcPr>
            <w:tcW w:w="1620" w:type="dxa"/>
            <w:vAlign w:val="bottom"/>
            <w:tcBorders>
              <w:right w:val="single" w:sz="8" w:color="3E8EDE"/>
            </w:tcBorders>
            <w:shd w:val="clear" w:color="auto" w:fill="3E8EDE"/>
          </w:tcPr>
          <w:p>
            <w:pPr>
              <w:spacing w:after="0"/>
              <w:rPr>
                <w:sz w:val="11"/>
                <w:szCs w:val="11"/>
                <w:color w:val="auto"/>
              </w:rPr>
            </w:pPr>
          </w:p>
        </w:tc>
        <w:tc>
          <w:tcPr>
            <w:tcW w:w="78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w w:val="98"/>
              </w:rPr>
              <w:t>Award</w:t>
            </w:r>
          </w:p>
        </w:tc>
        <w:tc>
          <w:tcPr>
            <w:tcW w:w="126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 xml:space="preserve"> Unexercised </w:t>
            </w:r>
          </w:p>
        </w:tc>
        <w:tc>
          <w:tcPr>
            <w:tcW w:w="136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Unexercised</w:t>
            </w:r>
          </w:p>
        </w:tc>
        <w:tc>
          <w:tcPr>
            <w:tcW w:w="1040" w:type="dxa"/>
            <w:vAlign w:val="bottom"/>
            <w:tcBorders>
              <w:right w:val="single" w:sz="8" w:color="3E8EDE"/>
            </w:tcBorders>
            <w:vMerge w:val="continue"/>
            <w:shd w:val="clear" w:color="auto" w:fill="3E8EDE"/>
          </w:tcPr>
          <w:p>
            <w:pPr>
              <w:spacing w:after="0"/>
              <w:rPr>
                <w:sz w:val="11"/>
                <w:szCs w:val="11"/>
                <w:color w:val="auto"/>
              </w:rPr>
            </w:pPr>
          </w:p>
        </w:tc>
        <w:tc>
          <w:tcPr>
            <w:tcW w:w="800" w:type="dxa"/>
            <w:vAlign w:val="bottom"/>
            <w:tcBorders>
              <w:right w:val="single" w:sz="8" w:color="3E8EDE"/>
            </w:tcBorders>
            <w:vMerge w:val="continue"/>
            <w:shd w:val="clear" w:color="auto" w:fill="3E8EDE"/>
          </w:tcPr>
          <w:p>
            <w:pPr>
              <w:spacing w:after="0"/>
              <w:rPr>
                <w:sz w:val="11"/>
                <w:szCs w:val="11"/>
                <w:color w:val="auto"/>
              </w:rPr>
            </w:pPr>
          </w:p>
        </w:tc>
        <w:tc>
          <w:tcPr>
            <w:tcW w:w="72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 xml:space="preserve"> Award </w:t>
            </w:r>
          </w:p>
        </w:tc>
        <w:tc>
          <w:tcPr>
            <w:tcW w:w="1600" w:type="dxa"/>
            <w:vAlign w:val="bottom"/>
            <w:gridSpan w:val="2"/>
            <w:shd w:val="clear" w:color="auto" w:fill="3E8EDE"/>
          </w:tcPr>
          <w:p>
            <w:pPr>
              <w:jc w:val="center"/>
              <w:ind w:right="200"/>
              <w:spacing w:after="0" w:line="130" w:lineRule="exact"/>
              <w:rPr>
                <w:sz w:val="20"/>
                <w:szCs w:val="20"/>
                <w:color w:val="auto"/>
              </w:rPr>
            </w:pPr>
            <w:r>
              <w:rPr>
                <w:rFonts w:ascii="Arial" w:cs="Arial" w:eastAsia="Arial" w:hAnsi="Arial"/>
                <w:sz w:val="12"/>
                <w:szCs w:val="12"/>
                <w:b w:val="1"/>
                <w:bCs w:val="1"/>
                <w:color w:val="FFFFFF"/>
                <w:w w:val="99"/>
              </w:rPr>
              <w:t>of Stock That</w:t>
            </w:r>
          </w:p>
        </w:tc>
        <w:tc>
          <w:tcPr>
            <w:tcW w:w="1380" w:type="dxa"/>
            <w:vAlign w:val="bottom"/>
            <w:shd w:val="clear" w:color="auto" w:fill="3E8EDE"/>
          </w:tcPr>
          <w:p>
            <w:pPr>
              <w:jc w:val="center"/>
              <w:ind w:right="101"/>
              <w:spacing w:after="0" w:line="130" w:lineRule="exact"/>
              <w:rPr>
                <w:sz w:val="20"/>
                <w:szCs w:val="20"/>
                <w:color w:val="auto"/>
              </w:rPr>
            </w:pPr>
            <w:r>
              <w:rPr>
                <w:rFonts w:ascii="Arial" w:cs="Arial" w:eastAsia="Arial" w:hAnsi="Arial"/>
                <w:sz w:val="12"/>
                <w:szCs w:val="12"/>
                <w:b w:val="1"/>
                <w:bCs w:val="1"/>
                <w:color w:val="FFFFFF"/>
              </w:rPr>
              <w:t>Stock That Have</w:t>
            </w:r>
          </w:p>
        </w:tc>
        <w:tc>
          <w:tcPr>
            <w:tcW w:w="0" w:type="dxa"/>
            <w:vAlign w:val="bottom"/>
          </w:tcPr>
          <w:p>
            <w:pPr>
              <w:spacing w:after="0"/>
              <w:rPr>
                <w:sz w:val="1"/>
                <w:szCs w:val="1"/>
                <w:color w:val="auto"/>
              </w:rPr>
            </w:pPr>
          </w:p>
        </w:tc>
      </w:tr>
      <w:tr>
        <w:trPr>
          <w:trHeight w:val="130"/>
        </w:trPr>
        <w:tc>
          <w:tcPr>
            <w:tcW w:w="1620" w:type="dxa"/>
            <w:vAlign w:val="bottom"/>
            <w:tcBorders>
              <w:right w:val="single" w:sz="8" w:color="3E8EDE"/>
            </w:tcBorders>
            <w:vMerge w:val="restart"/>
            <w:shd w:val="clear" w:color="auto" w:fill="3E8EDE"/>
          </w:tcPr>
          <w:p>
            <w:pPr>
              <w:ind w:left="620"/>
              <w:spacing w:after="0"/>
              <w:rPr>
                <w:sz w:val="20"/>
                <w:szCs w:val="20"/>
                <w:color w:val="auto"/>
              </w:rPr>
            </w:pPr>
            <w:r>
              <w:rPr>
                <w:rFonts w:ascii="Arial" w:cs="Arial" w:eastAsia="Arial" w:hAnsi="Arial"/>
                <w:sz w:val="12"/>
                <w:szCs w:val="12"/>
                <w:b w:val="1"/>
                <w:bCs w:val="1"/>
                <w:color w:val="FFFFFF"/>
              </w:rPr>
              <w:t>Name</w:t>
            </w:r>
          </w:p>
        </w:tc>
        <w:tc>
          <w:tcPr>
            <w:tcW w:w="78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w w:val="99"/>
              </w:rPr>
              <w:t>Grant</w:t>
            </w:r>
          </w:p>
        </w:tc>
        <w:tc>
          <w:tcPr>
            <w:tcW w:w="126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Options (#)</w:t>
            </w:r>
          </w:p>
        </w:tc>
        <w:tc>
          <w:tcPr>
            <w:tcW w:w="136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Options (#)</w:t>
            </w:r>
          </w:p>
        </w:tc>
        <w:tc>
          <w:tcPr>
            <w:tcW w:w="104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 xml:space="preserve"> Exercise </w:t>
            </w:r>
          </w:p>
        </w:tc>
        <w:tc>
          <w:tcPr>
            <w:tcW w:w="80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rPr>
              <w:t xml:space="preserve"> Expiration </w:t>
            </w:r>
          </w:p>
        </w:tc>
        <w:tc>
          <w:tcPr>
            <w:tcW w:w="720" w:type="dxa"/>
            <w:vAlign w:val="bottom"/>
            <w:tcBorders>
              <w:right w:val="single" w:sz="8" w:color="3E8EDE"/>
            </w:tcBorders>
            <w:shd w:val="clear" w:color="auto" w:fill="3E8EDE"/>
          </w:tcPr>
          <w:p>
            <w:pPr>
              <w:jc w:val="center"/>
              <w:spacing w:after="0" w:line="130" w:lineRule="exact"/>
              <w:rPr>
                <w:sz w:val="20"/>
                <w:szCs w:val="20"/>
                <w:color w:val="auto"/>
              </w:rPr>
            </w:pPr>
            <w:r>
              <w:rPr>
                <w:rFonts w:ascii="Arial" w:cs="Arial" w:eastAsia="Arial" w:hAnsi="Arial"/>
                <w:sz w:val="12"/>
                <w:szCs w:val="12"/>
                <w:b w:val="1"/>
                <w:bCs w:val="1"/>
                <w:color w:val="FFFFFF"/>
                <w:w w:val="99"/>
              </w:rPr>
              <w:t>Grant</w:t>
            </w:r>
          </w:p>
        </w:tc>
        <w:tc>
          <w:tcPr>
            <w:tcW w:w="1600" w:type="dxa"/>
            <w:vAlign w:val="bottom"/>
            <w:gridSpan w:val="2"/>
            <w:shd w:val="clear" w:color="auto" w:fill="3E8EDE"/>
          </w:tcPr>
          <w:p>
            <w:pPr>
              <w:jc w:val="center"/>
              <w:ind w:right="200"/>
              <w:spacing w:after="0" w:line="130" w:lineRule="exact"/>
              <w:rPr>
                <w:sz w:val="20"/>
                <w:szCs w:val="20"/>
                <w:color w:val="auto"/>
              </w:rPr>
            </w:pPr>
            <w:r>
              <w:rPr>
                <w:rFonts w:ascii="Arial" w:cs="Arial" w:eastAsia="Arial" w:hAnsi="Arial"/>
                <w:sz w:val="12"/>
                <w:szCs w:val="12"/>
                <w:b w:val="1"/>
                <w:bCs w:val="1"/>
                <w:color w:val="FFFFFF"/>
                <w:w w:val="99"/>
              </w:rPr>
              <w:t>Have Not</w:t>
            </w:r>
          </w:p>
        </w:tc>
        <w:tc>
          <w:tcPr>
            <w:tcW w:w="1380" w:type="dxa"/>
            <w:vAlign w:val="bottom"/>
            <w:shd w:val="clear" w:color="auto" w:fill="3E8EDE"/>
          </w:tcPr>
          <w:p>
            <w:pPr>
              <w:jc w:val="center"/>
              <w:ind w:right="101"/>
              <w:spacing w:after="0" w:line="130" w:lineRule="exact"/>
              <w:rPr>
                <w:sz w:val="20"/>
                <w:szCs w:val="20"/>
                <w:color w:val="auto"/>
              </w:rPr>
            </w:pPr>
            <w:r>
              <w:rPr>
                <w:rFonts w:ascii="Arial" w:cs="Arial" w:eastAsia="Arial" w:hAnsi="Arial"/>
                <w:sz w:val="12"/>
                <w:szCs w:val="12"/>
                <w:b w:val="1"/>
                <w:bCs w:val="1"/>
                <w:color w:val="FFFFFF"/>
                <w:w w:val="98"/>
              </w:rPr>
              <w:t>Not Vested</w:t>
            </w:r>
          </w:p>
        </w:tc>
        <w:tc>
          <w:tcPr>
            <w:tcW w:w="0" w:type="dxa"/>
            <w:vAlign w:val="bottom"/>
          </w:tcPr>
          <w:p>
            <w:pPr>
              <w:spacing w:after="0"/>
              <w:rPr>
                <w:sz w:val="1"/>
                <w:szCs w:val="1"/>
                <w:color w:val="auto"/>
              </w:rPr>
            </w:pPr>
          </w:p>
        </w:tc>
      </w:tr>
      <w:tr>
        <w:trPr>
          <w:trHeight w:val="186"/>
        </w:trPr>
        <w:tc>
          <w:tcPr>
            <w:tcW w:w="1620" w:type="dxa"/>
            <w:vAlign w:val="bottom"/>
            <w:tcBorders>
              <w:right w:val="single" w:sz="8" w:color="3E8EDE"/>
            </w:tcBorders>
            <w:vMerge w:val="continue"/>
            <w:shd w:val="clear" w:color="auto" w:fill="3E8EDE"/>
          </w:tcPr>
          <w:p>
            <w:pPr>
              <w:spacing w:after="0"/>
              <w:rPr>
                <w:sz w:val="16"/>
                <w:szCs w:val="16"/>
                <w:color w:val="auto"/>
              </w:rPr>
            </w:pPr>
          </w:p>
        </w:tc>
        <w:tc>
          <w:tcPr>
            <w:tcW w:w="78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2"/>
                <w:szCs w:val="12"/>
                <w:b w:val="1"/>
                <w:bCs w:val="1"/>
                <w:color w:val="FFFFFF"/>
                <w:w w:val="99"/>
              </w:rPr>
              <w:t>Date</w:t>
            </w:r>
          </w:p>
        </w:tc>
        <w:tc>
          <w:tcPr>
            <w:tcW w:w="126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2"/>
                <w:szCs w:val="12"/>
                <w:b w:val="1"/>
                <w:bCs w:val="1"/>
                <w:color w:val="FFFFFF"/>
              </w:rPr>
              <w:t xml:space="preserve">Exercisable </w:t>
            </w:r>
          </w:p>
        </w:tc>
        <w:tc>
          <w:tcPr>
            <w:tcW w:w="136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2"/>
                <w:szCs w:val="12"/>
                <w:b w:val="1"/>
                <w:bCs w:val="1"/>
                <w:color w:val="FFFFFF"/>
              </w:rPr>
              <w:t xml:space="preserve"> Unexercisable </w:t>
            </w:r>
          </w:p>
        </w:tc>
        <w:tc>
          <w:tcPr>
            <w:tcW w:w="104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2"/>
                <w:szCs w:val="12"/>
                <w:b w:val="1"/>
                <w:bCs w:val="1"/>
                <w:color w:val="FFFFFF"/>
                <w:w w:val="97"/>
              </w:rPr>
              <w:t>Price ($)</w:t>
            </w:r>
          </w:p>
        </w:tc>
        <w:tc>
          <w:tcPr>
            <w:tcW w:w="80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2"/>
                <w:szCs w:val="12"/>
                <w:b w:val="1"/>
                <w:bCs w:val="1"/>
                <w:color w:val="FFFFFF"/>
                <w:w w:val="99"/>
              </w:rPr>
              <w:t>Date</w:t>
            </w:r>
          </w:p>
        </w:tc>
        <w:tc>
          <w:tcPr>
            <w:tcW w:w="72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2"/>
                <w:szCs w:val="12"/>
                <w:b w:val="1"/>
                <w:bCs w:val="1"/>
                <w:color w:val="FFFFFF"/>
                <w:w w:val="99"/>
              </w:rPr>
              <w:t>Date</w:t>
            </w:r>
          </w:p>
        </w:tc>
        <w:tc>
          <w:tcPr>
            <w:tcW w:w="1600" w:type="dxa"/>
            <w:vAlign w:val="bottom"/>
            <w:gridSpan w:val="2"/>
            <w:shd w:val="clear" w:color="auto" w:fill="3E8EDE"/>
          </w:tcPr>
          <w:p>
            <w:pPr>
              <w:jc w:val="center"/>
              <w:ind w:right="200"/>
              <w:spacing w:after="0"/>
              <w:rPr>
                <w:sz w:val="20"/>
                <w:szCs w:val="20"/>
                <w:color w:val="auto"/>
              </w:rPr>
            </w:pPr>
            <w:r>
              <w:rPr>
                <w:rFonts w:ascii="Arial" w:cs="Arial" w:eastAsia="Arial" w:hAnsi="Arial"/>
                <w:sz w:val="12"/>
                <w:szCs w:val="12"/>
                <w:b w:val="1"/>
                <w:bCs w:val="1"/>
                <w:color w:val="FFFFFF"/>
                <w:w w:val="97"/>
              </w:rPr>
              <w:t>Vested (#)</w:t>
            </w:r>
          </w:p>
        </w:tc>
        <w:tc>
          <w:tcPr>
            <w:tcW w:w="1380" w:type="dxa"/>
            <w:vAlign w:val="bottom"/>
            <w:shd w:val="clear" w:color="auto" w:fill="3E8EDE"/>
          </w:tcPr>
          <w:p>
            <w:pPr>
              <w:jc w:val="center"/>
              <w:ind w:right="101"/>
              <w:spacing w:after="0" w:line="186" w:lineRule="exact"/>
              <w:rPr>
                <w:sz w:val="20"/>
                <w:szCs w:val="20"/>
                <w:color w:val="auto"/>
              </w:rPr>
            </w:pPr>
            <w:r>
              <w:rPr>
                <w:rFonts w:ascii="Arial" w:cs="Arial" w:eastAsia="Arial" w:hAnsi="Arial"/>
                <w:sz w:val="21"/>
                <w:szCs w:val="21"/>
                <w:b w:val="1"/>
                <w:bCs w:val="1"/>
                <w:color w:val="FFFFFF"/>
                <w:w w:val="96"/>
                <w:vertAlign w:val="subscript"/>
              </w:rPr>
              <w:t>($)</w:t>
            </w:r>
            <w:r>
              <w:rPr>
                <w:rFonts w:ascii="Arial" w:cs="Arial" w:eastAsia="Arial" w:hAnsi="Arial"/>
                <w:sz w:val="8"/>
                <w:szCs w:val="8"/>
                <w:b w:val="1"/>
                <w:bCs w:val="1"/>
                <w:color w:val="FFFFFF"/>
                <w:w w:val="96"/>
              </w:rPr>
              <w:t>(1)</w:t>
            </w:r>
          </w:p>
        </w:tc>
        <w:tc>
          <w:tcPr>
            <w:tcW w:w="0" w:type="dxa"/>
            <w:vAlign w:val="bottom"/>
          </w:tcPr>
          <w:p>
            <w:pPr>
              <w:spacing w:after="0"/>
              <w:rPr>
                <w:sz w:val="1"/>
                <w:szCs w:val="1"/>
                <w:color w:val="auto"/>
              </w:rPr>
            </w:pPr>
          </w:p>
        </w:tc>
      </w:tr>
      <w:tr>
        <w:trPr>
          <w:trHeight w:val="187"/>
        </w:trPr>
        <w:tc>
          <w:tcPr>
            <w:tcW w:w="1620" w:type="dxa"/>
            <w:vAlign w:val="bottom"/>
            <w:tcBorders>
              <w:bottom w:val="single" w:sz="8" w:color="E2EEFA"/>
              <w:right w:val="single" w:sz="8" w:color="E2EEFA"/>
            </w:tcBorders>
            <w:shd w:val="clear" w:color="auto" w:fill="E2EEFA"/>
          </w:tcPr>
          <w:p>
            <w:pPr>
              <w:spacing w:after="0"/>
              <w:rPr>
                <w:sz w:val="20"/>
                <w:szCs w:val="20"/>
                <w:color w:val="auto"/>
              </w:rPr>
            </w:pPr>
            <w:r>
              <w:rPr>
                <w:rFonts w:ascii="Arial" w:cs="Arial" w:eastAsia="Arial" w:hAnsi="Arial"/>
                <w:sz w:val="12"/>
                <w:szCs w:val="12"/>
                <w:color w:val="auto"/>
              </w:rPr>
              <w:t>  J. Adam Zangerle</w:t>
            </w:r>
          </w:p>
        </w:tc>
        <w:tc>
          <w:tcPr>
            <w:tcW w:w="780" w:type="dxa"/>
            <w:vAlign w:val="bottom"/>
            <w:tcBorders>
              <w:bottom w:val="single" w:sz="8" w:color="E2EEFA"/>
              <w:right w:val="single" w:sz="8" w:color="E2EEFA"/>
            </w:tcBorders>
            <w:shd w:val="clear" w:color="auto" w:fill="E2EEFA"/>
          </w:tcPr>
          <w:p>
            <w:pPr>
              <w:spacing w:after="0"/>
              <w:rPr>
                <w:sz w:val="16"/>
                <w:szCs w:val="16"/>
                <w:color w:val="auto"/>
              </w:rPr>
            </w:pPr>
          </w:p>
        </w:tc>
        <w:tc>
          <w:tcPr>
            <w:tcW w:w="1260" w:type="dxa"/>
            <w:vAlign w:val="bottom"/>
            <w:tcBorders>
              <w:bottom w:val="single" w:sz="8" w:color="E2EEFA"/>
              <w:right w:val="single" w:sz="8" w:color="E2EEFA"/>
            </w:tcBorders>
            <w:shd w:val="clear" w:color="auto" w:fill="E2EEFA"/>
          </w:tcPr>
          <w:p>
            <w:pPr>
              <w:spacing w:after="0"/>
              <w:rPr>
                <w:sz w:val="16"/>
                <w:szCs w:val="16"/>
                <w:color w:val="auto"/>
              </w:rPr>
            </w:pPr>
          </w:p>
        </w:tc>
        <w:tc>
          <w:tcPr>
            <w:tcW w:w="1360" w:type="dxa"/>
            <w:vAlign w:val="bottom"/>
            <w:tcBorders>
              <w:bottom w:val="single" w:sz="8" w:color="E2EEFA"/>
              <w:right w:val="single" w:sz="8" w:color="E2EEFA"/>
            </w:tcBorders>
            <w:shd w:val="clear" w:color="auto" w:fill="E2EEFA"/>
          </w:tcPr>
          <w:p>
            <w:pPr>
              <w:spacing w:after="0"/>
              <w:rPr>
                <w:sz w:val="16"/>
                <w:szCs w:val="16"/>
                <w:color w:val="auto"/>
              </w:rPr>
            </w:pPr>
          </w:p>
        </w:tc>
        <w:tc>
          <w:tcPr>
            <w:tcW w:w="1040" w:type="dxa"/>
            <w:vAlign w:val="bottom"/>
            <w:tcBorders>
              <w:bottom w:val="single" w:sz="8" w:color="E2EEFA"/>
              <w:right w:val="single" w:sz="8" w:color="E2EEFA"/>
            </w:tcBorders>
            <w:shd w:val="clear" w:color="auto" w:fill="E2EEFA"/>
          </w:tcPr>
          <w:p>
            <w:pPr>
              <w:spacing w:after="0"/>
              <w:rPr>
                <w:sz w:val="16"/>
                <w:szCs w:val="16"/>
                <w:color w:val="auto"/>
              </w:rPr>
            </w:pPr>
          </w:p>
        </w:tc>
        <w:tc>
          <w:tcPr>
            <w:tcW w:w="800" w:type="dxa"/>
            <w:vAlign w:val="bottom"/>
            <w:tcBorders>
              <w:bottom w:val="single" w:sz="8" w:color="E2EEFA"/>
              <w:right w:val="single" w:sz="8" w:color="E2EEFA"/>
            </w:tcBorders>
            <w:shd w:val="clear" w:color="auto" w:fill="E2EEFA"/>
          </w:tcPr>
          <w:p>
            <w:pPr>
              <w:spacing w:after="0"/>
              <w:rPr>
                <w:sz w:val="16"/>
                <w:szCs w:val="16"/>
                <w:color w:val="auto"/>
              </w:rPr>
            </w:pPr>
          </w:p>
        </w:tc>
        <w:tc>
          <w:tcPr>
            <w:tcW w:w="720" w:type="dxa"/>
            <w:vAlign w:val="bottom"/>
            <w:tcBorders>
              <w:bottom w:val="single" w:sz="8" w:color="E2EEFA"/>
              <w:right w:val="single" w:sz="8" w:color="E2EEFA"/>
            </w:tcBorders>
            <w:shd w:val="clear" w:color="auto" w:fill="E2EEFA"/>
          </w:tcPr>
          <w:p>
            <w:pPr>
              <w:spacing w:after="0"/>
              <w:rPr>
                <w:sz w:val="16"/>
                <w:szCs w:val="16"/>
                <w:color w:val="auto"/>
              </w:rPr>
            </w:pPr>
          </w:p>
        </w:tc>
        <w:tc>
          <w:tcPr>
            <w:tcW w:w="1380" w:type="dxa"/>
            <w:vAlign w:val="bottom"/>
            <w:tcBorders>
              <w:bottom w:val="single" w:sz="8" w:color="E2EEFA"/>
              <w:right w:val="single" w:sz="8" w:color="E2EEFA"/>
            </w:tcBorders>
            <w:shd w:val="clear" w:color="auto" w:fill="E2EEFA"/>
          </w:tcPr>
          <w:p>
            <w:pPr>
              <w:spacing w:after="0"/>
              <w:rPr>
                <w:sz w:val="16"/>
                <w:szCs w:val="16"/>
                <w:color w:val="auto"/>
              </w:rPr>
            </w:pPr>
          </w:p>
        </w:tc>
        <w:tc>
          <w:tcPr>
            <w:tcW w:w="220" w:type="dxa"/>
            <w:vAlign w:val="bottom"/>
            <w:tcBorders>
              <w:bottom w:val="single" w:sz="8" w:color="E2EEFA"/>
            </w:tcBorders>
            <w:shd w:val="clear" w:color="auto" w:fill="E2EEFA"/>
          </w:tcPr>
          <w:p>
            <w:pPr>
              <w:spacing w:after="0"/>
              <w:rPr>
                <w:sz w:val="16"/>
                <w:szCs w:val="16"/>
                <w:color w:val="auto"/>
              </w:rPr>
            </w:pPr>
          </w:p>
        </w:tc>
        <w:tc>
          <w:tcPr>
            <w:tcW w:w="1380" w:type="dxa"/>
            <w:vAlign w:val="bottom"/>
            <w:tcBorders>
              <w:bottom w:val="single" w:sz="8" w:color="E2EEFA"/>
            </w:tcBorders>
            <w:shd w:val="clear" w:color="auto" w:fill="E2EEFA"/>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620" w:type="dxa"/>
            <w:vAlign w:val="bottom"/>
            <w:tcBorders>
              <w:right w:val="single" w:sz="8" w:color="B2B2B2"/>
            </w:tcBorders>
          </w:tcPr>
          <w:p>
            <w:pPr>
              <w:spacing w:after="0"/>
              <w:rPr>
                <w:sz w:val="14"/>
                <w:szCs w:val="14"/>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5/30/2017</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14,000</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77.07</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5/30/2027</w:t>
            </w:r>
          </w:p>
        </w:tc>
        <w:tc>
          <w:tcPr>
            <w:tcW w:w="720" w:type="dxa"/>
            <w:vAlign w:val="bottom"/>
            <w:tcBorders>
              <w:right w:val="single" w:sz="8" w:color="B2B2B2"/>
            </w:tcBorders>
          </w:tcPr>
          <w:p>
            <w:pPr>
              <w:spacing w:after="0"/>
              <w:rPr>
                <w:sz w:val="14"/>
                <w:szCs w:val="14"/>
                <w:color w:val="auto"/>
              </w:rPr>
            </w:pPr>
          </w:p>
        </w:tc>
        <w:tc>
          <w:tcPr>
            <w:tcW w:w="1380" w:type="dxa"/>
            <w:vAlign w:val="bottom"/>
            <w:tcBorders>
              <w:right w:val="single" w:sz="8" w:color="B2B2B2"/>
            </w:tcBorders>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5/31/2018</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21,536</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114.22</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5/31/2028</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5/31/2019</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19,244</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147.05</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5/31/2029</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6/01/2020</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18,168</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182.22</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6/01/2030</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6/02/2021</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17,284</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210.30</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6/02/2031</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10/01/2021</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8,196</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228.36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10/01/2031</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6/02/2022</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11,529</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3,843</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250.06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6/02/2032</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5/31/2023</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9,740</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9,740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219.97</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5/31/2033</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6/04/2024</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3,921</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11,763</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251.34</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6/04/2034</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6/03/2025</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0</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13,360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267.66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6/03/2035</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2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6/02/2022</w:t>
            </w:r>
          </w:p>
        </w:tc>
        <w:tc>
          <w:tcPr>
            <w:tcW w:w="138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846</w:t>
            </w:r>
          </w:p>
        </w:tc>
        <w:tc>
          <w:tcPr>
            <w:tcW w:w="220" w:type="dxa"/>
            <w:vAlign w:val="bottom"/>
          </w:tcPr>
          <w:p>
            <w:pPr>
              <w:spacing w:after="0"/>
              <w:rPr>
                <w:sz w:val="13"/>
                <w:szCs w:val="13"/>
                <w:color w:val="auto"/>
              </w:rPr>
            </w:pPr>
          </w:p>
        </w:tc>
        <w:tc>
          <w:tcPr>
            <w:tcW w:w="1380" w:type="dxa"/>
            <w:vAlign w:val="bottom"/>
          </w:tcPr>
          <w:p>
            <w:pPr>
              <w:jc w:val="right"/>
              <w:ind w:right="481"/>
              <w:spacing w:after="0"/>
              <w:rPr>
                <w:sz w:val="20"/>
                <w:szCs w:val="20"/>
                <w:color w:val="auto"/>
              </w:rPr>
            </w:pPr>
            <w:r>
              <w:rPr>
                <w:rFonts w:ascii="Arial" w:cs="Arial" w:eastAsia="Arial" w:hAnsi="Arial"/>
                <w:sz w:val="12"/>
                <w:szCs w:val="12"/>
                <w:color w:val="auto"/>
              </w:rPr>
              <w:t>187,076</w:t>
            </w: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2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5/31/2023</w:t>
            </w:r>
          </w:p>
        </w:tc>
        <w:tc>
          <w:tcPr>
            <w:tcW w:w="138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1,157</w:t>
            </w:r>
          </w:p>
        </w:tc>
        <w:tc>
          <w:tcPr>
            <w:tcW w:w="220" w:type="dxa"/>
            <w:vAlign w:val="bottom"/>
          </w:tcPr>
          <w:p>
            <w:pPr>
              <w:spacing w:after="0"/>
              <w:rPr>
                <w:sz w:val="13"/>
                <w:szCs w:val="13"/>
                <w:color w:val="auto"/>
              </w:rPr>
            </w:pPr>
          </w:p>
        </w:tc>
        <w:tc>
          <w:tcPr>
            <w:tcW w:w="1380" w:type="dxa"/>
            <w:vAlign w:val="bottom"/>
          </w:tcPr>
          <w:p>
            <w:pPr>
              <w:jc w:val="right"/>
              <w:ind w:right="481"/>
              <w:spacing w:after="0"/>
              <w:rPr>
                <w:sz w:val="20"/>
                <w:szCs w:val="20"/>
                <w:color w:val="auto"/>
              </w:rPr>
            </w:pPr>
            <w:r>
              <w:rPr>
                <w:rFonts w:ascii="Arial" w:cs="Arial" w:eastAsia="Arial" w:hAnsi="Arial"/>
                <w:sz w:val="12"/>
                <w:szCs w:val="12"/>
                <w:color w:val="auto"/>
              </w:rPr>
              <w:t>255,847</w:t>
            </w: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2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6/04/2024</w:t>
            </w:r>
          </w:p>
        </w:tc>
        <w:tc>
          <w:tcPr>
            <w:tcW w:w="138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2,040</w:t>
            </w:r>
          </w:p>
        </w:tc>
        <w:tc>
          <w:tcPr>
            <w:tcW w:w="220" w:type="dxa"/>
            <w:vAlign w:val="bottom"/>
          </w:tcPr>
          <w:p>
            <w:pPr>
              <w:spacing w:after="0"/>
              <w:rPr>
                <w:sz w:val="13"/>
                <w:szCs w:val="13"/>
                <w:color w:val="auto"/>
              </w:rPr>
            </w:pPr>
          </w:p>
        </w:tc>
        <w:tc>
          <w:tcPr>
            <w:tcW w:w="1380" w:type="dxa"/>
            <w:vAlign w:val="bottom"/>
          </w:tcPr>
          <w:p>
            <w:pPr>
              <w:jc w:val="right"/>
              <w:ind w:right="481"/>
              <w:spacing w:after="0"/>
              <w:rPr>
                <w:sz w:val="20"/>
                <w:szCs w:val="20"/>
                <w:color w:val="auto"/>
              </w:rPr>
            </w:pPr>
            <w:r>
              <w:rPr>
                <w:rFonts w:ascii="Arial" w:cs="Arial" w:eastAsia="Arial" w:hAnsi="Arial"/>
                <w:sz w:val="12"/>
                <w:szCs w:val="12"/>
                <w:color w:val="auto"/>
              </w:rPr>
              <w:t>451,105</w:t>
            </w: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620" w:type="dxa"/>
            <w:vAlign w:val="bottom"/>
            <w:tcBorders>
              <w:right w:val="single" w:sz="8" w:color="B2B2B2"/>
            </w:tcBorders>
          </w:tcPr>
          <w:p>
            <w:pPr>
              <w:spacing w:after="0"/>
              <w:rPr>
                <w:sz w:val="16"/>
                <w:szCs w:val="16"/>
                <w:color w:val="auto"/>
              </w:rPr>
            </w:pPr>
          </w:p>
        </w:tc>
        <w:tc>
          <w:tcPr>
            <w:tcW w:w="780" w:type="dxa"/>
            <w:vAlign w:val="bottom"/>
            <w:tcBorders>
              <w:right w:val="single" w:sz="8" w:color="B2B2B2"/>
            </w:tcBorders>
          </w:tcPr>
          <w:p>
            <w:pPr>
              <w:spacing w:after="0"/>
              <w:rPr>
                <w:sz w:val="16"/>
                <w:szCs w:val="16"/>
                <w:color w:val="auto"/>
              </w:rPr>
            </w:pPr>
          </w:p>
        </w:tc>
        <w:tc>
          <w:tcPr>
            <w:tcW w:w="1260" w:type="dxa"/>
            <w:vAlign w:val="bottom"/>
            <w:tcBorders>
              <w:right w:val="single" w:sz="8" w:color="B2B2B2"/>
            </w:tcBorders>
          </w:tcPr>
          <w:p>
            <w:pPr>
              <w:spacing w:after="0"/>
              <w:rPr>
                <w:sz w:val="16"/>
                <w:szCs w:val="16"/>
                <w:color w:val="auto"/>
              </w:rPr>
            </w:pPr>
          </w:p>
        </w:tc>
        <w:tc>
          <w:tcPr>
            <w:tcW w:w="1360" w:type="dxa"/>
            <w:vAlign w:val="bottom"/>
            <w:tcBorders>
              <w:right w:val="single" w:sz="8" w:color="B2B2B2"/>
            </w:tcBorders>
          </w:tcPr>
          <w:p>
            <w:pPr>
              <w:spacing w:after="0"/>
              <w:rPr>
                <w:sz w:val="16"/>
                <w:szCs w:val="16"/>
                <w:color w:val="auto"/>
              </w:rPr>
            </w:pPr>
          </w:p>
        </w:tc>
        <w:tc>
          <w:tcPr>
            <w:tcW w:w="1040" w:type="dxa"/>
            <w:vAlign w:val="bottom"/>
            <w:tcBorders>
              <w:right w:val="single" w:sz="8" w:color="B2B2B2"/>
            </w:tcBorders>
          </w:tcPr>
          <w:p>
            <w:pPr>
              <w:spacing w:after="0"/>
              <w:rPr>
                <w:sz w:val="16"/>
                <w:szCs w:val="16"/>
                <w:color w:val="auto"/>
              </w:rPr>
            </w:pPr>
          </w:p>
        </w:tc>
        <w:tc>
          <w:tcPr>
            <w:tcW w:w="800" w:type="dxa"/>
            <w:vAlign w:val="bottom"/>
            <w:tcBorders>
              <w:right w:val="single" w:sz="8" w:color="B2B2B2"/>
            </w:tcBorders>
          </w:tcPr>
          <w:p>
            <w:pPr>
              <w:spacing w:after="0"/>
              <w:rPr>
                <w:sz w:val="16"/>
                <w:szCs w:val="16"/>
                <w:color w:val="auto"/>
              </w:rPr>
            </w:pPr>
          </w:p>
        </w:tc>
        <w:tc>
          <w:tcPr>
            <w:tcW w:w="72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6/03/2025</w:t>
            </w:r>
          </w:p>
        </w:tc>
        <w:tc>
          <w:tcPr>
            <w:tcW w:w="138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3,756</w:t>
            </w:r>
          </w:p>
        </w:tc>
        <w:tc>
          <w:tcPr>
            <w:tcW w:w="220" w:type="dxa"/>
            <w:vAlign w:val="bottom"/>
          </w:tcPr>
          <w:p>
            <w:pPr>
              <w:spacing w:after="0"/>
              <w:rPr>
                <w:sz w:val="16"/>
                <w:szCs w:val="16"/>
                <w:color w:val="auto"/>
              </w:rPr>
            </w:pPr>
          </w:p>
        </w:tc>
        <w:tc>
          <w:tcPr>
            <w:tcW w:w="1380" w:type="dxa"/>
            <w:vAlign w:val="bottom"/>
          </w:tcPr>
          <w:p>
            <w:pPr>
              <w:jc w:val="right"/>
              <w:ind w:right="481"/>
              <w:spacing w:after="0"/>
              <w:rPr>
                <w:sz w:val="20"/>
                <w:szCs w:val="20"/>
                <w:color w:val="auto"/>
              </w:rPr>
            </w:pPr>
            <w:r>
              <w:rPr>
                <w:rFonts w:ascii="Arial" w:cs="Arial" w:eastAsia="Arial" w:hAnsi="Arial"/>
                <w:sz w:val="12"/>
                <w:szCs w:val="12"/>
                <w:color w:val="auto"/>
              </w:rPr>
              <w:t>830,564</w:t>
            </w:r>
          </w:p>
        </w:tc>
        <w:tc>
          <w:tcPr>
            <w:tcW w:w="0" w:type="dxa"/>
            <w:vAlign w:val="bottom"/>
          </w:tcPr>
          <w:p>
            <w:pPr>
              <w:spacing w:after="0"/>
              <w:rPr>
                <w:sz w:val="1"/>
                <w:szCs w:val="1"/>
                <w:color w:val="auto"/>
              </w:rPr>
            </w:pPr>
          </w:p>
        </w:tc>
      </w:tr>
      <w:tr>
        <w:trPr>
          <w:trHeight w:val="174"/>
        </w:trPr>
        <w:tc>
          <w:tcPr>
            <w:tcW w:w="1620" w:type="dxa"/>
            <w:vAlign w:val="bottom"/>
            <w:tcBorders>
              <w:bottom w:val="single" w:sz="8" w:color="E2EEFA"/>
              <w:right w:val="single" w:sz="8" w:color="E2EEFA"/>
            </w:tcBorders>
            <w:shd w:val="clear" w:color="auto" w:fill="E2EEFA"/>
          </w:tcPr>
          <w:p>
            <w:pPr>
              <w:spacing w:after="0"/>
              <w:rPr>
                <w:sz w:val="20"/>
                <w:szCs w:val="20"/>
                <w:color w:val="auto"/>
              </w:rPr>
            </w:pPr>
            <w:r>
              <w:rPr>
                <w:rFonts w:ascii="Arial" w:cs="Arial" w:eastAsia="Arial" w:hAnsi="Arial"/>
                <w:sz w:val="12"/>
                <w:szCs w:val="12"/>
                <w:color w:val="auto"/>
              </w:rPr>
              <w:t>  Cary L. Majors</w:t>
            </w:r>
          </w:p>
        </w:tc>
        <w:tc>
          <w:tcPr>
            <w:tcW w:w="780" w:type="dxa"/>
            <w:vAlign w:val="bottom"/>
            <w:tcBorders>
              <w:bottom w:val="single" w:sz="8" w:color="E2EEFA"/>
              <w:right w:val="single" w:sz="8" w:color="E2EEFA"/>
            </w:tcBorders>
            <w:shd w:val="clear" w:color="auto" w:fill="E2EEFA"/>
          </w:tcPr>
          <w:p>
            <w:pPr>
              <w:spacing w:after="0"/>
              <w:rPr>
                <w:sz w:val="15"/>
                <w:szCs w:val="15"/>
                <w:color w:val="auto"/>
              </w:rPr>
            </w:pPr>
          </w:p>
        </w:tc>
        <w:tc>
          <w:tcPr>
            <w:tcW w:w="1260" w:type="dxa"/>
            <w:vAlign w:val="bottom"/>
            <w:tcBorders>
              <w:bottom w:val="single" w:sz="8" w:color="E2EEFA"/>
              <w:right w:val="single" w:sz="8" w:color="E2EEFA"/>
            </w:tcBorders>
            <w:shd w:val="clear" w:color="auto" w:fill="E2EEFA"/>
          </w:tcPr>
          <w:p>
            <w:pPr>
              <w:spacing w:after="0"/>
              <w:rPr>
                <w:sz w:val="15"/>
                <w:szCs w:val="15"/>
                <w:color w:val="auto"/>
              </w:rPr>
            </w:pPr>
          </w:p>
        </w:tc>
        <w:tc>
          <w:tcPr>
            <w:tcW w:w="1360" w:type="dxa"/>
            <w:vAlign w:val="bottom"/>
            <w:tcBorders>
              <w:bottom w:val="single" w:sz="8" w:color="E2EEFA"/>
              <w:right w:val="single" w:sz="8" w:color="E2EEFA"/>
            </w:tcBorders>
            <w:shd w:val="clear" w:color="auto" w:fill="E2EEFA"/>
          </w:tcPr>
          <w:p>
            <w:pPr>
              <w:spacing w:after="0"/>
              <w:rPr>
                <w:sz w:val="15"/>
                <w:szCs w:val="15"/>
                <w:color w:val="auto"/>
              </w:rPr>
            </w:pPr>
          </w:p>
        </w:tc>
        <w:tc>
          <w:tcPr>
            <w:tcW w:w="1040" w:type="dxa"/>
            <w:vAlign w:val="bottom"/>
            <w:tcBorders>
              <w:bottom w:val="single" w:sz="8" w:color="E2EEFA"/>
              <w:right w:val="single" w:sz="8" w:color="E2EEFA"/>
            </w:tcBorders>
            <w:shd w:val="clear" w:color="auto" w:fill="E2EEFA"/>
          </w:tcPr>
          <w:p>
            <w:pPr>
              <w:spacing w:after="0"/>
              <w:rPr>
                <w:sz w:val="15"/>
                <w:szCs w:val="15"/>
                <w:color w:val="auto"/>
              </w:rPr>
            </w:pPr>
          </w:p>
        </w:tc>
        <w:tc>
          <w:tcPr>
            <w:tcW w:w="800" w:type="dxa"/>
            <w:vAlign w:val="bottom"/>
            <w:tcBorders>
              <w:bottom w:val="single" w:sz="8" w:color="E2EEFA"/>
              <w:right w:val="single" w:sz="8" w:color="E2EEFA"/>
            </w:tcBorders>
            <w:shd w:val="clear" w:color="auto" w:fill="E2EEFA"/>
          </w:tcPr>
          <w:p>
            <w:pPr>
              <w:spacing w:after="0"/>
              <w:rPr>
                <w:sz w:val="15"/>
                <w:szCs w:val="15"/>
                <w:color w:val="auto"/>
              </w:rPr>
            </w:pPr>
          </w:p>
        </w:tc>
        <w:tc>
          <w:tcPr>
            <w:tcW w:w="720" w:type="dxa"/>
            <w:vAlign w:val="bottom"/>
            <w:tcBorders>
              <w:bottom w:val="single" w:sz="8" w:color="E2EEFA"/>
              <w:right w:val="single" w:sz="8" w:color="E2EEFA"/>
            </w:tcBorders>
            <w:shd w:val="clear" w:color="auto" w:fill="E2EEFA"/>
          </w:tcPr>
          <w:p>
            <w:pPr>
              <w:spacing w:after="0"/>
              <w:rPr>
                <w:sz w:val="15"/>
                <w:szCs w:val="15"/>
                <w:color w:val="auto"/>
              </w:rPr>
            </w:pPr>
          </w:p>
        </w:tc>
        <w:tc>
          <w:tcPr>
            <w:tcW w:w="1380" w:type="dxa"/>
            <w:vAlign w:val="bottom"/>
            <w:tcBorders>
              <w:bottom w:val="single" w:sz="8" w:color="E2EEFA"/>
              <w:right w:val="single" w:sz="8" w:color="E2EEFA"/>
            </w:tcBorders>
            <w:shd w:val="clear" w:color="auto" w:fill="E2EEFA"/>
          </w:tcPr>
          <w:p>
            <w:pPr>
              <w:spacing w:after="0"/>
              <w:rPr>
                <w:sz w:val="15"/>
                <w:szCs w:val="15"/>
                <w:color w:val="auto"/>
              </w:rPr>
            </w:pPr>
          </w:p>
        </w:tc>
        <w:tc>
          <w:tcPr>
            <w:tcW w:w="220" w:type="dxa"/>
            <w:vAlign w:val="bottom"/>
            <w:tcBorders>
              <w:bottom w:val="single" w:sz="8" w:color="E2EEFA"/>
            </w:tcBorders>
            <w:shd w:val="clear" w:color="auto" w:fill="E2EEFA"/>
          </w:tcPr>
          <w:p>
            <w:pPr>
              <w:spacing w:after="0"/>
              <w:rPr>
                <w:sz w:val="15"/>
                <w:szCs w:val="15"/>
                <w:color w:val="auto"/>
              </w:rPr>
            </w:pPr>
          </w:p>
        </w:tc>
        <w:tc>
          <w:tcPr>
            <w:tcW w:w="1380" w:type="dxa"/>
            <w:vAlign w:val="bottom"/>
            <w:tcBorders>
              <w:bottom w:val="single" w:sz="8" w:color="E2EEFA"/>
            </w:tcBorders>
            <w:shd w:val="clear" w:color="auto" w:fill="E2EEFA"/>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20" w:type="dxa"/>
            <w:vAlign w:val="bottom"/>
            <w:tcBorders>
              <w:right w:val="single" w:sz="8" w:color="B2B2B2"/>
            </w:tcBorders>
          </w:tcPr>
          <w:p>
            <w:pPr>
              <w:spacing w:after="0"/>
              <w:rPr>
                <w:sz w:val="14"/>
                <w:szCs w:val="14"/>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6/01/2020</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14,344</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182.22</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6/01/2030</w:t>
            </w:r>
          </w:p>
        </w:tc>
        <w:tc>
          <w:tcPr>
            <w:tcW w:w="720" w:type="dxa"/>
            <w:vAlign w:val="bottom"/>
            <w:tcBorders>
              <w:right w:val="single" w:sz="8" w:color="B2B2B2"/>
            </w:tcBorders>
          </w:tcPr>
          <w:p>
            <w:pPr>
              <w:spacing w:after="0"/>
              <w:rPr>
                <w:sz w:val="14"/>
                <w:szCs w:val="14"/>
                <w:color w:val="auto"/>
              </w:rPr>
            </w:pPr>
          </w:p>
        </w:tc>
        <w:tc>
          <w:tcPr>
            <w:tcW w:w="1380" w:type="dxa"/>
            <w:vAlign w:val="bottom"/>
            <w:tcBorders>
              <w:right w:val="single" w:sz="8" w:color="B2B2B2"/>
            </w:tcBorders>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6/02/2021</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10,368</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210.30</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6/02/2031</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10/01/2021</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3,784</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228.36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10/01/2031</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6/02/2022</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7,302</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2,434</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250.06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6/02/2032</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5/31/2023</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7,574</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7,574</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219.97</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5/31/2033</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6/04/2024</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3,050</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9,150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251.34</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6/04/2034</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6/03/2025</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0</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10,392</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267.66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6/03/2035</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2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6/02/2022</w:t>
            </w:r>
          </w:p>
        </w:tc>
        <w:tc>
          <w:tcPr>
            <w:tcW w:w="138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2,140</w:t>
            </w:r>
          </w:p>
        </w:tc>
        <w:tc>
          <w:tcPr>
            <w:tcW w:w="220" w:type="dxa"/>
            <w:vAlign w:val="bottom"/>
          </w:tcPr>
          <w:p>
            <w:pPr>
              <w:spacing w:after="0"/>
              <w:rPr>
                <w:sz w:val="13"/>
                <w:szCs w:val="13"/>
                <w:color w:val="auto"/>
              </w:rPr>
            </w:pPr>
          </w:p>
        </w:tc>
        <w:tc>
          <w:tcPr>
            <w:tcW w:w="1380" w:type="dxa"/>
            <w:vAlign w:val="bottom"/>
          </w:tcPr>
          <w:p>
            <w:pPr>
              <w:jc w:val="right"/>
              <w:ind w:right="481"/>
              <w:spacing w:after="0"/>
              <w:rPr>
                <w:sz w:val="20"/>
                <w:szCs w:val="20"/>
                <w:color w:val="auto"/>
              </w:rPr>
            </w:pPr>
            <w:r>
              <w:rPr>
                <w:rFonts w:ascii="Arial" w:cs="Arial" w:eastAsia="Arial" w:hAnsi="Arial"/>
                <w:sz w:val="12"/>
                <w:szCs w:val="12"/>
                <w:color w:val="auto"/>
              </w:rPr>
              <w:t>473,218</w:t>
            </w: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2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5/31/2023</w:t>
            </w:r>
          </w:p>
        </w:tc>
        <w:tc>
          <w:tcPr>
            <w:tcW w:w="138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2,697</w:t>
            </w:r>
          </w:p>
        </w:tc>
        <w:tc>
          <w:tcPr>
            <w:tcW w:w="220" w:type="dxa"/>
            <w:vAlign w:val="bottom"/>
          </w:tcPr>
          <w:p>
            <w:pPr>
              <w:spacing w:after="0"/>
              <w:rPr>
                <w:sz w:val="13"/>
                <w:szCs w:val="13"/>
                <w:color w:val="auto"/>
              </w:rPr>
            </w:pPr>
          </w:p>
        </w:tc>
        <w:tc>
          <w:tcPr>
            <w:tcW w:w="1380" w:type="dxa"/>
            <w:vAlign w:val="bottom"/>
          </w:tcPr>
          <w:p>
            <w:pPr>
              <w:jc w:val="right"/>
              <w:ind w:right="481"/>
              <w:spacing w:after="0"/>
              <w:rPr>
                <w:sz w:val="20"/>
                <w:szCs w:val="20"/>
                <w:color w:val="auto"/>
              </w:rPr>
            </w:pPr>
            <w:r>
              <w:rPr>
                <w:rFonts w:ascii="Arial" w:cs="Arial" w:eastAsia="Arial" w:hAnsi="Arial"/>
                <w:sz w:val="12"/>
                <w:szCs w:val="12"/>
                <w:color w:val="auto"/>
              </w:rPr>
              <w:t>596,388</w:t>
            </w: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2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6/04/2024</w:t>
            </w:r>
          </w:p>
        </w:tc>
        <w:tc>
          <w:tcPr>
            <w:tcW w:w="138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2,379</w:t>
            </w:r>
          </w:p>
        </w:tc>
        <w:tc>
          <w:tcPr>
            <w:tcW w:w="220" w:type="dxa"/>
            <w:vAlign w:val="bottom"/>
          </w:tcPr>
          <w:p>
            <w:pPr>
              <w:spacing w:after="0"/>
              <w:rPr>
                <w:sz w:val="13"/>
                <w:szCs w:val="13"/>
                <w:color w:val="auto"/>
              </w:rPr>
            </w:pPr>
          </w:p>
        </w:tc>
        <w:tc>
          <w:tcPr>
            <w:tcW w:w="1380" w:type="dxa"/>
            <w:vAlign w:val="bottom"/>
          </w:tcPr>
          <w:p>
            <w:pPr>
              <w:jc w:val="right"/>
              <w:ind w:right="481"/>
              <w:spacing w:after="0"/>
              <w:rPr>
                <w:sz w:val="20"/>
                <w:szCs w:val="20"/>
                <w:color w:val="auto"/>
              </w:rPr>
            </w:pPr>
            <w:r>
              <w:rPr>
                <w:rFonts w:ascii="Arial" w:cs="Arial" w:eastAsia="Arial" w:hAnsi="Arial"/>
                <w:sz w:val="12"/>
                <w:szCs w:val="12"/>
                <w:color w:val="auto"/>
              </w:rPr>
              <w:t>526,068</w:t>
            </w: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620" w:type="dxa"/>
            <w:vAlign w:val="bottom"/>
            <w:tcBorders>
              <w:right w:val="single" w:sz="8" w:color="B2B2B2"/>
            </w:tcBorders>
          </w:tcPr>
          <w:p>
            <w:pPr>
              <w:spacing w:after="0"/>
              <w:rPr>
                <w:sz w:val="16"/>
                <w:szCs w:val="16"/>
                <w:color w:val="auto"/>
              </w:rPr>
            </w:pPr>
          </w:p>
        </w:tc>
        <w:tc>
          <w:tcPr>
            <w:tcW w:w="780" w:type="dxa"/>
            <w:vAlign w:val="bottom"/>
            <w:tcBorders>
              <w:right w:val="single" w:sz="8" w:color="B2B2B2"/>
            </w:tcBorders>
          </w:tcPr>
          <w:p>
            <w:pPr>
              <w:spacing w:after="0"/>
              <w:rPr>
                <w:sz w:val="16"/>
                <w:szCs w:val="16"/>
                <w:color w:val="auto"/>
              </w:rPr>
            </w:pPr>
          </w:p>
        </w:tc>
        <w:tc>
          <w:tcPr>
            <w:tcW w:w="1260" w:type="dxa"/>
            <w:vAlign w:val="bottom"/>
            <w:tcBorders>
              <w:right w:val="single" w:sz="8" w:color="B2B2B2"/>
            </w:tcBorders>
          </w:tcPr>
          <w:p>
            <w:pPr>
              <w:spacing w:after="0"/>
              <w:rPr>
                <w:sz w:val="16"/>
                <w:szCs w:val="16"/>
                <w:color w:val="auto"/>
              </w:rPr>
            </w:pPr>
          </w:p>
        </w:tc>
        <w:tc>
          <w:tcPr>
            <w:tcW w:w="1360" w:type="dxa"/>
            <w:vAlign w:val="bottom"/>
            <w:tcBorders>
              <w:right w:val="single" w:sz="8" w:color="B2B2B2"/>
            </w:tcBorders>
          </w:tcPr>
          <w:p>
            <w:pPr>
              <w:spacing w:after="0"/>
              <w:rPr>
                <w:sz w:val="16"/>
                <w:szCs w:val="16"/>
                <w:color w:val="auto"/>
              </w:rPr>
            </w:pPr>
          </w:p>
        </w:tc>
        <w:tc>
          <w:tcPr>
            <w:tcW w:w="1040" w:type="dxa"/>
            <w:vAlign w:val="bottom"/>
            <w:tcBorders>
              <w:right w:val="single" w:sz="8" w:color="B2B2B2"/>
            </w:tcBorders>
          </w:tcPr>
          <w:p>
            <w:pPr>
              <w:spacing w:after="0"/>
              <w:rPr>
                <w:sz w:val="16"/>
                <w:szCs w:val="16"/>
                <w:color w:val="auto"/>
              </w:rPr>
            </w:pPr>
          </w:p>
        </w:tc>
        <w:tc>
          <w:tcPr>
            <w:tcW w:w="800" w:type="dxa"/>
            <w:vAlign w:val="bottom"/>
            <w:tcBorders>
              <w:right w:val="single" w:sz="8" w:color="B2B2B2"/>
            </w:tcBorders>
          </w:tcPr>
          <w:p>
            <w:pPr>
              <w:spacing w:after="0"/>
              <w:rPr>
                <w:sz w:val="16"/>
                <w:szCs w:val="16"/>
                <w:color w:val="auto"/>
              </w:rPr>
            </w:pPr>
          </w:p>
        </w:tc>
        <w:tc>
          <w:tcPr>
            <w:tcW w:w="72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6/03/2025</w:t>
            </w:r>
          </w:p>
        </w:tc>
        <w:tc>
          <w:tcPr>
            <w:tcW w:w="138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2,922</w:t>
            </w:r>
          </w:p>
        </w:tc>
        <w:tc>
          <w:tcPr>
            <w:tcW w:w="220" w:type="dxa"/>
            <w:vAlign w:val="bottom"/>
          </w:tcPr>
          <w:p>
            <w:pPr>
              <w:spacing w:after="0"/>
              <w:rPr>
                <w:sz w:val="16"/>
                <w:szCs w:val="16"/>
                <w:color w:val="auto"/>
              </w:rPr>
            </w:pPr>
          </w:p>
        </w:tc>
        <w:tc>
          <w:tcPr>
            <w:tcW w:w="1380" w:type="dxa"/>
            <w:vAlign w:val="bottom"/>
          </w:tcPr>
          <w:p>
            <w:pPr>
              <w:jc w:val="right"/>
              <w:ind w:right="481"/>
              <w:spacing w:after="0"/>
              <w:rPr>
                <w:sz w:val="20"/>
                <w:szCs w:val="20"/>
                <w:color w:val="auto"/>
              </w:rPr>
            </w:pPr>
            <w:r>
              <w:rPr>
                <w:rFonts w:ascii="Arial" w:cs="Arial" w:eastAsia="Arial" w:hAnsi="Arial"/>
                <w:sz w:val="12"/>
                <w:szCs w:val="12"/>
                <w:color w:val="auto"/>
              </w:rPr>
              <w:t>646,142</w:t>
            </w:r>
          </w:p>
        </w:tc>
        <w:tc>
          <w:tcPr>
            <w:tcW w:w="0" w:type="dxa"/>
            <w:vAlign w:val="bottom"/>
          </w:tcPr>
          <w:p>
            <w:pPr>
              <w:spacing w:after="0"/>
              <w:rPr>
                <w:sz w:val="1"/>
                <w:szCs w:val="1"/>
                <w:color w:val="auto"/>
              </w:rPr>
            </w:pPr>
          </w:p>
        </w:tc>
      </w:tr>
      <w:tr>
        <w:trPr>
          <w:trHeight w:val="174"/>
        </w:trPr>
        <w:tc>
          <w:tcPr>
            <w:tcW w:w="1620" w:type="dxa"/>
            <w:vAlign w:val="bottom"/>
            <w:tcBorders>
              <w:bottom w:val="single" w:sz="8" w:color="E2EEFA"/>
              <w:right w:val="single" w:sz="8" w:color="E2EEFA"/>
            </w:tcBorders>
            <w:shd w:val="clear" w:color="auto" w:fill="E2EEFA"/>
          </w:tcPr>
          <w:p>
            <w:pPr>
              <w:spacing w:after="0"/>
              <w:rPr>
                <w:sz w:val="20"/>
                <w:szCs w:val="20"/>
                <w:color w:val="auto"/>
              </w:rPr>
            </w:pPr>
            <w:r>
              <w:rPr>
                <w:rFonts w:ascii="Arial" w:cs="Arial" w:eastAsia="Arial" w:hAnsi="Arial"/>
                <w:sz w:val="12"/>
                <w:szCs w:val="12"/>
                <w:color w:val="auto"/>
              </w:rPr>
              <w:t>  Mary Clare Fraser</w:t>
            </w:r>
          </w:p>
        </w:tc>
        <w:tc>
          <w:tcPr>
            <w:tcW w:w="780" w:type="dxa"/>
            <w:vAlign w:val="bottom"/>
            <w:tcBorders>
              <w:bottom w:val="single" w:sz="8" w:color="E2EEFA"/>
              <w:right w:val="single" w:sz="8" w:color="E2EEFA"/>
            </w:tcBorders>
            <w:shd w:val="clear" w:color="auto" w:fill="E2EEFA"/>
          </w:tcPr>
          <w:p>
            <w:pPr>
              <w:spacing w:after="0"/>
              <w:rPr>
                <w:sz w:val="15"/>
                <w:szCs w:val="15"/>
                <w:color w:val="auto"/>
              </w:rPr>
            </w:pPr>
          </w:p>
        </w:tc>
        <w:tc>
          <w:tcPr>
            <w:tcW w:w="1260" w:type="dxa"/>
            <w:vAlign w:val="bottom"/>
            <w:tcBorders>
              <w:bottom w:val="single" w:sz="8" w:color="E2EEFA"/>
              <w:right w:val="single" w:sz="8" w:color="E2EEFA"/>
            </w:tcBorders>
            <w:shd w:val="clear" w:color="auto" w:fill="E2EEFA"/>
          </w:tcPr>
          <w:p>
            <w:pPr>
              <w:spacing w:after="0"/>
              <w:rPr>
                <w:sz w:val="15"/>
                <w:szCs w:val="15"/>
                <w:color w:val="auto"/>
              </w:rPr>
            </w:pPr>
          </w:p>
        </w:tc>
        <w:tc>
          <w:tcPr>
            <w:tcW w:w="1360" w:type="dxa"/>
            <w:vAlign w:val="bottom"/>
            <w:tcBorders>
              <w:bottom w:val="single" w:sz="8" w:color="E2EEFA"/>
              <w:right w:val="single" w:sz="8" w:color="E2EEFA"/>
            </w:tcBorders>
            <w:shd w:val="clear" w:color="auto" w:fill="E2EEFA"/>
          </w:tcPr>
          <w:p>
            <w:pPr>
              <w:spacing w:after="0"/>
              <w:rPr>
                <w:sz w:val="15"/>
                <w:szCs w:val="15"/>
                <w:color w:val="auto"/>
              </w:rPr>
            </w:pPr>
          </w:p>
        </w:tc>
        <w:tc>
          <w:tcPr>
            <w:tcW w:w="1040" w:type="dxa"/>
            <w:vAlign w:val="bottom"/>
            <w:tcBorders>
              <w:bottom w:val="single" w:sz="8" w:color="E2EEFA"/>
              <w:right w:val="single" w:sz="8" w:color="E2EEFA"/>
            </w:tcBorders>
            <w:shd w:val="clear" w:color="auto" w:fill="E2EEFA"/>
          </w:tcPr>
          <w:p>
            <w:pPr>
              <w:spacing w:after="0"/>
              <w:rPr>
                <w:sz w:val="15"/>
                <w:szCs w:val="15"/>
                <w:color w:val="auto"/>
              </w:rPr>
            </w:pPr>
          </w:p>
        </w:tc>
        <w:tc>
          <w:tcPr>
            <w:tcW w:w="800" w:type="dxa"/>
            <w:vAlign w:val="bottom"/>
            <w:tcBorders>
              <w:bottom w:val="single" w:sz="8" w:color="E2EEFA"/>
              <w:right w:val="single" w:sz="8" w:color="E2EEFA"/>
            </w:tcBorders>
            <w:shd w:val="clear" w:color="auto" w:fill="E2EEFA"/>
          </w:tcPr>
          <w:p>
            <w:pPr>
              <w:spacing w:after="0"/>
              <w:rPr>
                <w:sz w:val="15"/>
                <w:szCs w:val="15"/>
                <w:color w:val="auto"/>
              </w:rPr>
            </w:pPr>
          </w:p>
        </w:tc>
        <w:tc>
          <w:tcPr>
            <w:tcW w:w="720" w:type="dxa"/>
            <w:vAlign w:val="bottom"/>
            <w:tcBorders>
              <w:bottom w:val="single" w:sz="8" w:color="E2EEFA"/>
              <w:right w:val="single" w:sz="8" w:color="E2EEFA"/>
            </w:tcBorders>
            <w:shd w:val="clear" w:color="auto" w:fill="E2EEFA"/>
          </w:tcPr>
          <w:p>
            <w:pPr>
              <w:spacing w:after="0"/>
              <w:rPr>
                <w:sz w:val="15"/>
                <w:szCs w:val="15"/>
                <w:color w:val="auto"/>
              </w:rPr>
            </w:pPr>
          </w:p>
        </w:tc>
        <w:tc>
          <w:tcPr>
            <w:tcW w:w="1380" w:type="dxa"/>
            <w:vAlign w:val="bottom"/>
            <w:tcBorders>
              <w:bottom w:val="single" w:sz="8" w:color="E2EEFA"/>
              <w:right w:val="single" w:sz="8" w:color="E2EEFA"/>
            </w:tcBorders>
            <w:shd w:val="clear" w:color="auto" w:fill="E2EEFA"/>
          </w:tcPr>
          <w:p>
            <w:pPr>
              <w:spacing w:after="0"/>
              <w:rPr>
                <w:sz w:val="15"/>
                <w:szCs w:val="15"/>
                <w:color w:val="auto"/>
              </w:rPr>
            </w:pPr>
          </w:p>
        </w:tc>
        <w:tc>
          <w:tcPr>
            <w:tcW w:w="220" w:type="dxa"/>
            <w:vAlign w:val="bottom"/>
            <w:tcBorders>
              <w:bottom w:val="single" w:sz="8" w:color="E2EEFA"/>
            </w:tcBorders>
            <w:shd w:val="clear" w:color="auto" w:fill="E2EEFA"/>
          </w:tcPr>
          <w:p>
            <w:pPr>
              <w:spacing w:after="0"/>
              <w:rPr>
                <w:sz w:val="15"/>
                <w:szCs w:val="15"/>
                <w:color w:val="auto"/>
              </w:rPr>
            </w:pPr>
          </w:p>
        </w:tc>
        <w:tc>
          <w:tcPr>
            <w:tcW w:w="1380" w:type="dxa"/>
            <w:vAlign w:val="bottom"/>
            <w:tcBorders>
              <w:bottom w:val="single" w:sz="8" w:color="E2EEFA"/>
            </w:tcBorders>
            <w:shd w:val="clear" w:color="auto" w:fill="E2EEFA"/>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20" w:type="dxa"/>
            <w:vAlign w:val="bottom"/>
            <w:tcBorders>
              <w:right w:val="single" w:sz="8" w:color="B2B2B2"/>
            </w:tcBorders>
          </w:tcPr>
          <w:p>
            <w:pPr>
              <w:spacing w:after="0"/>
              <w:rPr>
                <w:sz w:val="14"/>
                <w:szCs w:val="14"/>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6/02/2021</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9,676</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210.30</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6/02/2031</w:t>
            </w:r>
          </w:p>
        </w:tc>
        <w:tc>
          <w:tcPr>
            <w:tcW w:w="720" w:type="dxa"/>
            <w:vAlign w:val="bottom"/>
            <w:tcBorders>
              <w:right w:val="single" w:sz="8" w:color="B2B2B2"/>
            </w:tcBorders>
          </w:tcPr>
          <w:p>
            <w:pPr>
              <w:spacing w:after="0"/>
              <w:rPr>
                <w:sz w:val="14"/>
                <w:szCs w:val="14"/>
                <w:color w:val="auto"/>
              </w:rPr>
            </w:pPr>
          </w:p>
        </w:tc>
        <w:tc>
          <w:tcPr>
            <w:tcW w:w="1380" w:type="dxa"/>
            <w:vAlign w:val="bottom"/>
            <w:tcBorders>
              <w:right w:val="single" w:sz="8" w:color="B2B2B2"/>
            </w:tcBorders>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10/01/2021</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3,784</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0</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228.36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10/01/2031</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6/02/2022</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6,918</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2,306</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250.06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6/02/2032</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5/31/2023</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6,492</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6,492</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219.97</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5/31/2033</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6/04/2024</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2,614</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7,842</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251.34</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6/04/2034</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6/03/2025</w:t>
            </w:r>
          </w:p>
        </w:tc>
        <w:tc>
          <w:tcPr>
            <w:tcW w:w="1260" w:type="dxa"/>
            <w:vAlign w:val="bottom"/>
            <w:tcBorders>
              <w:right w:val="single" w:sz="8" w:color="B2B2B2"/>
            </w:tcBorders>
          </w:tcPr>
          <w:p>
            <w:pPr>
              <w:jc w:val="right"/>
              <w:ind w:right="340"/>
              <w:spacing w:after="0"/>
              <w:rPr>
                <w:sz w:val="20"/>
                <w:szCs w:val="20"/>
                <w:color w:val="auto"/>
              </w:rPr>
            </w:pPr>
            <w:r>
              <w:rPr>
                <w:rFonts w:ascii="Arial" w:cs="Arial" w:eastAsia="Arial" w:hAnsi="Arial"/>
                <w:sz w:val="12"/>
                <w:szCs w:val="12"/>
                <w:color w:val="auto"/>
              </w:rPr>
              <w:t>0</w:t>
            </w:r>
          </w:p>
        </w:tc>
        <w:tc>
          <w:tcPr>
            <w:tcW w:w="1360" w:type="dxa"/>
            <w:vAlign w:val="bottom"/>
            <w:tcBorders>
              <w:right w:val="single" w:sz="8" w:color="B2B2B2"/>
            </w:tcBorders>
          </w:tcPr>
          <w:p>
            <w:pPr>
              <w:jc w:val="right"/>
              <w:ind w:right="399"/>
              <w:spacing w:after="0"/>
              <w:rPr>
                <w:sz w:val="20"/>
                <w:szCs w:val="20"/>
                <w:color w:val="auto"/>
              </w:rPr>
            </w:pPr>
            <w:r>
              <w:rPr>
                <w:rFonts w:ascii="Arial" w:cs="Arial" w:eastAsia="Arial" w:hAnsi="Arial"/>
                <w:sz w:val="12"/>
                <w:szCs w:val="12"/>
                <w:color w:val="auto"/>
              </w:rPr>
              <w:t>8,904</w:t>
            </w:r>
          </w:p>
        </w:tc>
        <w:tc>
          <w:tcPr>
            <w:tcW w:w="1040" w:type="dxa"/>
            <w:vAlign w:val="bottom"/>
            <w:tcBorders>
              <w:right w:val="single" w:sz="8" w:color="B2B2B2"/>
            </w:tcBorders>
          </w:tcPr>
          <w:p>
            <w:pPr>
              <w:jc w:val="right"/>
              <w:ind w:right="240"/>
              <w:spacing w:after="0"/>
              <w:rPr>
                <w:sz w:val="20"/>
                <w:szCs w:val="20"/>
                <w:color w:val="auto"/>
              </w:rPr>
            </w:pPr>
            <w:r>
              <w:rPr>
                <w:rFonts w:ascii="Arial" w:cs="Arial" w:eastAsia="Arial" w:hAnsi="Arial"/>
                <w:sz w:val="12"/>
                <w:szCs w:val="12"/>
                <w:color w:val="auto"/>
              </w:rPr>
              <w:t>267.66</w:t>
            </w:r>
          </w:p>
        </w:tc>
        <w:tc>
          <w:tcPr>
            <w:tcW w:w="80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6/03/2035</w:t>
            </w:r>
          </w:p>
        </w:tc>
        <w:tc>
          <w:tcPr>
            <w:tcW w:w="720" w:type="dxa"/>
            <w:vAlign w:val="bottom"/>
            <w:tcBorders>
              <w:right w:val="single" w:sz="8" w:color="B2B2B2"/>
            </w:tcBorders>
          </w:tcPr>
          <w:p>
            <w:pPr>
              <w:spacing w:after="0"/>
              <w:rPr>
                <w:sz w:val="13"/>
                <w:szCs w:val="13"/>
                <w:color w:val="auto"/>
              </w:rPr>
            </w:pPr>
          </w:p>
        </w:tc>
        <w:tc>
          <w:tcPr>
            <w:tcW w:w="1380" w:type="dxa"/>
            <w:vAlign w:val="bottom"/>
            <w:tcBorders>
              <w:right w:val="single" w:sz="8" w:color="B2B2B2"/>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2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6/02/2022</w:t>
            </w:r>
          </w:p>
        </w:tc>
        <w:tc>
          <w:tcPr>
            <w:tcW w:w="138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2,028</w:t>
            </w:r>
          </w:p>
        </w:tc>
        <w:tc>
          <w:tcPr>
            <w:tcW w:w="220" w:type="dxa"/>
            <w:vAlign w:val="bottom"/>
          </w:tcPr>
          <w:p>
            <w:pPr>
              <w:spacing w:after="0"/>
              <w:rPr>
                <w:sz w:val="13"/>
                <w:szCs w:val="13"/>
                <w:color w:val="auto"/>
              </w:rPr>
            </w:pPr>
          </w:p>
        </w:tc>
        <w:tc>
          <w:tcPr>
            <w:tcW w:w="1380" w:type="dxa"/>
            <w:vAlign w:val="bottom"/>
          </w:tcPr>
          <w:p>
            <w:pPr>
              <w:jc w:val="right"/>
              <w:ind w:right="481"/>
              <w:spacing w:after="0"/>
              <w:rPr>
                <w:sz w:val="20"/>
                <w:szCs w:val="20"/>
                <w:color w:val="auto"/>
              </w:rPr>
            </w:pPr>
            <w:r>
              <w:rPr>
                <w:rFonts w:ascii="Arial" w:cs="Arial" w:eastAsia="Arial" w:hAnsi="Arial"/>
                <w:sz w:val="12"/>
                <w:szCs w:val="12"/>
                <w:color w:val="auto"/>
              </w:rPr>
              <w:t>448,452</w:t>
            </w: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2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5/31/2023</w:t>
            </w:r>
          </w:p>
        </w:tc>
        <w:tc>
          <w:tcPr>
            <w:tcW w:w="138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2,313</w:t>
            </w:r>
          </w:p>
        </w:tc>
        <w:tc>
          <w:tcPr>
            <w:tcW w:w="220" w:type="dxa"/>
            <w:vAlign w:val="bottom"/>
          </w:tcPr>
          <w:p>
            <w:pPr>
              <w:spacing w:after="0"/>
              <w:rPr>
                <w:sz w:val="13"/>
                <w:szCs w:val="13"/>
                <w:color w:val="auto"/>
              </w:rPr>
            </w:pPr>
          </w:p>
        </w:tc>
        <w:tc>
          <w:tcPr>
            <w:tcW w:w="1380" w:type="dxa"/>
            <w:vAlign w:val="bottom"/>
          </w:tcPr>
          <w:p>
            <w:pPr>
              <w:jc w:val="right"/>
              <w:ind w:right="481"/>
              <w:spacing w:after="0"/>
              <w:rPr>
                <w:sz w:val="20"/>
                <w:szCs w:val="20"/>
                <w:color w:val="auto"/>
              </w:rPr>
            </w:pPr>
            <w:r>
              <w:rPr>
                <w:rFonts w:ascii="Arial" w:cs="Arial" w:eastAsia="Arial" w:hAnsi="Arial"/>
                <w:sz w:val="12"/>
                <w:szCs w:val="12"/>
                <w:color w:val="auto"/>
              </w:rPr>
              <w:t>511,474</w:t>
            </w: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2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6/04/2024</w:t>
            </w:r>
          </w:p>
        </w:tc>
        <w:tc>
          <w:tcPr>
            <w:tcW w:w="138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2,040</w:t>
            </w:r>
          </w:p>
        </w:tc>
        <w:tc>
          <w:tcPr>
            <w:tcW w:w="220" w:type="dxa"/>
            <w:vAlign w:val="bottom"/>
          </w:tcPr>
          <w:p>
            <w:pPr>
              <w:spacing w:after="0"/>
              <w:rPr>
                <w:sz w:val="13"/>
                <w:szCs w:val="13"/>
                <w:color w:val="auto"/>
              </w:rPr>
            </w:pPr>
          </w:p>
        </w:tc>
        <w:tc>
          <w:tcPr>
            <w:tcW w:w="1380" w:type="dxa"/>
            <w:vAlign w:val="bottom"/>
          </w:tcPr>
          <w:p>
            <w:pPr>
              <w:jc w:val="right"/>
              <w:ind w:right="481"/>
              <w:spacing w:after="0"/>
              <w:rPr>
                <w:sz w:val="20"/>
                <w:szCs w:val="20"/>
                <w:color w:val="auto"/>
              </w:rPr>
            </w:pPr>
            <w:r>
              <w:rPr>
                <w:rFonts w:ascii="Arial" w:cs="Arial" w:eastAsia="Arial" w:hAnsi="Arial"/>
                <w:sz w:val="12"/>
                <w:szCs w:val="12"/>
                <w:color w:val="auto"/>
              </w:rPr>
              <w:t>451,105</w:t>
            </w:r>
          </w:p>
        </w:tc>
        <w:tc>
          <w:tcPr>
            <w:tcW w:w="0" w:type="dxa"/>
            <w:vAlign w:val="bottom"/>
          </w:tcPr>
          <w:p>
            <w:pPr>
              <w:spacing w:after="0"/>
              <w:rPr>
                <w:sz w:val="1"/>
                <w:szCs w:val="1"/>
                <w:color w:val="auto"/>
              </w:rPr>
            </w:pPr>
          </w:p>
        </w:tc>
      </w:tr>
      <w:tr>
        <w:trPr>
          <w:trHeight w:val="27"/>
        </w:trPr>
        <w:tc>
          <w:tcPr>
            <w:tcW w:w="1620" w:type="dxa"/>
            <w:vAlign w:val="bottom"/>
            <w:tcBorders>
              <w:right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800" w:type="dxa"/>
            <w:vAlign w:val="bottom"/>
            <w:tcBorders>
              <w:bottom w:val="single" w:sz="8" w:color="B2B2B2"/>
              <w:right w:val="single" w:sz="8" w:color="B2B2B2"/>
            </w:tcBorders>
          </w:tcPr>
          <w:p>
            <w:pPr>
              <w:spacing w:after="0"/>
              <w:rPr>
                <w:sz w:val="2"/>
                <w:szCs w:val="2"/>
                <w:color w:val="auto"/>
              </w:rPr>
            </w:pPr>
          </w:p>
        </w:tc>
        <w:tc>
          <w:tcPr>
            <w:tcW w:w="720" w:type="dxa"/>
            <w:vAlign w:val="bottom"/>
            <w:tcBorders>
              <w:bottom w:val="single" w:sz="8" w:color="B2B2B2"/>
              <w:right w:val="single" w:sz="8" w:color="B2B2B2"/>
            </w:tcBorders>
          </w:tcPr>
          <w:p>
            <w:pPr>
              <w:spacing w:after="0"/>
              <w:rPr>
                <w:sz w:val="2"/>
                <w:szCs w:val="2"/>
                <w:color w:val="auto"/>
              </w:rPr>
            </w:pPr>
          </w:p>
        </w:tc>
        <w:tc>
          <w:tcPr>
            <w:tcW w:w="138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13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20" w:type="dxa"/>
            <w:vAlign w:val="bottom"/>
            <w:tcBorders>
              <w:right w:val="single" w:sz="8" w:color="B2B2B2"/>
            </w:tcBorders>
          </w:tcPr>
          <w:p>
            <w:pPr>
              <w:spacing w:after="0"/>
              <w:rPr>
                <w:sz w:val="13"/>
                <w:szCs w:val="13"/>
                <w:color w:val="auto"/>
              </w:rPr>
            </w:pPr>
          </w:p>
        </w:tc>
        <w:tc>
          <w:tcPr>
            <w:tcW w:w="780" w:type="dxa"/>
            <w:vAlign w:val="bottom"/>
            <w:tcBorders>
              <w:right w:val="single" w:sz="8" w:color="B2B2B2"/>
            </w:tcBorders>
          </w:tcPr>
          <w:p>
            <w:pPr>
              <w:spacing w:after="0"/>
              <w:rPr>
                <w:sz w:val="13"/>
                <w:szCs w:val="13"/>
                <w:color w:val="auto"/>
              </w:rPr>
            </w:pPr>
          </w:p>
        </w:tc>
        <w:tc>
          <w:tcPr>
            <w:tcW w:w="1260" w:type="dxa"/>
            <w:vAlign w:val="bottom"/>
            <w:tcBorders>
              <w:right w:val="single" w:sz="8" w:color="B2B2B2"/>
            </w:tcBorders>
          </w:tcPr>
          <w:p>
            <w:pPr>
              <w:spacing w:after="0"/>
              <w:rPr>
                <w:sz w:val="13"/>
                <w:szCs w:val="13"/>
                <w:color w:val="auto"/>
              </w:rPr>
            </w:pPr>
          </w:p>
        </w:tc>
        <w:tc>
          <w:tcPr>
            <w:tcW w:w="136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spacing w:after="0"/>
              <w:rPr>
                <w:sz w:val="13"/>
                <w:szCs w:val="13"/>
                <w:color w:val="auto"/>
              </w:rPr>
            </w:pPr>
          </w:p>
        </w:tc>
        <w:tc>
          <w:tcPr>
            <w:tcW w:w="800" w:type="dxa"/>
            <w:vAlign w:val="bottom"/>
            <w:tcBorders>
              <w:right w:val="single" w:sz="8" w:color="B2B2B2"/>
            </w:tcBorders>
          </w:tcPr>
          <w:p>
            <w:pPr>
              <w:spacing w:after="0"/>
              <w:rPr>
                <w:sz w:val="13"/>
                <w:szCs w:val="13"/>
                <w:color w:val="auto"/>
              </w:rPr>
            </w:pPr>
          </w:p>
        </w:tc>
        <w:tc>
          <w:tcPr>
            <w:tcW w:w="720" w:type="dxa"/>
            <w:vAlign w:val="bottom"/>
            <w:tcBorders>
              <w:right w:val="single" w:sz="8" w:color="B2B2B2"/>
            </w:tcBorders>
          </w:tcPr>
          <w:p>
            <w:pPr>
              <w:jc w:val="right"/>
              <w:spacing w:after="0"/>
              <w:rPr>
                <w:sz w:val="20"/>
                <w:szCs w:val="20"/>
                <w:color w:val="auto"/>
              </w:rPr>
            </w:pPr>
            <w:r>
              <w:rPr>
                <w:rFonts w:ascii="Arial" w:cs="Arial" w:eastAsia="Arial" w:hAnsi="Arial"/>
                <w:sz w:val="12"/>
                <w:szCs w:val="12"/>
                <w:color w:val="auto"/>
              </w:rPr>
              <w:t>6/03/2025</w:t>
            </w:r>
          </w:p>
        </w:tc>
        <w:tc>
          <w:tcPr>
            <w:tcW w:w="1380" w:type="dxa"/>
            <w:vAlign w:val="bottom"/>
            <w:tcBorders>
              <w:right w:val="single" w:sz="8" w:color="B2B2B2"/>
            </w:tcBorders>
          </w:tcPr>
          <w:p>
            <w:pPr>
              <w:jc w:val="right"/>
              <w:ind w:right="440"/>
              <w:spacing w:after="0"/>
              <w:rPr>
                <w:sz w:val="20"/>
                <w:szCs w:val="20"/>
                <w:color w:val="auto"/>
              </w:rPr>
            </w:pPr>
            <w:r>
              <w:rPr>
                <w:rFonts w:ascii="Arial" w:cs="Arial" w:eastAsia="Arial" w:hAnsi="Arial"/>
                <w:sz w:val="12"/>
                <w:szCs w:val="12"/>
                <w:color w:val="auto"/>
              </w:rPr>
              <w:t>2,505</w:t>
            </w:r>
          </w:p>
        </w:tc>
        <w:tc>
          <w:tcPr>
            <w:tcW w:w="220" w:type="dxa"/>
            <w:vAlign w:val="bottom"/>
          </w:tcPr>
          <w:p>
            <w:pPr>
              <w:spacing w:after="0"/>
              <w:rPr>
                <w:sz w:val="13"/>
                <w:szCs w:val="13"/>
                <w:color w:val="auto"/>
              </w:rPr>
            </w:pPr>
          </w:p>
        </w:tc>
        <w:tc>
          <w:tcPr>
            <w:tcW w:w="1380" w:type="dxa"/>
            <w:vAlign w:val="bottom"/>
          </w:tcPr>
          <w:p>
            <w:pPr>
              <w:jc w:val="right"/>
              <w:ind w:right="481"/>
              <w:spacing w:after="0"/>
              <w:rPr>
                <w:sz w:val="20"/>
                <w:szCs w:val="20"/>
                <w:color w:val="auto"/>
              </w:rPr>
            </w:pPr>
            <w:r>
              <w:rPr>
                <w:rFonts w:ascii="Arial" w:cs="Arial" w:eastAsia="Arial" w:hAnsi="Arial"/>
                <w:sz w:val="12"/>
                <w:szCs w:val="12"/>
                <w:color w:val="auto"/>
              </w:rPr>
              <w:t>553,931</w:t>
            </w:r>
          </w:p>
        </w:tc>
        <w:tc>
          <w:tcPr>
            <w:tcW w:w="0" w:type="dxa"/>
            <w:vAlign w:val="bottom"/>
          </w:tcPr>
          <w:p>
            <w:pPr>
              <w:spacing w:after="0"/>
              <w:rPr>
                <w:sz w:val="1"/>
                <w:szCs w:val="1"/>
                <w:color w:val="auto"/>
              </w:rPr>
            </w:pPr>
          </w:p>
        </w:tc>
      </w:tr>
      <w:tr>
        <w:trPr>
          <w:trHeight w:val="27"/>
        </w:trPr>
        <w:tc>
          <w:tcPr>
            <w:tcW w:w="1620" w:type="dxa"/>
            <w:vAlign w:val="bottom"/>
            <w:tcBorders>
              <w:bottom w:val="single" w:sz="8" w:color="3E8EDE"/>
              <w:right w:val="single" w:sz="8" w:color="B2B2B2"/>
            </w:tcBorders>
          </w:tcPr>
          <w:p>
            <w:pPr>
              <w:spacing w:after="0"/>
              <w:rPr>
                <w:sz w:val="2"/>
                <w:szCs w:val="2"/>
                <w:color w:val="auto"/>
              </w:rPr>
            </w:pPr>
          </w:p>
        </w:tc>
        <w:tc>
          <w:tcPr>
            <w:tcW w:w="780" w:type="dxa"/>
            <w:vAlign w:val="bottom"/>
            <w:tcBorders>
              <w:bottom w:val="single" w:sz="8" w:color="3E8EDE"/>
              <w:right w:val="single" w:sz="8" w:color="B2B2B2"/>
            </w:tcBorders>
          </w:tcPr>
          <w:p>
            <w:pPr>
              <w:spacing w:after="0"/>
              <w:rPr>
                <w:sz w:val="2"/>
                <w:szCs w:val="2"/>
                <w:color w:val="auto"/>
              </w:rPr>
            </w:pPr>
          </w:p>
        </w:tc>
        <w:tc>
          <w:tcPr>
            <w:tcW w:w="1260" w:type="dxa"/>
            <w:vAlign w:val="bottom"/>
            <w:tcBorders>
              <w:bottom w:val="single" w:sz="8" w:color="3E8EDE"/>
              <w:right w:val="single" w:sz="8" w:color="B2B2B2"/>
            </w:tcBorders>
          </w:tcPr>
          <w:p>
            <w:pPr>
              <w:spacing w:after="0"/>
              <w:rPr>
                <w:sz w:val="2"/>
                <w:szCs w:val="2"/>
                <w:color w:val="auto"/>
              </w:rPr>
            </w:pPr>
          </w:p>
        </w:tc>
        <w:tc>
          <w:tcPr>
            <w:tcW w:w="1360" w:type="dxa"/>
            <w:vAlign w:val="bottom"/>
            <w:tcBorders>
              <w:bottom w:val="single" w:sz="8" w:color="3E8EDE"/>
              <w:right w:val="single" w:sz="8" w:color="B2B2B2"/>
            </w:tcBorders>
          </w:tcPr>
          <w:p>
            <w:pPr>
              <w:spacing w:after="0"/>
              <w:rPr>
                <w:sz w:val="2"/>
                <w:szCs w:val="2"/>
                <w:color w:val="auto"/>
              </w:rPr>
            </w:pPr>
          </w:p>
        </w:tc>
        <w:tc>
          <w:tcPr>
            <w:tcW w:w="1040" w:type="dxa"/>
            <w:vAlign w:val="bottom"/>
            <w:tcBorders>
              <w:bottom w:val="single" w:sz="8" w:color="3E8EDE"/>
              <w:right w:val="single" w:sz="8" w:color="B2B2B2"/>
            </w:tcBorders>
          </w:tcPr>
          <w:p>
            <w:pPr>
              <w:spacing w:after="0"/>
              <w:rPr>
                <w:sz w:val="2"/>
                <w:szCs w:val="2"/>
                <w:color w:val="auto"/>
              </w:rPr>
            </w:pPr>
          </w:p>
        </w:tc>
        <w:tc>
          <w:tcPr>
            <w:tcW w:w="800" w:type="dxa"/>
            <w:vAlign w:val="bottom"/>
            <w:tcBorders>
              <w:bottom w:val="single" w:sz="8" w:color="3E8EDE"/>
              <w:right w:val="single" w:sz="8" w:color="B2B2B2"/>
            </w:tcBorders>
          </w:tcPr>
          <w:p>
            <w:pPr>
              <w:spacing w:after="0"/>
              <w:rPr>
                <w:sz w:val="2"/>
                <w:szCs w:val="2"/>
                <w:color w:val="auto"/>
              </w:rPr>
            </w:pPr>
          </w:p>
        </w:tc>
        <w:tc>
          <w:tcPr>
            <w:tcW w:w="720" w:type="dxa"/>
            <w:vAlign w:val="bottom"/>
            <w:tcBorders>
              <w:bottom w:val="single" w:sz="8" w:color="3E8EDE"/>
              <w:right w:val="single" w:sz="8" w:color="B2B2B2"/>
            </w:tcBorders>
          </w:tcPr>
          <w:p>
            <w:pPr>
              <w:spacing w:after="0"/>
              <w:rPr>
                <w:sz w:val="2"/>
                <w:szCs w:val="2"/>
                <w:color w:val="auto"/>
              </w:rPr>
            </w:pPr>
          </w:p>
        </w:tc>
        <w:tc>
          <w:tcPr>
            <w:tcW w:w="1380" w:type="dxa"/>
            <w:vAlign w:val="bottom"/>
            <w:tcBorders>
              <w:bottom w:val="single" w:sz="8" w:color="3E8EDE"/>
              <w:right w:val="single" w:sz="8" w:color="B2B2B2"/>
            </w:tcBorders>
          </w:tcPr>
          <w:p>
            <w:pPr>
              <w:spacing w:after="0"/>
              <w:rPr>
                <w:sz w:val="2"/>
                <w:szCs w:val="2"/>
                <w:color w:val="auto"/>
              </w:rPr>
            </w:pPr>
          </w:p>
        </w:tc>
        <w:tc>
          <w:tcPr>
            <w:tcW w:w="220" w:type="dxa"/>
            <w:vAlign w:val="bottom"/>
            <w:tcBorders>
              <w:bottom w:val="single" w:sz="8" w:color="3E8EDE"/>
            </w:tcBorders>
          </w:tcPr>
          <w:p>
            <w:pPr>
              <w:spacing w:after="0"/>
              <w:rPr>
                <w:sz w:val="2"/>
                <w:szCs w:val="2"/>
                <w:color w:val="auto"/>
              </w:rPr>
            </w:pPr>
          </w:p>
        </w:tc>
        <w:tc>
          <w:tcPr>
            <w:tcW w:w="1380" w:type="dxa"/>
            <w:vAlign w:val="bottom"/>
            <w:tcBorders>
              <w:bottom w:val="single" w:sz="8" w:color="3E8ED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-5657215</wp:posOffset>
            </wp:positionV>
            <wp:extent cx="6710045" cy="6991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10045" cy="699135"/>
                    </a:xfrm>
                    <a:prstGeom prst="rect">
                      <a:avLst/>
                    </a:prstGeom>
                    <a:noFill/>
                  </pic:spPr>
                </pic:pic>
              </a:graphicData>
            </a:graphic>
          </wp:anchor>
        </w:drawing>
      </w:r>
    </w:p>
    <w:p>
      <w:pPr>
        <w:spacing w:after="0" w:line="89" w:lineRule="exact"/>
        <w:rPr>
          <w:sz w:val="20"/>
          <w:szCs w:val="20"/>
          <w:color w:val="auto"/>
        </w:rPr>
      </w:pPr>
    </w:p>
    <w:p>
      <w:pPr>
        <w:ind w:left="760" w:right="400" w:hanging="420"/>
        <w:spacing w:after="0" w:line="261" w:lineRule="auto"/>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Market value is computed by multiplying the number of shares or units of stock by the NYSE Composite Transaction Reporting System closing price of Ordinary Shares on March 31, 2026 of $221.13 per share.</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69</w:t>
      </w:r>
    </w:p>
    <w:p>
      <w:pPr>
        <w:sectPr>
          <w:pgSz w:w="11900" w:h="16838" w:orient="portrait"/>
          <w:cols w:equalWidth="0" w:num="1">
            <w:col w:w="10900"/>
          </w:cols>
          <w:pgMar w:left="320" w:top="469" w:right="6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48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Tabular and Other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320"/>
        <w:spacing w:after="0" w:line="262" w:lineRule="auto"/>
        <w:rPr>
          <w:sz w:val="20"/>
          <w:szCs w:val="20"/>
          <w:color w:val="auto"/>
        </w:rPr>
      </w:pPr>
      <w:r>
        <w:rPr>
          <w:rFonts w:ascii="Arial" w:cs="Arial" w:eastAsia="Arial" w:hAnsi="Arial"/>
          <w:sz w:val="19"/>
          <w:szCs w:val="19"/>
          <w:color w:val="auto"/>
        </w:rPr>
        <w:t>The vesting schedule for each grant in the above table is shown below as of March 31, 2026, based on the option or stock award grant date, as applicable.</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Option Awards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824865</wp:posOffset>
            </wp:positionH>
            <wp:positionV relativeFrom="paragraph">
              <wp:posOffset>154305</wp:posOffset>
            </wp:positionV>
            <wp:extent cx="16510" cy="1314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6510" cy="131445"/>
                    </a:xfrm>
                    <a:prstGeom prst="rect">
                      <a:avLst/>
                    </a:prstGeom>
                    <a:noFill/>
                  </pic:spPr>
                </pic:pic>
              </a:graphicData>
            </a:graphic>
          </wp:anchor>
        </w:drawing>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200" w:type="dxa"/>
            <w:vAlign w:val="bottom"/>
            <w:shd w:val="clear" w:color="auto" w:fill="3E8EDE"/>
          </w:tcPr>
          <w:p>
            <w:pPr>
              <w:jc w:val="right"/>
              <w:ind w:right="235"/>
              <w:spacing w:after="0"/>
              <w:rPr>
                <w:sz w:val="20"/>
                <w:szCs w:val="20"/>
                <w:color w:val="auto"/>
              </w:rPr>
            </w:pPr>
            <w:r>
              <w:rPr>
                <w:rFonts w:ascii="Arial" w:cs="Arial" w:eastAsia="Arial" w:hAnsi="Arial"/>
                <w:sz w:val="14"/>
                <w:szCs w:val="14"/>
                <w:b w:val="1"/>
                <w:bCs w:val="1"/>
                <w:color w:val="FFFFFF"/>
                <w:w w:val="96"/>
              </w:rPr>
              <w:t xml:space="preserve">  Grant Date   </w:t>
            </w:r>
          </w:p>
        </w:tc>
        <w:tc>
          <w:tcPr>
            <w:tcW w:w="9360" w:type="dxa"/>
            <w:vAlign w:val="bottom"/>
            <w:shd w:val="clear" w:color="auto" w:fill="3E8EDE"/>
          </w:tcPr>
          <w:p>
            <w:pPr>
              <w:ind w:left="4260"/>
              <w:spacing w:after="0"/>
              <w:rPr>
                <w:sz w:val="20"/>
                <w:szCs w:val="20"/>
                <w:color w:val="auto"/>
              </w:rPr>
            </w:pPr>
            <w:r>
              <w:rPr>
                <w:rFonts w:ascii="Arial" w:cs="Arial" w:eastAsia="Arial" w:hAnsi="Arial"/>
                <w:sz w:val="14"/>
                <w:szCs w:val="14"/>
                <w:b w:val="1"/>
                <w:bCs w:val="1"/>
                <w:color w:val="FFFFFF"/>
              </w:rPr>
              <w:t>Vesting Schedule</w:t>
            </w:r>
          </w:p>
        </w:tc>
      </w:tr>
      <w:tr>
        <w:trPr>
          <w:trHeight w:val="272"/>
        </w:trPr>
        <w:tc>
          <w:tcPr>
            <w:tcW w:w="1200" w:type="dxa"/>
            <w:vAlign w:val="bottom"/>
            <w:shd w:val="clear" w:color="auto" w:fill="E2EEFA"/>
          </w:tcPr>
          <w:p>
            <w:pPr>
              <w:jc w:val="right"/>
              <w:ind w:right="195"/>
              <w:spacing w:after="0"/>
              <w:rPr>
                <w:sz w:val="20"/>
                <w:szCs w:val="20"/>
                <w:color w:val="auto"/>
              </w:rPr>
            </w:pPr>
            <w:r>
              <w:rPr>
                <w:rFonts w:ascii="Arial" w:cs="Arial" w:eastAsia="Arial" w:hAnsi="Arial"/>
                <w:sz w:val="17"/>
                <w:szCs w:val="17"/>
                <w:color w:val="auto"/>
              </w:rPr>
              <w:t>5/30/2017</w:t>
            </w:r>
          </w:p>
        </w:tc>
        <w:tc>
          <w:tcPr>
            <w:tcW w:w="9360" w:type="dxa"/>
            <w:vAlign w:val="bottom"/>
            <w:shd w:val="clear" w:color="auto" w:fill="E2EEFA"/>
          </w:tcPr>
          <w:p>
            <w:pPr>
              <w:ind w:left="280"/>
              <w:spacing w:after="0"/>
              <w:rPr>
                <w:sz w:val="20"/>
                <w:szCs w:val="20"/>
                <w:color w:val="auto"/>
              </w:rPr>
            </w:pPr>
            <w:r>
              <w:rPr>
                <w:rFonts w:ascii="Arial" w:cs="Arial" w:eastAsia="Arial" w:hAnsi="Arial"/>
                <w:sz w:val="17"/>
                <w:szCs w:val="17"/>
                <w:color w:val="auto"/>
              </w:rPr>
              <w:t>Fully vested and exercisable</w:t>
            </w:r>
          </w:p>
        </w:tc>
      </w:tr>
      <w:tr>
        <w:trPr>
          <w:trHeight w:val="267"/>
        </w:trPr>
        <w:tc>
          <w:tcPr>
            <w:tcW w:w="1200" w:type="dxa"/>
            <w:vAlign w:val="bottom"/>
          </w:tcPr>
          <w:p>
            <w:pPr>
              <w:jc w:val="right"/>
              <w:ind w:right="195"/>
              <w:spacing w:after="0"/>
              <w:rPr>
                <w:sz w:val="20"/>
                <w:szCs w:val="20"/>
                <w:color w:val="auto"/>
              </w:rPr>
            </w:pPr>
            <w:r>
              <w:rPr>
                <w:rFonts w:ascii="Arial" w:cs="Arial" w:eastAsia="Arial" w:hAnsi="Arial"/>
                <w:sz w:val="17"/>
                <w:szCs w:val="17"/>
                <w:color w:val="auto"/>
              </w:rPr>
              <w:t>5/31/2018</w:t>
            </w:r>
          </w:p>
        </w:tc>
        <w:tc>
          <w:tcPr>
            <w:tcW w:w="9360" w:type="dxa"/>
            <w:vAlign w:val="bottom"/>
          </w:tcPr>
          <w:p>
            <w:pPr>
              <w:ind w:left="280"/>
              <w:spacing w:after="0"/>
              <w:rPr>
                <w:sz w:val="20"/>
                <w:szCs w:val="20"/>
                <w:color w:val="auto"/>
              </w:rPr>
            </w:pPr>
            <w:r>
              <w:rPr>
                <w:rFonts w:ascii="Arial" w:cs="Arial" w:eastAsia="Arial" w:hAnsi="Arial"/>
                <w:sz w:val="17"/>
                <w:szCs w:val="17"/>
                <w:color w:val="auto"/>
              </w:rPr>
              <w:t>Fully vested and exercisable</w:t>
            </w:r>
          </w:p>
        </w:tc>
      </w:tr>
      <w:tr>
        <w:trPr>
          <w:trHeight w:val="277"/>
        </w:trPr>
        <w:tc>
          <w:tcPr>
            <w:tcW w:w="1200" w:type="dxa"/>
            <w:vAlign w:val="bottom"/>
            <w:shd w:val="clear" w:color="auto" w:fill="E2EEFA"/>
          </w:tcPr>
          <w:p>
            <w:pPr>
              <w:jc w:val="right"/>
              <w:ind w:right="195"/>
              <w:spacing w:after="0"/>
              <w:rPr>
                <w:sz w:val="20"/>
                <w:szCs w:val="20"/>
                <w:color w:val="auto"/>
              </w:rPr>
            </w:pPr>
            <w:r>
              <w:rPr>
                <w:rFonts w:ascii="Arial" w:cs="Arial" w:eastAsia="Arial" w:hAnsi="Arial"/>
                <w:sz w:val="17"/>
                <w:szCs w:val="17"/>
                <w:color w:val="auto"/>
              </w:rPr>
              <w:t>10/1/2018</w:t>
            </w:r>
          </w:p>
        </w:tc>
        <w:tc>
          <w:tcPr>
            <w:tcW w:w="9360" w:type="dxa"/>
            <w:vAlign w:val="bottom"/>
            <w:shd w:val="clear" w:color="auto" w:fill="E2EEFA"/>
          </w:tcPr>
          <w:p>
            <w:pPr>
              <w:ind w:left="280"/>
              <w:spacing w:after="0"/>
              <w:rPr>
                <w:sz w:val="20"/>
                <w:szCs w:val="20"/>
                <w:color w:val="auto"/>
              </w:rPr>
            </w:pPr>
            <w:r>
              <w:rPr>
                <w:rFonts w:ascii="Arial" w:cs="Arial" w:eastAsia="Arial" w:hAnsi="Arial"/>
                <w:sz w:val="17"/>
                <w:szCs w:val="17"/>
                <w:color w:val="auto"/>
              </w:rPr>
              <w:t>Fully vested and exercisable</w:t>
            </w:r>
          </w:p>
        </w:tc>
      </w:tr>
      <w:tr>
        <w:trPr>
          <w:trHeight w:val="267"/>
        </w:trPr>
        <w:tc>
          <w:tcPr>
            <w:tcW w:w="1200" w:type="dxa"/>
            <w:vAlign w:val="bottom"/>
          </w:tcPr>
          <w:p>
            <w:pPr>
              <w:jc w:val="right"/>
              <w:ind w:right="195"/>
              <w:spacing w:after="0"/>
              <w:rPr>
                <w:sz w:val="20"/>
                <w:szCs w:val="20"/>
                <w:color w:val="auto"/>
              </w:rPr>
            </w:pPr>
            <w:r>
              <w:rPr>
                <w:rFonts w:ascii="Arial" w:cs="Arial" w:eastAsia="Arial" w:hAnsi="Arial"/>
                <w:sz w:val="17"/>
                <w:szCs w:val="17"/>
                <w:color w:val="auto"/>
              </w:rPr>
              <w:t>5/31/2019</w:t>
            </w:r>
          </w:p>
        </w:tc>
        <w:tc>
          <w:tcPr>
            <w:tcW w:w="9360" w:type="dxa"/>
            <w:vAlign w:val="bottom"/>
          </w:tcPr>
          <w:p>
            <w:pPr>
              <w:ind w:left="280"/>
              <w:spacing w:after="0"/>
              <w:rPr>
                <w:sz w:val="20"/>
                <w:szCs w:val="20"/>
                <w:color w:val="auto"/>
              </w:rPr>
            </w:pPr>
            <w:r>
              <w:rPr>
                <w:rFonts w:ascii="Arial" w:cs="Arial" w:eastAsia="Arial" w:hAnsi="Arial"/>
                <w:sz w:val="17"/>
                <w:szCs w:val="17"/>
                <w:color w:val="auto"/>
              </w:rPr>
              <w:t>Fully vested and exercisable</w:t>
            </w:r>
          </w:p>
        </w:tc>
      </w:tr>
      <w:tr>
        <w:trPr>
          <w:trHeight w:val="277"/>
        </w:trPr>
        <w:tc>
          <w:tcPr>
            <w:tcW w:w="1200" w:type="dxa"/>
            <w:vAlign w:val="bottom"/>
            <w:shd w:val="clear" w:color="auto" w:fill="E2EEFA"/>
          </w:tcPr>
          <w:p>
            <w:pPr>
              <w:jc w:val="right"/>
              <w:ind w:right="195"/>
              <w:spacing w:after="0"/>
              <w:rPr>
                <w:sz w:val="20"/>
                <w:szCs w:val="20"/>
                <w:color w:val="auto"/>
              </w:rPr>
            </w:pPr>
            <w:r>
              <w:rPr>
                <w:rFonts w:ascii="Arial" w:cs="Arial" w:eastAsia="Arial" w:hAnsi="Arial"/>
                <w:sz w:val="17"/>
                <w:szCs w:val="17"/>
                <w:color w:val="auto"/>
              </w:rPr>
              <w:t>6/1/2020</w:t>
            </w:r>
          </w:p>
        </w:tc>
        <w:tc>
          <w:tcPr>
            <w:tcW w:w="9360" w:type="dxa"/>
            <w:vAlign w:val="bottom"/>
            <w:shd w:val="clear" w:color="auto" w:fill="E2EEFA"/>
          </w:tcPr>
          <w:p>
            <w:pPr>
              <w:ind w:left="280"/>
              <w:spacing w:after="0"/>
              <w:rPr>
                <w:sz w:val="20"/>
                <w:szCs w:val="20"/>
                <w:color w:val="auto"/>
              </w:rPr>
            </w:pPr>
            <w:r>
              <w:rPr>
                <w:rFonts w:ascii="Arial" w:cs="Arial" w:eastAsia="Arial" w:hAnsi="Arial"/>
                <w:sz w:val="17"/>
                <w:szCs w:val="17"/>
                <w:color w:val="auto"/>
              </w:rPr>
              <w:t>Fully vested and exercisable</w:t>
            </w:r>
          </w:p>
        </w:tc>
      </w:tr>
      <w:tr>
        <w:trPr>
          <w:trHeight w:val="267"/>
        </w:trPr>
        <w:tc>
          <w:tcPr>
            <w:tcW w:w="1200" w:type="dxa"/>
            <w:vAlign w:val="bottom"/>
          </w:tcPr>
          <w:p>
            <w:pPr>
              <w:jc w:val="right"/>
              <w:ind w:right="195"/>
              <w:spacing w:after="0"/>
              <w:rPr>
                <w:sz w:val="20"/>
                <w:szCs w:val="20"/>
                <w:color w:val="auto"/>
              </w:rPr>
            </w:pPr>
            <w:r>
              <w:rPr>
                <w:rFonts w:ascii="Arial" w:cs="Arial" w:eastAsia="Arial" w:hAnsi="Arial"/>
                <w:sz w:val="17"/>
                <w:szCs w:val="17"/>
                <w:color w:val="auto"/>
              </w:rPr>
              <w:t>6/2/2021</w:t>
            </w:r>
          </w:p>
        </w:tc>
        <w:tc>
          <w:tcPr>
            <w:tcW w:w="9360" w:type="dxa"/>
            <w:vAlign w:val="bottom"/>
          </w:tcPr>
          <w:p>
            <w:pPr>
              <w:ind w:left="280"/>
              <w:spacing w:after="0"/>
              <w:rPr>
                <w:sz w:val="20"/>
                <w:szCs w:val="20"/>
                <w:color w:val="auto"/>
              </w:rPr>
            </w:pPr>
            <w:r>
              <w:rPr>
                <w:rFonts w:ascii="Arial" w:cs="Arial" w:eastAsia="Arial" w:hAnsi="Arial"/>
                <w:sz w:val="17"/>
                <w:szCs w:val="17"/>
                <w:color w:val="auto"/>
              </w:rPr>
              <w:t>Fully vested and exercisable</w:t>
            </w:r>
          </w:p>
        </w:tc>
      </w:tr>
      <w:tr>
        <w:trPr>
          <w:trHeight w:val="277"/>
        </w:trPr>
        <w:tc>
          <w:tcPr>
            <w:tcW w:w="1200" w:type="dxa"/>
            <w:vAlign w:val="bottom"/>
            <w:shd w:val="clear" w:color="auto" w:fill="E2EEFA"/>
          </w:tcPr>
          <w:p>
            <w:pPr>
              <w:jc w:val="right"/>
              <w:ind w:right="195"/>
              <w:spacing w:after="0"/>
              <w:rPr>
                <w:sz w:val="20"/>
                <w:szCs w:val="20"/>
                <w:color w:val="auto"/>
              </w:rPr>
            </w:pPr>
            <w:r>
              <w:rPr>
                <w:rFonts w:ascii="Arial" w:cs="Arial" w:eastAsia="Arial" w:hAnsi="Arial"/>
                <w:sz w:val="17"/>
                <w:szCs w:val="17"/>
                <w:color w:val="auto"/>
              </w:rPr>
              <w:t>10/1/2021</w:t>
            </w:r>
          </w:p>
        </w:tc>
        <w:tc>
          <w:tcPr>
            <w:tcW w:w="9360" w:type="dxa"/>
            <w:vAlign w:val="bottom"/>
            <w:shd w:val="clear" w:color="auto" w:fill="E2EEFA"/>
          </w:tcPr>
          <w:p>
            <w:pPr>
              <w:ind w:left="280"/>
              <w:spacing w:after="0"/>
              <w:rPr>
                <w:sz w:val="20"/>
                <w:szCs w:val="20"/>
                <w:color w:val="auto"/>
              </w:rPr>
            </w:pPr>
            <w:r>
              <w:rPr>
                <w:rFonts w:ascii="Arial" w:cs="Arial" w:eastAsia="Arial" w:hAnsi="Arial"/>
                <w:sz w:val="17"/>
                <w:szCs w:val="17"/>
                <w:color w:val="auto"/>
              </w:rPr>
              <w:t>Fully vested and exercisable</w:t>
            </w:r>
          </w:p>
        </w:tc>
      </w:tr>
      <w:tr>
        <w:trPr>
          <w:trHeight w:val="267"/>
        </w:trPr>
        <w:tc>
          <w:tcPr>
            <w:tcW w:w="1200" w:type="dxa"/>
            <w:vAlign w:val="bottom"/>
          </w:tcPr>
          <w:p>
            <w:pPr>
              <w:jc w:val="right"/>
              <w:ind w:right="195"/>
              <w:spacing w:after="0"/>
              <w:rPr>
                <w:sz w:val="20"/>
                <w:szCs w:val="20"/>
                <w:color w:val="auto"/>
              </w:rPr>
            </w:pPr>
            <w:r>
              <w:rPr>
                <w:rFonts w:ascii="Arial" w:cs="Arial" w:eastAsia="Arial" w:hAnsi="Arial"/>
                <w:sz w:val="17"/>
                <w:szCs w:val="17"/>
                <w:color w:val="auto"/>
              </w:rPr>
              <w:t>6/2/2022</w:t>
            </w:r>
          </w:p>
        </w:tc>
        <w:tc>
          <w:tcPr>
            <w:tcW w:w="9360" w:type="dxa"/>
            <w:vAlign w:val="bottom"/>
          </w:tcPr>
          <w:p>
            <w:pPr>
              <w:ind w:left="280"/>
              <w:spacing w:after="0"/>
              <w:rPr>
                <w:sz w:val="20"/>
                <w:szCs w:val="20"/>
                <w:color w:val="auto"/>
              </w:rPr>
            </w:pPr>
            <w:r>
              <w:rPr>
                <w:rFonts w:ascii="Arial" w:cs="Arial" w:eastAsia="Arial" w:hAnsi="Arial"/>
                <w:sz w:val="17"/>
                <w:szCs w:val="17"/>
                <w:color w:val="auto"/>
              </w:rPr>
              <w:t>75% vested and exercisable and remaining 25% will vest and become exercisable on 6/2/2026</w:t>
            </w:r>
          </w:p>
        </w:tc>
      </w:tr>
      <w:tr>
        <w:trPr>
          <w:trHeight w:val="277"/>
        </w:trPr>
        <w:tc>
          <w:tcPr>
            <w:tcW w:w="1200" w:type="dxa"/>
            <w:vAlign w:val="bottom"/>
            <w:shd w:val="clear" w:color="auto" w:fill="E2EEFA"/>
          </w:tcPr>
          <w:p>
            <w:pPr>
              <w:jc w:val="right"/>
              <w:ind w:right="195"/>
              <w:spacing w:after="0"/>
              <w:rPr>
                <w:sz w:val="20"/>
                <w:szCs w:val="20"/>
                <w:color w:val="auto"/>
              </w:rPr>
            </w:pPr>
            <w:r>
              <w:rPr>
                <w:rFonts w:ascii="Arial" w:cs="Arial" w:eastAsia="Arial" w:hAnsi="Arial"/>
                <w:sz w:val="17"/>
                <w:szCs w:val="17"/>
                <w:color w:val="auto"/>
              </w:rPr>
              <w:t>5/31/2023</w:t>
            </w:r>
          </w:p>
        </w:tc>
        <w:tc>
          <w:tcPr>
            <w:tcW w:w="9360" w:type="dxa"/>
            <w:vAlign w:val="bottom"/>
            <w:shd w:val="clear" w:color="auto" w:fill="E2EEFA"/>
          </w:tcPr>
          <w:p>
            <w:pPr>
              <w:ind w:left="280"/>
              <w:spacing w:after="0"/>
              <w:rPr>
                <w:sz w:val="20"/>
                <w:szCs w:val="20"/>
                <w:color w:val="auto"/>
              </w:rPr>
            </w:pPr>
            <w:r>
              <w:rPr>
                <w:rFonts w:ascii="Arial" w:cs="Arial" w:eastAsia="Arial" w:hAnsi="Arial"/>
                <w:sz w:val="17"/>
                <w:szCs w:val="17"/>
                <w:color w:val="auto"/>
              </w:rPr>
              <w:t>50% vested and exercisable and 25% will vest and become exercisable on each of 6/1/2026 and 6/1/2027</w:t>
            </w:r>
          </w:p>
        </w:tc>
      </w:tr>
      <w:tr>
        <w:trPr>
          <w:trHeight w:val="267"/>
        </w:trPr>
        <w:tc>
          <w:tcPr>
            <w:tcW w:w="1200" w:type="dxa"/>
            <w:vAlign w:val="bottom"/>
          </w:tcPr>
          <w:p>
            <w:pPr>
              <w:jc w:val="right"/>
              <w:ind w:right="195"/>
              <w:spacing w:after="0"/>
              <w:rPr>
                <w:sz w:val="20"/>
                <w:szCs w:val="20"/>
                <w:color w:val="auto"/>
              </w:rPr>
            </w:pPr>
            <w:r>
              <w:rPr>
                <w:rFonts w:ascii="Arial" w:cs="Arial" w:eastAsia="Arial" w:hAnsi="Arial"/>
                <w:sz w:val="17"/>
                <w:szCs w:val="17"/>
                <w:color w:val="auto"/>
              </w:rPr>
              <w:t>6/4/2024</w:t>
            </w:r>
          </w:p>
        </w:tc>
        <w:tc>
          <w:tcPr>
            <w:tcW w:w="9360" w:type="dxa"/>
            <w:vAlign w:val="bottom"/>
          </w:tcPr>
          <w:p>
            <w:pPr>
              <w:ind w:left="280"/>
              <w:spacing w:after="0"/>
              <w:rPr>
                <w:sz w:val="20"/>
                <w:szCs w:val="20"/>
                <w:color w:val="auto"/>
              </w:rPr>
            </w:pPr>
            <w:r>
              <w:rPr>
                <w:rFonts w:ascii="Arial" w:cs="Arial" w:eastAsia="Arial" w:hAnsi="Arial"/>
                <w:sz w:val="17"/>
                <w:szCs w:val="17"/>
                <w:color w:val="auto"/>
              </w:rPr>
              <w:t>25% vested and exercisable and 25% will vest and become exercisable on each of 6/4/2026, 6/4/2027 and 6/5/2028</w:t>
            </w:r>
          </w:p>
        </w:tc>
      </w:tr>
      <w:tr>
        <w:trPr>
          <w:trHeight w:val="277"/>
        </w:trPr>
        <w:tc>
          <w:tcPr>
            <w:tcW w:w="1200" w:type="dxa"/>
            <w:vAlign w:val="bottom"/>
            <w:shd w:val="clear" w:color="auto" w:fill="E2EEFA"/>
          </w:tcPr>
          <w:p>
            <w:pPr>
              <w:jc w:val="right"/>
              <w:ind w:right="195"/>
              <w:spacing w:after="0"/>
              <w:rPr>
                <w:sz w:val="20"/>
                <w:szCs w:val="20"/>
                <w:color w:val="auto"/>
              </w:rPr>
            </w:pPr>
            <w:r>
              <w:rPr>
                <w:rFonts w:ascii="Arial" w:cs="Arial" w:eastAsia="Arial" w:hAnsi="Arial"/>
                <w:sz w:val="17"/>
                <w:szCs w:val="17"/>
                <w:color w:val="auto"/>
              </w:rPr>
              <w:t>6/3/2025</w:t>
            </w:r>
          </w:p>
        </w:tc>
        <w:tc>
          <w:tcPr>
            <w:tcW w:w="9360" w:type="dxa"/>
            <w:vAlign w:val="bottom"/>
            <w:shd w:val="clear" w:color="auto" w:fill="E2EEFA"/>
          </w:tcPr>
          <w:p>
            <w:pPr>
              <w:ind w:left="280"/>
              <w:spacing w:after="0"/>
              <w:rPr>
                <w:sz w:val="20"/>
                <w:szCs w:val="20"/>
                <w:color w:val="auto"/>
              </w:rPr>
            </w:pPr>
            <w:r>
              <w:rPr>
                <w:rFonts w:ascii="Arial" w:cs="Arial" w:eastAsia="Arial" w:hAnsi="Arial"/>
                <w:sz w:val="17"/>
                <w:szCs w:val="17"/>
                <w:color w:val="auto"/>
              </w:rPr>
              <w:t>25% will vest and become exercisable on each of 6/3/2026, 6/3/2027, 6/5/2028 and 6/4/2029</w:t>
            </w:r>
          </w:p>
        </w:tc>
      </w:tr>
      <w:tr>
        <w:trPr>
          <w:trHeight w:val="267"/>
        </w:trPr>
        <w:tc>
          <w:tcPr>
            <w:tcW w:w="1200" w:type="dxa"/>
            <w:vAlign w:val="bottom"/>
            <w:tcBorders>
              <w:bottom w:val="single" w:sz="8" w:color="3E8EDE"/>
            </w:tcBorders>
          </w:tcPr>
          <w:p>
            <w:pPr>
              <w:jc w:val="right"/>
              <w:ind w:right="195"/>
              <w:spacing w:after="0"/>
              <w:rPr>
                <w:sz w:val="20"/>
                <w:szCs w:val="20"/>
                <w:color w:val="auto"/>
              </w:rPr>
            </w:pPr>
            <w:r>
              <w:rPr>
                <w:rFonts w:ascii="Arial" w:cs="Arial" w:eastAsia="Arial" w:hAnsi="Arial"/>
                <w:sz w:val="17"/>
                <w:szCs w:val="17"/>
                <w:color w:val="auto"/>
              </w:rPr>
              <w:t>10/1/2025</w:t>
            </w:r>
          </w:p>
        </w:tc>
        <w:tc>
          <w:tcPr>
            <w:tcW w:w="9360" w:type="dxa"/>
            <w:vAlign w:val="bottom"/>
            <w:tcBorders>
              <w:bottom w:val="single" w:sz="8" w:color="3E8EDE"/>
            </w:tcBorders>
          </w:tcPr>
          <w:p>
            <w:pPr>
              <w:ind w:left="280"/>
              <w:spacing w:after="0"/>
              <w:rPr>
                <w:sz w:val="20"/>
                <w:szCs w:val="20"/>
                <w:color w:val="auto"/>
              </w:rPr>
            </w:pPr>
            <w:r>
              <w:rPr>
                <w:rFonts w:ascii="Arial" w:cs="Arial" w:eastAsia="Arial" w:hAnsi="Arial"/>
                <w:sz w:val="17"/>
                <w:szCs w:val="17"/>
                <w:color w:val="auto"/>
              </w:rPr>
              <w:t>25% will vest and become exercisable on each of 10/1/2026, 10/1/2027,10/1/2028 and 10/1/2029 (Burton)</w:t>
            </w: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Stock Awards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824865</wp:posOffset>
            </wp:positionH>
            <wp:positionV relativeFrom="paragraph">
              <wp:posOffset>154305</wp:posOffset>
            </wp:positionV>
            <wp:extent cx="16510" cy="1314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6510" cy="131445"/>
                    </a:xfrm>
                    <a:prstGeom prst="rect">
                      <a:avLst/>
                    </a:prstGeom>
                    <a:noFill/>
                  </pic:spPr>
                </pic:pic>
              </a:graphicData>
            </a:graphic>
          </wp:anchor>
        </w:drawing>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200" w:type="dxa"/>
            <w:vAlign w:val="bottom"/>
            <w:shd w:val="clear" w:color="auto" w:fill="3E8EDE"/>
          </w:tcPr>
          <w:p>
            <w:pPr>
              <w:jc w:val="right"/>
              <w:ind w:right="235"/>
              <w:spacing w:after="0"/>
              <w:rPr>
                <w:sz w:val="20"/>
                <w:szCs w:val="20"/>
                <w:color w:val="auto"/>
              </w:rPr>
            </w:pPr>
            <w:r>
              <w:rPr>
                <w:rFonts w:ascii="Arial" w:cs="Arial" w:eastAsia="Arial" w:hAnsi="Arial"/>
                <w:sz w:val="14"/>
                <w:szCs w:val="14"/>
                <w:b w:val="1"/>
                <w:bCs w:val="1"/>
                <w:color w:val="FFFFFF"/>
                <w:w w:val="96"/>
              </w:rPr>
              <w:t xml:space="preserve">  Grant Date   </w:t>
            </w:r>
          </w:p>
        </w:tc>
        <w:tc>
          <w:tcPr>
            <w:tcW w:w="9360" w:type="dxa"/>
            <w:vAlign w:val="bottom"/>
            <w:shd w:val="clear" w:color="auto" w:fill="3E8EDE"/>
          </w:tcPr>
          <w:p>
            <w:pPr>
              <w:ind w:left="4240"/>
              <w:spacing w:after="0"/>
              <w:rPr>
                <w:sz w:val="20"/>
                <w:szCs w:val="20"/>
                <w:color w:val="auto"/>
              </w:rPr>
            </w:pPr>
            <w:r>
              <w:rPr>
                <w:rFonts w:ascii="Arial" w:cs="Arial" w:eastAsia="Arial" w:hAnsi="Arial"/>
                <w:sz w:val="14"/>
                <w:szCs w:val="14"/>
                <w:b w:val="1"/>
                <w:bCs w:val="1"/>
                <w:color w:val="FFFFFF"/>
              </w:rPr>
              <w:t>Vesting Schedule*</w:t>
            </w:r>
          </w:p>
        </w:tc>
      </w:tr>
      <w:tr>
        <w:trPr>
          <w:trHeight w:val="272"/>
        </w:trPr>
        <w:tc>
          <w:tcPr>
            <w:tcW w:w="1200" w:type="dxa"/>
            <w:vAlign w:val="bottom"/>
            <w:shd w:val="clear" w:color="auto" w:fill="E2EEFA"/>
          </w:tcPr>
          <w:p>
            <w:pPr>
              <w:jc w:val="right"/>
              <w:ind w:right="195"/>
              <w:spacing w:after="0"/>
              <w:rPr>
                <w:sz w:val="20"/>
                <w:szCs w:val="20"/>
                <w:color w:val="auto"/>
              </w:rPr>
            </w:pPr>
            <w:r>
              <w:rPr>
                <w:rFonts w:ascii="Arial" w:cs="Arial" w:eastAsia="Arial" w:hAnsi="Arial"/>
                <w:sz w:val="17"/>
                <w:szCs w:val="17"/>
                <w:color w:val="auto"/>
              </w:rPr>
              <w:t>6/2/2022</w:t>
            </w:r>
          </w:p>
        </w:tc>
        <w:tc>
          <w:tcPr>
            <w:tcW w:w="9360" w:type="dxa"/>
            <w:vAlign w:val="bottom"/>
            <w:shd w:val="clear" w:color="auto" w:fill="E2EEFA"/>
          </w:tcPr>
          <w:p>
            <w:pPr>
              <w:ind w:left="280"/>
              <w:spacing w:after="0"/>
              <w:rPr>
                <w:sz w:val="20"/>
                <w:szCs w:val="20"/>
                <w:color w:val="auto"/>
              </w:rPr>
            </w:pPr>
            <w:r>
              <w:rPr>
                <w:rFonts w:ascii="Arial" w:cs="Arial" w:eastAsia="Arial" w:hAnsi="Arial"/>
                <w:sz w:val="17"/>
                <w:szCs w:val="17"/>
                <w:color w:val="auto"/>
              </w:rPr>
              <w:t>100% will vest on 6/2/2026 (Majors and Fraser)</w:t>
            </w:r>
          </w:p>
        </w:tc>
      </w:tr>
      <w:tr>
        <w:trPr>
          <w:trHeight w:val="267"/>
        </w:trPr>
        <w:tc>
          <w:tcPr>
            <w:tcW w:w="1200" w:type="dxa"/>
            <w:vAlign w:val="bottom"/>
          </w:tcPr>
          <w:p>
            <w:pPr>
              <w:jc w:val="right"/>
              <w:ind w:right="195"/>
              <w:spacing w:after="0"/>
              <w:rPr>
                <w:sz w:val="20"/>
                <w:szCs w:val="20"/>
                <w:color w:val="auto"/>
              </w:rPr>
            </w:pPr>
            <w:r>
              <w:rPr>
                <w:rFonts w:ascii="Arial" w:cs="Arial" w:eastAsia="Arial" w:hAnsi="Arial"/>
                <w:sz w:val="17"/>
                <w:szCs w:val="17"/>
                <w:color w:val="auto"/>
              </w:rPr>
              <w:t>6/2/2022</w:t>
            </w:r>
          </w:p>
        </w:tc>
        <w:tc>
          <w:tcPr>
            <w:tcW w:w="9360" w:type="dxa"/>
            <w:vAlign w:val="bottom"/>
          </w:tcPr>
          <w:p>
            <w:pPr>
              <w:ind w:left="280"/>
              <w:spacing w:after="0"/>
              <w:rPr>
                <w:sz w:val="20"/>
                <w:szCs w:val="20"/>
                <w:color w:val="auto"/>
              </w:rPr>
            </w:pPr>
            <w:r>
              <w:rPr>
                <w:rFonts w:ascii="Arial" w:cs="Arial" w:eastAsia="Arial" w:hAnsi="Arial"/>
                <w:sz w:val="17"/>
                <w:szCs w:val="17"/>
                <w:color w:val="auto"/>
              </w:rPr>
              <w:t>75% vested and 25% will vest on 6/2/2026 (Burton, Carestio, Tokich and Zangerle)</w:t>
            </w:r>
          </w:p>
        </w:tc>
      </w:tr>
      <w:tr>
        <w:trPr>
          <w:trHeight w:val="277"/>
        </w:trPr>
        <w:tc>
          <w:tcPr>
            <w:tcW w:w="1200" w:type="dxa"/>
            <w:vAlign w:val="bottom"/>
            <w:shd w:val="clear" w:color="auto" w:fill="E2EEFA"/>
          </w:tcPr>
          <w:p>
            <w:pPr>
              <w:jc w:val="right"/>
              <w:ind w:right="195"/>
              <w:spacing w:after="0"/>
              <w:rPr>
                <w:sz w:val="20"/>
                <w:szCs w:val="20"/>
                <w:color w:val="auto"/>
              </w:rPr>
            </w:pPr>
            <w:r>
              <w:rPr>
                <w:rFonts w:ascii="Arial" w:cs="Arial" w:eastAsia="Arial" w:hAnsi="Arial"/>
                <w:sz w:val="17"/>
                <w:szCs w:val="17"/>
                <w:color w:val="auto"/>
              </w:rPr>
              <w:t>5/31/2023</w:t>
            </w:r>
          </w:p>
        </w:tc>
        <w:tc>
          <w:tcPr>
            <w:tcW w:w="9360" w:type="dxa"/>
            <w:vAlign w:val="bottom"/>
            <w:shd w:val="clear" w:color="auto" w:fill="E2EEFA"/>
          </w:tcPr>
          <w:p>
            <w:pPr>
              <w:ind w:left="280"/>
              <w:spacing w:after="0"/>
              <w:rPr>
                <w:sz w:val="20"/>
                <w:szCs w:val="20"/>
                <w:color w:val="auto"/>
              </w:rPr>
            </w:pPr>
            <w:r>
              <w:rPr>
                <w:rFonts w:ascii="Arial" w:cs="Arial" w:eastAsia="Arial" w:hAnsi="Arial"/>
                <w:sz w:val="17"/>
                <w:szCs w:val="17"/>
                <w:color w:val="auto"/>
              </w:rPr>
              <w:t>100% will vest on 6/1/2026 (Majors and Fraser)</w:t>
            </w:r>
          </w:p>
        </w:tc>
      </w:tr>
      <w:tr>
        <w:trPr>
          <w:trHeight w:val="272"/>
        </w:trPr>
        <w:tc>
          <w:tcPr>
            <w:tcW w:w="1200" w:type="dxa"/>
            <w:vAlign w:val="bottom"/>
          </w:tcPr>
          <w:p>
            <w:pPr>
              <w:jc w:val="right"/>
              <w:ind w:right="195"/>
              <w:spacing w:after="0"/>
              <w:rPr>
                <w:sz w:val="20"/>
                <w:szCs w:val="20"/>
                <w:color w:val="auto"/>
              </w:rPr>
            </w:pPr>
            <w:r>
              <w:rPr>
                <w:rFonts w:ascii="Arial" w:cs="Arial" w:eastAsia="Arial" w:hAnsi="Arial"/>
                <w:sz w:val="17"/>
                <w:szCs w:val="17"/>
                <w:color w:val="auto"/>
              </w:rPr>
              <w:t>5/31/2023</w:t>
            </w:r>
          </w:p>
        </w:tc>
        <w:tc>
          <w:tcPr>
            <w:tcW w:w="9360" w:type="dxa"/>
            <w:vAlign w:val="bottom"/>
          </w:tcPr>
          <w:p>
            <w:pPr>
              <w:ind w:left="280"/>
              <w:spacing w:after="0" w:line="272" w:lineRule="exact"/>
              <w:rPr>
                <w:sz w:val="20"/>
                <w:szCs w:val="20"/>
                <w:color w:val="auto"/>
              </w:rPr>
            </w:pPr>
            <w:r>
              <w:rPr>
                <w:rFonts w:ascii="Arial" w:cs="Arial" w:eastAsia="Arial" w:hAnsi="Arial"/>
                <w:sz w:val="17"/>
                <w:szCs w:val="17"/>
                <w:color w:val="auto"/>
              </w:rPr>
              <w:t>66</w:t>
            </w:r>
            <w:r>
              <w:rPr>
                <w:rFonts w:ascii="Arial" w:cs="Arial" w:eastAsia="Arial" w:hAnsi="Arial"/>
                <w:sz w:val="25"/>
                <w:szCs w:val="25"/>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vested and 33</w:t>
            </w:r>
            <w:r>
              <w:rPr>
                <w:rFonts w:ascii="Arial" w:cs="Arial" w:eastAsia="Arial" w:hAnsi="Arial"/>
                <w:sz w:val="25"/>
                <w:szCs w:val="25"/>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will vest on 6/1/2026 (Burton, Carestio, Tokich and Zangerle)</w:t>
            </w:r>
          </w:p>
        </w:tc>
      </w:tr>
      <w:tr>
        <w:trPr>
          <w:trHeight w:val="272"/>
        </w:trPr>
        <w:tc>
          <w:tcPr>
            <w:tcW w:w="1200" w:type="dxa"/>
            <w:vAlign w:val="bottom"/>
            <w:shd w:val="clear" w:color="auto" w:fill="E2EEFA"/>
          </w:tcPr>
          <w:p>
            <w:pPr>
              <w:jc w:val="right"/>
              <w:ind w:right="195"/>
              <w:spacing w:after="0"/>
              <w:rPr>
                <w:sz w:val="20"/>
                <w:szCs w:val="20"/>
                <w:color w:val="auto"/>
              </w:rPr>
            </w:pPr>
            <w:r>
              <w:rPr>
                <w:rFonts w:ascii="Arial" w:cs="Arial" w:eastAsia="Arial" w:hAnsi="Arial"/>
                <w:sz w:val="17"/>
                <w:szCs w:val="17"/>
                <w:color w:val="auto"/>
              </w:rPr>
              <w:t>6/4/2024</w:t>
            </w:r>
          </w:p>
        </w:tc>
        <w:tc>
          <w:tcPr>
            <w:tcW w:w="9360" w:type="dxa"/>
            <w:vAlign w:val="bottom"/>
            <w:shd w:val="clear" w:color="auto" w:fill="E2EEFA"/>
          </w:tcPr>
          <w:p>
            <w:pPr>
              <w:ind w:left="280"/>
              <w:spacing w:after="0"/>
              <w:rPr>
                <w:sz w:val="20"/>
                <w:szCs w:val="20"/>
                <w:color w:val="auto"/>
              </w:rPr>
            </w:pPr>
            <w:r>
              <w:rPr>
                <w:rFonts w:ascii="Arial" w:cs="Arial" w:eastAsia="Arial" w:hAnsi="Arial"/>
                <w:sz w:val="17"/>
                <w:szCs w:val="17"/>
                <w:color w:val="auto"/>
              </w:rPr>
              <w:t>100% will vest on 6/4/2027 (Majors)</w:t>
            </w:r>
          </w:p>
        </w:tc>
      </w:tr>
      <w:tr>
        <w:trPr>
          <w:trHeight w:val="307"/>
        </w:trPr>
        <w:tc>
          <w:tcPr>
            <w:tcW w:w="1200" w:type="dxa"/>
            <w:vAlign w:val="bottom"/>
          </w:tcPr>
          <w:p>
            <w:pPr>
              <w:jc w:val="right"/>
              <w:ind w:right="195"/>
              <w:spacing w:after="0"/>
              <w:rPr>
                <w:sz w:val="20"/>
                <w:szCs w:val="20"/>
                <w:color w:val="auto"/>
              </w:rPr>
            </w:pPr>
            <w:r>
              <w:rPr>
                <w:rFonts w:ascii="Arial" w:cs="Arial" w:eastAsia="Arial" w:hAnsi="Arial"/>
                <w:sz w:val="17"/>
                <w:szCs w:val="17"/>
                <w:color w:val="auto"/>
              </w:rPr>
              <w:t>6/4/2024</w:t>
            </w:r>
          </w:p>
        </w:tc>
        <w:tc>
          <w:tcPr>
            <w:tcW w:w="9360" w:type="dxa"/>
            <w:vAlign w:val="bottom"/>
          </w:tcPr>
          <w:p>
            <w:pPr>
              <w:ind w:left="280"/>
              <w:spacing w:after="0"/>
              <w:rPr>
                <w:sz w:val="20"/>
                <w:szCs w:val="20"/>
                <w:color w:val="auto"/>
              </w:rPr>
            </w:pPr>
            <w:r>
              <w:rPr>
                <w:rFonts w:ascii="Arial" w:cs="Arial" w:eastAsia="Arial" w:hAnsi="Arial"/>
                <w:sz w:val="17"/>
                <w:szCs w:val="17"/>
                <w:color w:val="auto"/>
              </w:rPr>
              <w:t>33</w:t>
            </w:r>
            <w:r>
              <w:rPr>
                <w:rFonts w:ascii="Arial" w:cs="Arial" w:eastAsia="Arial" w:hAnsi="Arial"/>
                <w:sz w:val="25"/>
                <w:szCs w:val="25"/>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vested and 33</w:t>
            </w:r>
            <w:r>
              <w:rPr>
                <w:rFonts w:ascii="Arial" w:cs="Arial" w:eastAsia="Arial" w:hAnsi="Arial"/>
                <w:sz w:val="25"/>
                <w:szCs w:val="25"/>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will vest on each of 6/4/2026 and 6/4/2027 (Burton, Carestio, Tokich and Zangerle)</w:t>
            </w:r>
          </w:p>
        </w:tc>
      </w:tr>
      <w:tr>
        <w:trPr>
          <w:trHeight w:val="237"/>
        </w:trPr>
        <w:tc>
          <w:tcPr>
            <w:tcW w:w="1200" w:type="dxa"/>
            <w:vAlign w:val="bottom"/>
          </w:tcPr>
          <w:p>
            <w:pPr>
              <w:jc w:val="right"/>
              <w:ind w:right="195"/>
              <w:spacing w:after="0"/>
              <w:rPr>
                <w:sz w:val="20"/>
                <w:szCs w:val="20"/>
                <w:color w:val="auto"/>
              </w:rPr>
            </w:pPr>
            <w:r>
              <w:rPr>
                <w:rFonts w:ascii="Arial" w:cs="Arial" w:eastAsia="Arial" w:hAnsi="Arial"/>
                <w:sz w:val="17"/>
                <w:szCs w:val="17"/>
                <w:color w:val="auto"/>
              </w:rPr>
              <w:t>6/4/2024</w:t>
            </w:r>
          </w:p>
        </w:tc>
        <w:tc>
          <w:tcPr>
            <w:tcW w:w="9360" w:type="dxa"/>
            <w:vAlign w:val="bottom"/>
          </w:tcPr>
          <w:p>
            <w:pPr>
              <w:ind w:left="280"/>
              <w:spacing w:after="0" w:line="236" w:lineRule="exact"/>
              <w:rPr>
                <w:sz w:val="20"/>
                <w:szCs w:val="20"/>
                <w:color w:val="auto"/>
              </w:rPr>
            </w:pPr>
            <w:r>
              <w:rPr>
                <w:rFonts w:ascii="Arial" w:cs="Arial" w:eastAsia="Arial" w:hAnsi="Arial"/>
                <w:sz w:val="17"/>
                <w:szCs w:val="17"/>
                <w:color w:val="auto"/>
              </w:rPr>
              <w:t>66</w:t>
            </w:r>
            <w:r>
              <w:rPr>
                <w:rFonts w:ascii="Arial" w:cs="Arial" w:eastAsia="Arial" w:hAnsi="Arial"/>
                <w:sz w:val="25"/>
                <w:szCs w:val="25"/>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will vest on 6/4/2026 and 33</w:t>
            </w:r>
            <w:r>
              <w:rPr>
                <w:rFonts w:ascii="Arial" w:cs="Arial" w:eastAsia="Arial" w:hAnsi="Arial"/>
                <w:sz w:val="25"/>
                <w:szCs w:val="25"/>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will vest on 6/4/2027 (Fraser)</w:t>
            </w:r>
          </w:p>
        </w:tc>
      </w:tr>
      <w:tr>
        <w:trPr>
          <w:trHeight w:val="272"/>
        </w:trPr>
        <w:tc>
          <w:tcPr>
            <w:tcW w:w="1200" w:type="dxa"/>
            <w:vAlign w:val="bottom"/>
            <w:shd w:val="clear" w:color="auto" w:fill="E2EEFA"/>
          </w:tcPr>
          <w:p>
            <w:pPr>
              <w:jc w:val="right"/>
              <w:ind w:right="195"/>
              <w:spacing w:after="0"/>
              <w:rPr>
                <w:sz w:val="20"/>
                <w:szCs w:val="20"/>
                <w:color w:val="auto"/>
              </w:rPr>
            </w:pPr>
            <w:r>
              <w:rPr>
                <w:rFonts w:ascii="Arial" w:cs="Arial" w:eastAsia="Arial" w:hAnsi="Arial"/>
                <w:sz w:val="17"/>
                <w:szCs w:val="17"/>
                <w:color w:val="auto"/>
              </w:rPr>
              <w:t>6/3/2025</w:t>
            </w:r>
          </w:p>
        </w:tc>
        <w:tc>
          <w:tcPr>
            <w:tcW w:w="9360" w:type="dxa"/>
            <w:vAlign w:val="bottom"/>
            <w:shd w:val="clear" w:color="auto" w:fill="E2EEFA"/>
          </w:tcPr>
          <w:p>
            <w:pPr>
              <w:ind w:left="280"/>
              <w:spacing w:after="0"/>
              <w:rPr>
                <w:sz w:val="20"/>
                <w:szCs w:val="20"/>
                <w:color w:val="auto"/>
              </w:rPr>
            </w:pPr>
            <w:r>
              <w:rPr>
                <w:rFonts w:ascii="Arial" w:cs="Arial" w:eastAsia="Arial" w:hAnsi="Arial"/>
                <w:sz w:val="17"/>
                <w:szCs w:val="17"/>
                <w:color w:val="auto"/>
              </w:rPr>
              <w:t>100% will vest on 6/5/2028 (Majors)</w:t>
            </w:r>
          </w:p>
        </w:tc>
      </w:tr>
      <w:tr>
        <w:trPr>
          <w:trHeight w:val="272"/>
        </w:trPr>
        <w:tc>
          <w:tcPr>
            <w:tcW w:w="1200" w:type="dxa"/>
            <w:vAlign w:val="bottom"/>
          </w:tcPr>
          <w:p>
            <w:pPr>
              <w:jc w:val="right"/>
              <w:ind w:right="195"/>
              <w:spacing w:after="0"/>
              <w:rPr>
                <w:sz w:val="20"/>
                <w:szCs w:val="20"/>
                <w:color w:val="auto"/>
              </w:rPr>
            </w:pPr>
            <w:r>
              <w:rPr>
                <w:rFonts w:ascii="Arial" w:cs="Arial" w:eastAsia="Arial" w:hAnsi="Arial"/>
                <w:sz w:val="17"/>
                <w:szCs w:val="17"/>
                <w:color w:val="auto"/>
              </w:rPr>
              <w:t>6/3/2025</w:t>
            </w:r>
          </w:p>
        </w:tc>
        <w:tc>
          <w:tcPr>
            <w:tcW w:w="9360" w:type="dxa"/>
            <w:vAlign w:val="bottom"/>
          </w:tcPr>
          <w:p>
            <w:pPr>
              <w:ind w:left="280"/>
              <w:spacing w:after="0" w:line="272" w:lineRule="exact"/>
              <w:rPr>
                <w:sz w:val="20"/>
                <w:szCs w:val="20"/>
                <w:color w:val="auto"/>
              </w:rPr>
            </w:pPr>
            <w:r>
              <w:rPr>
                <w:rFonts w:ascii="Arial" w:cs="Arial" w:eastAsia="Arial" w:hAnsi="Arial"/>
                <w:sz w:val="17"/>
                <w:szCs w:val="17"/>
                <w:color w:val="auto"/>
              </w:rPr>
              <w:t>33</w:t>
            </w:r>
            <w:r>
              <w:rPr>
                <w:rFonts w:ascii="Arial" w:cs="Arial" w:eastAsia="Arial" w:hAnsi="Arial"/>
                <w:sz w:val="25"/>
                <w:szCs w:val="25"/>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will vest on each of 6/3/2026, 6/3/2027 and 6/5/2028 (Burton, Carestio, Fraser, Tokich and Zangerle)</w:t>
            </w:r>
          </w:p>
        </w:tc>
      </w:tr>
      <w:tr>
        <w:trPr>
          <w:trHeight w:val="272"/>
        </w:trPr>
        <w:tc>
          <w:tcPr>
            <w:tcW w:w="1200" w:type="dxa"/>
            <w:vAlign w:val="bottom"/>
            <w:tcBorders>
              <w:bottom w:val="single" w:sz="8" w:color="3E8EDE"/>
            </w:tcBorders>
            <w:shd w:val="clear" w:color="auto" w:fill="E2EEFA"/>
          </w:tcPr>
          <w:p>
            <w:pPr>
              <w:jc w:val="right"/>
              <w:ind w:right="195"/>
              <w:spacing w:after="0"/>
              <w:rPr>
                <w:sz w:val="20"/>
                <w:szCs w:val="20"/>
                <w:color w:val="auto"/>
              </w:rPr>
            </w:pPr>
            <w:r>
              <w:rPr>
                <w:rFonts w:ascii="Arial" w:cs="Arial" w:eastAsia="Arial" w:hAnsi="Arial"/>
                <w:sz w:val="17"/>
                <w:szCs w:val="17"/>
                <w:color w:val="auto"/>
              </w:rPr>
              <w:t>10/1/2025</w:t>
            </w:r>
          </w:p>
        </w:tc>
        <w:tc>
          <w:tcPr>
            <w:tcW w:w="9360" w:type="dxa"/>
            <w:vAlign w:val="bottom"/>
            <w:tcBorders>
              <w:bottom w:val="single" w:sz="8" w:color="3E8EDE"/>
            </w:tcBorders>
            <w:shd w:val="clear" w:color="auto" w:fill="E2EEFA"/>
          </w:tcPr>
          <w:p>
            <w:pPr>
              <w:ind w:left="280"/>
              <w:spacing w:after="0" w:line="272" w:lineRule="exact"/>
              <w:rPr>
                <w:sz w:val="20"/>
                <w:szCs w:val="20"/>
                <w:color w:val="auto"/>
              </w:rPr>
            </w:pPr>
            <w:r>
              <w:rPr>
                <w:rFonts w:ascii="Arial" w:cs="Arial" w:eastAsia="Arial" w:hAnsi="Arial"/>
                <w:sz w:val="17"/>
                <w:szCs w:val="17"/>
                <w:color w:val="auto"/>
              </w:rPr>
              <w:t>33</w:t>
            </w:r>
            <w:r>
              <w:rPr>
                <w:rFonts w:ascii="Arial" w:cs="Arial" w:eastAsia="Arial" w:hAnsi="Arial"/>
                <w:sz w:val="25"/>
                <w:szCs w:val="25"/>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will vest on each of 10/1/2026, 10/1/2027 and 10/1/2028 (Burton)</w:t>
            </w:r>
          </w:p>
        </w:tc>
      </w:tr>
    </w:tbl>
    <w:p>
      <w:pPr>
        <w:spacing w:after="0" w:line="109" w:lineRule="exact"/>
        <w:rPr>
          <w:sz w:val="20"/>
          <w:szCs w:val="20"/>
          <w:color w:val="auto"/>
        </w:rPr>
      </w:pPr>
    </w:p>
    <w:p>
      <w:pPr>
        <w:ind w:left="760" w:hanging="420"/>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All stock awards are restricted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70 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r>
              <w:rPr>
                <w:rFonts w:ascii="Arial" w:cs="Arial" w:eastAsia="Arial" w:hAnsi="Arial"/>
                <w:sz w:val="17"/>
                <w:szCs w:val="17"/>
                <w:b w:val="1"/>
                <w:bCs w:val="1"/>
                <w:color w:val="auto"/>
              </w:rPr>
              <w:t> </w:t>
            </w:r>
          </w:p>
        </w:tc>
        <w:tc>
          <w:tcPr>
            <w:tcW w:w="6360" w:type="dxa"/>
            <w:vAlign w:val="bottom"/>
            <w:gridSpan w:val="4"/>
          </w:tcPr>
          <w:p>
            <w:pPr>
              <w:jc w:val="right"/>
              <w:spacing w:after="0"/>
              <w:rPr>
                <w:sz w:val="20"/>
                <w:szCs w:val="20"/>
                <w:color w:val="auto"/>
              </w:rPr>
            </w:pPr>
            <w:r>
              <w:rPr>
                <w:rFonts w:ascii="Arial" w:cs="Arial" w:eastAsia="Arial" w:hAnsi="Arial"/>
                <w:sz w:val="16"/>
                <w:szCs w:val="16"/>
                <w:b w:val="1"/>
                <w:bCs w:val="1"/>
                <w:color w:val="3E8EDE"/>
              </w:rPr>
              <w:t xml:space="preserve">Executive Compensation: </w:t>
            </w:r>
            <w:r>
              <w:rPr>
                <w:rFonts w:ascii="Arial" w:cs="Arial" w:eastAsia="Arial" w:hAnsi="Arial"/>
                <w:sz w:val="16"/>
                <w:szCs w:val="16"/>
                <w:b w:val="1"/>
                <w:bCs w:val="1"/>
                <w:color w:val="000000"/>
              </w:rPr>
              <w:t>Tabular and Other Executive Compensation Disclosure</w:t>
            </w:r>
          </w:p>
        </w:tc>
      </w:tr>
      <w:tr>
        <w:trPr>
          <w:trHeight w:val="27"/>
        </w:trPr>
        <w:tc>
          <w:tcPr>
            <w:tcW w:w="4200" w:type="dxa"/>
            <w:vAlign w:val="bottom"/>
            <w:tcBorders>
              <w:bottom w:val="single" w:sz="8" w:color="3E8EDE"/>
            </w:tcBorders>
          </w:tcPr>
          <w:p>
            <w:pPr>
              <w:spacing w:after="0"/>
              <w:rPr>
                <w:sz w:val="2"/>
                <w:szCs w:val="2"/>
                <w:color w:val="auto"/>
              </w:rPr>
            </w:pPr>
          </w:p>
        </w:tc>
        <w:tc>
          <w:tcPr>
            <w:tcW w:w="1600" w:type="dxa"/>
            <w:vAlign w:val="bottom"/>
            <w:tcBorders>
              <w:bottom w:val="single" w:sz="8" w:color="3E8EDE"/>
            </w:tcBorders>
          </w:tcPr>
          <w:p>
            <w:pPr>
              <w:spacing w:after="0"/>
              <w:rPr>
                <w:sz w:val="2"/>
                <w:szCs w:val="2"/>
                <w:color w:val="auto"/>
              </w:rPr>
            </w:pPr>
          </w:p>
        </w:tc>
        <w:tc>
          <w:tcPr>
            <w:tcW w:w="1560" w:type="dxa"/>
            <w:vAlign w:val="bottom"/>
            <w:tcBorders>
              <w:bottom w:val="single" w:sz="8" w:color="3E8EDE"/>
            </w:tcBorders>
          </w:tcPr>
          <w:p>
            <w:pPr>
              <w:spacing w:after="0"/>
              <w:rPr>
                <w:sz w:val="2"/>
                <w:szCs w:val="2"/>
                <w:color w:val="auto"/>
              </w:rPr>
            </w:pPr>
          </w:p>
        </w:tc>
        <w:tc>
          <w:tcPr>
            <w:tcW w:w="1660" w:type="dxa"/>
            <w:vAlign w:val="bottom"/>
            <w:tcBorders>
              <w:bottom w:val="single" w:sz="8" w:color="3E8EDE"/>
            </w:tcBorders>
          </w:tcPr>
          <w:p>
            <w:pPr>
              <w:spacing w:after="0"/>
              <w:rPr>
                <w:sz w:val="2"/>
                <w:szCs w:val="2"/>
                <w:color w:val="auto"/>
              </w:rPr>
            </w:pPr>
          </w:p>
        </w:tc>
        <w:tc>
          <w:tcPr>
            <w:tcW w:w="1540" w:type="dxa"/>
            <w:vAlign w:val="bottom"/>
            <w:tcBorders>
              <w:bottom w:val="single" w:sz="8" w:color="3E8EDE"/>
            </w:tcBorders>
          </w:tcPr>
          <w:p>
            <w:pPr>
              <w:spacing w:after="0"/>
              <w:rPr>
                <w:sz w:val="2"/>
                <w:szCs w:val="2"/>
                <w:color w:val="auto"/>
              </w:rPr>
            </w:pPr>
          </w:p>
        </w:tc>
      </w:tr>
      <w:tr>
        <w:trPr>
          <w:trHeight w:val="413"/>
        </w:trPr>
        <w:tc>
          <w:tcPr>
            <w:tcW w:w="5800" w:type="dxa"/>
            <w:vAlign w:val="bottom"/>
            <w:gridSpan w:val="2"/>
          </w:tcPr>
          <w:p>
            <w:pPr>
              <w:spacing w:after="0"/>
              <w:rPr>
                <w:sz w:val="20"/>
                <w:szCs w:val="20"/>
                <w:color w:val="auto"/>
              </w:rPr>
            </w:pPr>
            <w:r>
              <w:rPr>
                <w:rFonts w:ascii="Arial" w:cs="Arial" w:eastAsia="Arial" w:hAnsi="Arial"/>
                <w:sz w:val="19"/>
                <w:szCs w:val="19"/>
                <w:b w:val="1"/>
                <w:bCs w:val="1"/>
                <w:color w:val="auto"/>
              </w:rPr>
              <w:t>OPTION EXERCISES AND STOCK VESTED IN FISCAL 2026</w:t>
            </w:r>
          </w:p>
        </w:tc>
        <w:tc>
          <w:tcPr>
            <w:tcW w:w="1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2"/>
        </w:trPr>
        <w:tc>
          <w:tcPr>
            <w:tcW w:w="4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1"/>
        </w:trPr>
        <w:tc>
          <w:tcPr>
            <w:tcW w:w="4200" w:type="dxa"/>
            <w:vAlign w:val="bottom"/>
            <w:tcBorders>
              <w:right w:val="single" w:sz="8" w:color="3E8EDE"/>
            </w:tcBorders>
            <w:shd w:val="clear" w:color="auto" w:fill="3E8EDE"/>
          </w:tcPr>
          <w:p>
            <w:pPr>
              <w:spacing w:after="0"/>
              <w:rPr>
                <w:sz w:val="20"/>
                <w:szCs w:val="20"/>
                <w:color w:val="auto"/>
              </w:rPr>
            </w:pPr>
          </w:p>
        </w:tc>
        <w:tc>
          <w:tcPr>
            <w:tcW w:w="3160" w:type="dxa"/>
            <w:vAlign w:val="bottom"/>
            <w:tcBorders>
              <w:right w:val="single" w:sz="8" w:color="3E8EDE"/>
            </w:tcBorders>
            <w:gridSpan w:val="2"/>
            <w:shd w:val="clear" w:color="auto" w:fill="3E8EDE"/>
          </w:tcPr>
          <w:p>
            <w:pPr>
              <w:jc w:val="right"/>
              <w:ind w:right="1019"/>
              <w:spacing w:after="0"/>
              <w:rPr>
                <w:sz w:val="20"/>
                <w:szCs w:val="20"/>
                <w:color w:val="auto"/>
              </w:rPr>
            </w:pPr>
            <w:r>
              <w:rPr>
                <w:rFonts w:ascii="Arial" w:cs="Arial" w:eastAsia="Arial" w:hAnsi="Arial"/>
                <w:sz w:val="14"/>
                <w:szCs w:val="14"/>
                <w:b w:val="1"/>
                <w:bCs w:val="1"/>
                <w:color w:val="FFFFFF"/>
              </w:rPr>
              <w:t>Option Awards</w:t>
            </w:r>
          </w:p>
        </w:tc>
        <w:tc>
          <w:tcPr>
            <w:tcW w:w="3200" w:type="dxa"/>
            <w:vAlign w:val="bottom"/>
            <w:gridSpan w:val="2"/>
            <w:shd w:val="clear" w:color="auto" w:fill="3E8EDE"/>
          </w:tcPr>
          <w:p>
            <w:pPr>
              <w:jc w:val="right"/>
              <w:ind w:right="1036"/>
              <w:spacing w:after="0"/>
              <w:rPr>
                <w:sz w:val="20"/>
                <w:szCs w:val="20"/>
                <w:color w:val="auto"/>
              </w:rPr>
            </w:pPr>
            <w:r>
              <w:rPr>
                <w:rFonts w:ascii="Arial" w:cs="Arial" w:eastAsia="Arial" w:hAnsi="Arial"/>
                <w:sz w:val="14"/>
                <w:szCs w:val="14"/>
                <w:b w:val="1"/>
                <w:bCs w:val="1"/>
                <w:color w:val="FFFFFF"/>
              </w:rPr>
              <w:t>Stock Awards</w:t>
            </w:r>
          </w:p>
        </w:tc>
      </w:tr>
      <w:tr>
        <w:trPr>
          <w:trHeight w:val="238"/>
        </w:trPr>
        <w:tc>
          <w:tcPr>
            <w:tcW w:w="4200" w:type="dxa"/>
            <w:vAlign w:val="bottom"/>
            <w:tcBorders>
              <w:right w:val="single" w:sz="8" w:color="3E8EDE"/>
            </w:tcBorders>
            <w:shd w:val="clear" w:color="auto" w:fill="3E8EDE"/>
          </w:tcPr>
          <w:p>
            <w:pPr>
              <w:spacing w:after="0"/>
              <w:rPr>
                <w:sz w:val="20"/>
                <w:szCs w:val="20"/>
                <w:color w:val="auto"/>
              </w:rPr>
            </w:pPr>
          </w:p>
        </w:tc>
        <w:tc>
          <w:tcPr>
            <w:tcW w:w="1600" w:type="dxa"/>
            <w:vAlign w:val="bottom"/>
            <w:tcBorders>
              <w:right w:val="single" w:sz="8" w:color="3E8EDE"/>
            </w:tcBorders>
            <w:shd w:val="clear" w:color="auto" w:fill="3E8EDE"/>
          </w:tcPr>
          <w:p>
            <w:pPr>
              <w:spacing w:after="0"/>
              <w:rPr>
                <w:sz w:val="20"/>
                <w:szCs w:val="20"/>
                <w:color w:val="auto"/>
              </w:rPr>
            </w:pPr>
          </w:p>
        </w:tc>
        <w:tc>
          <w:tcPr>
            <w:tcW w:w="1560" w:type="dxa"/>
            <w:vAlign w:val="bottom"/>
            <w:tcBorders>
              <w:right w:val="single" w:sz="8" w:color="3E8EDE"/>
            </w:tcBorders>
            <w:shd w:val="clear" w:color="auto" w:fill="3E8EDE"/>
          </w:tcPr>
          <w:p>
            <w:pPr>
              <w:spacing w:after="0"/>
              <w:rPr>
                <w:sz w:val="20"/>
                <w:szCs w:val="20"/>
                <w:color w:val="auto"/>
              </w:rPr>
            </w:pPr>
          </w:p>
        </w:tc>
        <w:tc>
          <w:tcPr>
            <w:tcW w:w="166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w w:val="97"/>
              </w:rPr>
              <w:t>Number of Shares</w:t>
            </w:r>
          </w:p>
        </w:tc>
        <w:tc>
          <w:tcPr>
            <w:tcW w:w="1540" w:type="dxa"/>
            <w:vAlign w:val="bottom"/>
            <w:shd w:val="clear" w:color="auto" w:fill="3E8EDE"/>
          </w:tcPr>
          <w:p>
            <w:pPr>
              <w:spacing w:after="0"/>
              <w:rPr>
                <w:sz w:val="20"/>
                <w:szCs w:val="20"/>
                <w:color w:val="auto"/>
              </w:rPr>
            </w:pPr>
          </w:p>
        </w:tc>
      </w:tr>
      <w:tr>
        <w:trPr>
          <w:trHeight w:val="155"/>
        </w:trPr>
        <w:tc>
          <w:tcPr>
            <w:tcW w:w="4200" w:type="dxa"/>
            <w:vAlign w:val="bottom"/>
            <w:tcBorders>
              <w:right w:val="single" w:sz="8" w:color="3E8EDE"/>
            </w:tcBorders>
            <w:shd w:val="clear" w:color="auto" w:fill="3E8EDE"/>
          </w:tcPr>
          <w:p>
            <w:pPr>
              <w:spacing w:after="0"/>
              <w:rPr>
                <w:sz w:val="13"/>
                <w:szCs w:val="13"/>
                <w:color w:val="auto"/>
              </w:rPr>
            </w:pPr>
          </w:p>
        </w:tc>
        <w:tc>
          <w:tcPr>
            <w:tcW w:w="160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7"/>
              </w:rPr>
              <w:t>Number of Shares</w:t>
            </w:r>
          </w:p>
        </w:tc>
        <w:tc>
          <w:tcPr>
            <w:tcW w:w="1560" w:type="dxa"/>
            <w:vAlign w:val="bottom"/>
            <w:tcBorders>
              <w:right w:val="single" w:sz="8" w:color="3E8EDE"/>
            </w:tcBorders>
            <w:shd w:val="clear" w:color="auto" w:fill="3E8EDE"/>
          </w:tcPr>
          <w:p>
            <w:pPr>
              <w:spacing w:after="0"/>
              <w:rPr>
                <w:sz w:val="13"/>
                <w:szCs w:val="13"/>
                <w:color w:val="auto"/>
              </w:rPr>
            </w:pPr>
          </w:p>
        </w:tc>
        <w:tc>
          <w:tcPr>
            <w:tcW w:w="1660" w:type="dxa"/>
            <w:vAlign w:val="bottom"/>
            <w:tcBorders>
              <w:right w:val="single" w:sz="8" w:color="3E8EDE"/>
            </w:tcBorders>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rPr>
              <w:t>Acquired on</w:t>
            </w:r>
          </w:p>
        </w:tc>
        <w:tc>
          <w:tcPr>
            <w:tcW w:w="1540" w:type="dxa"/>
            <w:vAlign w:val="bottom"/>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7"/>
              </w:rPr>
              <w:t>Value Realized on</w:t>
            </w:r>
          </w:p>
        </w:tc>
      </w:tr>
      <w:tr>
        <w:trPr>
          <w:trHeight w:val="152"/>
        </w:trPr>
        <w:tc>
          <w:tcPr>
            <w:tcW w:w="4200" w:type="dxa"/>
            <w:vAlign w:val="bottom"/>
            <w:tcBorders>
              <w:right w:val="single" w:sz="8" w:color="3E8EDE"/>
            </w:tcBorders>
            <w:shd w:val="clear" w:color="auto" w:fill="3E8EDE"/>
          </w:tcPr>
          <w:p>
            <w:pPr>
              <w:spacing w:after="0"/>
              <w:rPr>
                <w:sz w:val="13"/>
                <w:szCs w:val="13"/>
                <w:color w:val="auto"/>
              </w:rPr>
            </w:pPr>
          </w:p>
        </w:tc>
        <w:tc>
          <w:tcPr>
            <w:tcW w:w="1600" w:type="dxa"/>
            <w:vAlign w:val="bottom"/>
            <w:tcBorders>
              <w:right w:val="single" w:sz="8" w:color="3E8EDE"/>
            </w:tcBorders>
            <w:shd w:val="clear" w:color="auto" w:fill="3E8EDE"/>
          </w:tcPr>
          <w:p>
            <w:pPr>
              <w:jc w:val="center"/>
              <w:spacing w:after="0" w:line="152" w:lineRule="exact"/>
              <w:rPr>
                <w:sz w:val="20"/>
                <w:szCs w:val="20"/>
                <w:color w:val="auto"/>
              </w:rPr>
            </w:pPr>
            <w:r>
              <w:rPr>
                <w:rFonts w:ascii="Arial" w:cs="Arial" w:eastAsia="Arial" w:hAnsi="Arial"/>
                <w:sz w:val="14"/>
                <w:szCs w:val="14"/>
                <w:b w:val="1"/>
                <w:bCs w:val="1"/>
                <w:color w:val="FFFFFF"/>
                <w:w w:val="97"/>
              </w:rPr>
              <w:t>Acquired on</w:t>
            </w:r>
          </w:p>
        </w:tc>
        <w:tc>
          <w:tcPr>
            <w:tcW w:w="1560" w:type="dxa"/>
            <w:vAlign w:val="bottom"/>
            <w:tcBorders>
              <w:right w:val="single" w:sz="8" w:color="3E8EDE"/>
            </w:tcBorders>
            <w:shd w:val="clear" w:color="auto" w:fill="3E8EDE"/>
          </w:tcPr>
          <w:p>
            <w:pPr>
              <w:jc w:val="right"/>
              <w:ind w:right="139"/>
              <w:spacing w:after="0" w:line="152" w:lineRule="exact"/>
              <w:rPr>
                <w:sz w:val="20"/>
                <w:szCs w:val="20"/>
                <w:color w:val="auto"/>
              </w:rPr>
            </w:pPr>
            <w:r>
              <w:rPr>
                <w:rFonts w:ascii="Arial" w:cs="Arial" w:eastAsia="Arial" w:hAnsi="Arial"/>
                <w:sz w:val="14"/>
                <w:szCs w:val="14"/>
                <w:b w:val="1"/>
                <w:bCs w:val="1"/>
                <w:color w:val="FFFFFF"/>
              </w:rPr>
              <w:t>Value Realized on</w:t>
            </w:r>
          </w:p>
        </w:tc>
        <w:tc>
          <w:tcPr>
            <w:tcW w:w="1660" w:type="dxa"/>
            <w:vAlign w:val="bottom"/>
            <w:tcBorders>
              <w:right w:val="single" w:sz="8" w:color="3E8EDE"/>
            </w:tcBorders>
            <w:shd w:val="clear" w:color="auto" w:fill="3E8EDE"/>
          </w:tcPr>
          <w:p>
            <w:pPr>
              <w:jc w:val="center"/>
              <w:spacing w:after="0" w:line="152" w:lineRule="exact"/>
              <w:rPr>
                <w:sz w:val="20"/>
                <w:szCs w:val="20"/>
                <w:color w:val="auto"/>
              </w:rPr>
            </w:pPr>
            <w:r>
              <w:rPr>
                <w:rFonts w:ascii="Arial" w:cs="Arial" w:eastAsia="Arial" w:hAnsi="Arial"/>
                <w:sz w:val="14"/>
                <w:szCs w:val="14"/>
                <w:b w:val="1"/>
                <w:bCs w:val="1"/>
                <w:color w:val="FFFFFF"/>
                <w:w w:val="98"/>
              </w:rPr>
              <w:t>Vesting</w:t>
            </w:r>
          </w:p>
        </w:tc>
        <w:tc>
          <w:tcPr>
            <w:tcW w:w="1540" w:type="dxa"/>
            <w:vAlign w:val="bottom"/>
            <w:shd w:val="clear" w:color="auto" w:fill="3E8EDE"/>
          </w:tcPr>
          <w:p>
            <w:pPr>
              <w:jc w:val="center"/>
              <w:spacing w:after="0" w:line="152" w:lineRule="exact"/>
              <w:rPr>
                <w:sz w:val="20"/>
                <w:szCs w:val="20"/>
                <w:color w:val="auto"/>
              </w:rPr>
            </w:pPr>
            <w:r>
              <w:rPr>
                <w:rFonts w:ascii="Arial" w:cs="Arial" w:eastAsia="Arial" w:hAnsi="Arial"/>
                <w:sz w:val="14"/>
                <w:szCs w:val="14"/>
                <w:b w:val="1"/>
                <w:bCs w:val="1"/>
                <w:color w:val="FFFFFF"/>
                <w:w w:val="94"/>
              </w:rPr>
              <w:t>Vesting</w:t>
            </w:r>
          </w:p>
        </w:tc>
      </w:tr>
      <w:tr>
        <w:trPr>
          <w:trHeight w:val="233"/>
        </w:trPr>
        <w:tc>
          <w:tcPr>
            <w:tcW w:w="4200" w:type="dxa"/>
            <w:vAlign w:val="bottom"/>
            <w:tcBorders>
              <w:right w:val="single" w:sz="8" w:color="3E8EDE"/>
            </w:tcBorders>
            <w:shd w:val="clear" w:color="auto" w:fill="3E8EDE"/>
          </w:tcPr>
          <w:p>
            <w:pPr>
              <w:ind w:left="1900"/>
              <w:spacing w:after="0"/>
              <w:rPr>
                <w:sz w:val="20"/>
                <w:szCs w:val="20"/>
                <w:color w:val="auto"/>
              </w:rPr>
            </w:pPr>
            <w:r>
              <w:rPr>
                <w:rFonts w:ascii="Arial" w:cs="Arial" w:eastAsia="Arial" w:hAnsi="Arial"/>
                <w:sz w:val="14"/>
                <w:szCs w:val="14"/>
                <w:b w:val="1"/>
                <w:bCs w:val="1"/>
                <w:color w:val="FFFFFF"/>
              </w:rPr>
              <w:t>Name</w:t>
            </w:r>
          </w:p>
        </w:tc>
        <w:tc>
          <w:tcPr>
            <w:tcW w:w="160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w w:val="99"/>
              </w:rPr>
              <w:t>Exercise (#)</w:t>
            </w:r>
          </w:p>
        </w:tc>
        <w:tc>
          <w:tcPr>
            <w:tcW w:w="1560" w:type="dxa"/>
            <w:vAlign w:val="bottom"/>
            <w:tcBorders>
              <w:right w:val="single" w:sz="8" w:color="3E8EDE"/>
            </w:tcBorders>
            <w:shd w:val="clear" w:color="auto" w:fill="3E8EDE"/>
          </w:tcPr>
          <w:p>
            <w:pPr>
              <w:jc w:val="right"/>
              <w:ind w:right="259"/>
              <w:spacing w:after="0"/>
              <w:rPr>
                <w:sz w:val="20"/>
                <w:szCs w:val="20"/>
                <w:color w:val="auto"/>
              </w:rPr>
            </w:pPr>
            <w:r>
              <w:rPr>
                <w:rFonts w:ascii="Arial" w:cs="Arial" w:eastAsia="Arial" w:hAnsi="Arial"/>
                <w:sz w:val="14"/>
                <w:szCs w:val="14"/>
                <w:b w:val="1"/>
                <w:bCs w:val="1"/>
                <w:color w:val="FFFFFF"/>
              </w:rPr>
              <w:t>Exercise ($)</w:t>
            </w:r>
            <w:r>
              <w:rPr>
                <w:rFonts w:ascii="Arial" w:cs="Arial" w:eastAsia="Arial" w:hAnsi="Arial"/>
                <w:sz w:val="20"/>
                <w:szCs w:val="20"/>
                <w:b w:val="1"/>
                <w:bCs w:val="1"/>
                <w:color w:val="FFFFFF"/>
                <w:vertAlign w:val="superscript"/>
              </w:rPr>
              <w:t>(1)</w:t>
            </w:r>
          </w:p>
        </w:tc>
        <w:tc>
          <w:tcPr>
            <w:tcW w:w="1660" w:type="dxa"/>
            <w:vAlign w:val="bottom"/>
            <w:tcBorders>
              <w:right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3E8EDE"/>
          </w:tcPr>
          <w:p>
            <w:pPr>
              <w:jc w:val="center"/>
              <w:spacing w:after="0"/>
              <w:rPr>
                <w:sz w:val="20"/>
                <w:szCs w:val="20"/>
                <w:color w:val="auto"/>
              </w:rPr>
            </w:pPr>
            <w:r>
              <w:rPr>
                <w:rFonts w:ascii="Arial" w:cs="Arial" w:eastAsia="Arial" w:hAnsi="Arial"/>
                <w:sz w:val="14"/>
                <w:szCs w:val="14"/>
                <w:b w:val="1"/>
                <w:bCs w:val="1"/>
                <w:color w:val="FFFFFF"/>
                <w:w w:val="89"/>
              </w:rPr>
              <w:t>($)</w:t>
            </w:r>
            <w:r>
              <w:rPr>
                <w:rFonts w:ascii="Arial" w:cs="Arial" w:eastAsia="Arial" w:hAnsi="Arial"/>
                <w:sz w:val="20"/>
                <w:szCs w:val="20"/>
                <w:b w:val="1"/>
                <w:bCs w:val="1"/>
                <w:color w:val="FFFFFF"/>
                <w:w w:val="89"/>
                <w:vertAlign w:val="superscript"/>
              </w:rPr>
              <w:t>(2)</w:t>
            </w:r>
          </w:p>
        </w:tc>
      </w:tr>
      <w:tr>
        <w:trPr>
          <w:trHeight w:val="239"/>
        </w:trPr>
        <w:tc>
          <w:tcPr>
            <w:tcW w:w="4200" w:type="dxa"/>
            <w:vAlign w:val="bottom"/>
            <w:tcBorders>
              <w:bottom w:val="single" w:sz="8" w:color="E2EEFA"/>
              <w:right w:val="single" w:sz="8" w:color="E2EEFA"/>
            </w:tcBorders>
            <w:shd w:val="clear" w:color="auto" w:fill="E2EEFA"/>
          </w:tcPr>
          <w:p>
            <w:pPr>
              <w:spacing w:after="0"/>
              <w:rPr>
                <w:sz w:val="20"/>
                <w:szCs w:val="20"/>
                <w:color w:val="auto"/>
              </w:rPr>
            </w:pPr>
            <w:r>
              <w:rPr>
                <w:rFonts w:ascii="Arial" w:cs="Arial" w:eastAsia="Arial" w:hAnsi="Arial"/>
                <w:sz w:val="17"/>
                <w:szCs w:val="17"/>
                <w:color w:val="auto"/>
              </w:rPr>
              <w:t>  Daniel A. Carestio</w:t>
            </w:r>
          </w:p>
        </w:tc>
        <w:tc>
          <w:tcPr>
            <w:tcW w:w="1600" w:type="dxa"/>
            <w:vAlign w:val="bottom"/>
            <w:tcBorders>
              <w:bottom w:val="single" w:sz="8" w:color="E2EEFA"/>
              <w:right w:val="single" w:sz="8" w:color="E2EEFA"/>
            </w:tcBorders>
            <w:shd w:val="clear" w:color="auto" w:fill="E2EEFA"/>
          </w:tcPr>
          <w:p>
            <w:pPr>
              <w:spacing w:after="0"/>
              <w:rPr>
                <w:sz w:val="20"/>
                <w:szCs w:val="20"/>
                <w:color w:val="auto"/>
              </w:rPr>
            </w:pPr>
          </w:p>
        </w:tc>
        <w:tc>
          <w:tcPr>
            <w:tcW w:w="1560" w:type="dxa"/>
            <w:vAlign w:val="bottom"/>
            <w:tcBorders>
              <w:bottom w:val="single" w:sz="8" w:color="E2EEFA"/>
              <w:right w:val="single" w:sz="8" w:color="E2EEFA"/>
            </w:tcBorders>
            <w:shd w:val="clear" w:color="auto" w:fill="E2EEFA"/>
          </w:tcPr>
          <w:p>
            <w:pPr>
              <w:spacing w:after="0"/>
              <w:rPr>
                <w:sz w:val="20"/>
                <w:szCs w:val="20"/>
                <w:color w:val="auto"/>
              </w:rPr>
            </w:pPr>
          </w:p>
        </w:tc>
        <w:tc>
          <w:tcPr>
            <w:tcW w:w="1660" w:type="dxa"/>
            <w:vAlign w:val="bottom"/>
            <w:tcBorders>
              <w:bottom w:val="single" w:sz="8" w:color="E2EEFA"/>
              <w:right w:val="single" w:sz="8" w:color="E2EEFA"/>
            </w:tcBorders>
            <w:shd w:val="clear" w:color="auto" w:fill="E2EEFA"/>
          </w:tcPr>
          <w:p>
            <w:pPr>
              <w:spacing w:after="0"/>
              <w:rPr>
                <w:sz w:val="20"/>
                <w:szCs w:val="20"/>
                <w:color w:val="auto"/>
              </w:rPr>
            </w:pPr>
          </w:p>
        </w:tc>
        <w:tc>
          <w:tcPr>
            <w:tcW w:w="1540" w:type="dxa"/>
            <w:vAlign w:val="bottom"/>
            <w:tcBorders>
              <w:bottom w:val="single" w:sz="8" w:color="E2EEFA"/>
            </w:tcBorders>
            <w:shd w:val="clear" w:color="auto" w:fill="E2EEFA"/>
          </w:tcPr>
          <w:p>
            <w:pPr>
              <w:spacing w:after="0"/>
              <w:rPr>
                <w:sz w:val="20"/>
                <w:szCs w:val="20"/>
                <w:color w:val="auto"/>
              </w:rPr>
            </w:pPr>
          </w:p>
        </w:tc>
      </w:tr>
      <w:tr>
        <w:trPr>
          <w:trHeight w:val="246"/>
        </w:trPr>
        <w:tc>
          <w:tcPr>
            <w:tcW w:w="4200" w:type="dxa"/>
            <w:vAlign w:val="bottom"/>
            <w:tcBorders>
              <w:right w:val="single" w:sz="8" w:color="B2B2B2"/>
            </w:tcBorders>
          </w:tcPr>
          <w:p>
            <w:pPr>
              <w:spacing w:after="0"/>
              <w:rPr>
                <w:sz w:val="21"/>
                <w:szCs w:val="21"/>
                <w:color w:val="auto"/>
              </w:rPr>
            </w:pPr>
          </w:p>
        </w:tc>
        <w:tc>
          <w:tcPr>
            <w:tcW w:w="1600" w:type="dxa"/>
            <w:vAlign w:val="bottom"/>
            <w:tcBorders>
              <w:bottom w:val="single" w:sz="8" w:color="B2B2B2"/>
              <w:right w:val="single" w:sz="8" w:color="B2B2B2"/>
            </w:tcBorders>
          </w:tcPr>
          <w:p>
            <w:pPr>
              <w:spacing w:after="0"/>
              <w:rPr>
                <w:sz w:val="21"/>
                <w:szCs w:val="21"/>
                <w:color w:val="auto"/>
              </w:rPr>
            </w:pPr>
          </w:p>
        </w:tc>
        <w:tc>
          <w:tcPr>
            <w:tcW w:w="1560" w:type="dxa"/>
            <w:vAlign w:val="bottom"/>
            <w:tcBorders>
              <w:bottom w:val="single" w:sz="8" w:color="B2B2B2"/>
              <w:right w:val="single" w:sz="8" w:color="B2B2B2"/>
            </w:tcBorders>
          </w:tcPr>
          <w:p>
            <w:pPr>
              <w:spacing w:after="0"/>
              <w:rPr>
                <w:sz w:val="21"/>
                <w:szCs w:val="21"/>
                <w:color w:val="auto"/>
              </w:rPr>
            </w:pPr>
          </w:p>
        </w:tc>
        <w:tc>
          <w:tcPr>
            <w:tcW w:w="1660" w:type="dxa"/>
            <w:vAlign w:val="bottom"/>
            <w:tcBorders>
              <w:bottom w:val="single" w:sz="8" w:color="B2B2B2"/>
              <w:right w:val="single" w:sz="8" w:color="B2B2B2"/>
            </w:tcBorders>
          </w:tcPr>
          <w:p>
            <w:pPr>
              <w:jc w:val="center"/>
              <w:ind w:left="37"/>
              <w:spacing w:after="0" w:line="246" w:lineRule="exact"/>
              <w:rPr>
                <w:sz w:val="20"/>
                <w:szCs w:val="20"/>
                <w:color w:val="auto"/>
              </w:rPr>
            </w:pPr>
            <w:r>
              <w:rPr>
                <w:rFonts w:ascii="Arial" w:cs="Arial" w:eastAsia="Arial" w:hAnsi="Arial"/>
                <w:sz w:val="17"/>
                <w:szCs w:val="17"/>
                <w:color w:val="auto"/>
                <w:w w:val="92"/>
              </w:rPr>
              <w:t>4,308</w:t>
            </w:r>
            <w:r>
              <w:rPr>
                <w:rFonts w:ascii="Arial" w:cs="Arial" w:eastAsia="Arial" w:hAnsi="Arial"/>
                <w:sz w:val="25"/>
                <w:szCs w:val="25"/>
                <w:color w:val="auto"/>
                <w:w w:val="92"/>
                <w:vertAlign w:val="superscript"/>
              </w:rPr>
              <w:t>(3)</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1,042,881</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bottom w:val="single" w:sz="8" w:color="B2B2B2"/>
              <w:right w:val="single" w:sz="8" w:color="B2B2B2"/>
            </w:tcBorders>
          </w:tcPr>
          <w:p>
            <w:pPr>
              <w:spacing w:after="0"/>
              <w:rPr>
                <w:sz w:val="20"/>
                <w:szCs w:val="20"/>
                <w:color w:val="auto"/>
              </w:rPr>
            </w:pPr>
          </w:p>
        </w:tc>
        <w:tc>
          <w:tcPr>
            <w:tcW w:w="1560" w:type="dxa"/>
            <w:vAlign w:val="bottom"/>
            <w:tcBorders>
              <w:bottom w:val="single" w:sz="8" w:color="B2B2B2"/>
              <w:right w:val="single" w:sz="8" w:color="B2B2B2"/>
            </w:tcBorders>
          </w:tcPr>
          <w:p>
            <w:pPr>
              <w:spacing w:after="0"/>
              <w:rPr>
                <w:sz w:val="20"/>
                <w:szCs w:val="20"/>
                <w:color w:val="auto"/>
              </w:rPr>
            </w:pPr>
          </w:p>
        </w:tc>
        <w:tc>
          <w:tcPr>
            <w:tcW w:w="1660" w:type="dxa"/>
            <w:vAlign w:val="bottom"/>
            <w:tcBorders>
              <w:bottom w:val="single" w:sz="8" w:color="B2B2B2"/>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92"/>
              </w:rPr>
              <w:t>1,514</w:t>
            </w:r>
            <w:r>
              <w:rPr>
                <w:rFonts w:ascii="Arial" w:cs="Arial" w:eastAsia="Arial" w:hAnsi="Arial"/>
                <w:sz w:val="25"/>
                <w:szCs w:val="25"/>
                <w:color w:val="auto"/>
                <w:w w:val="92"/>
                <w:vertAlign w:val="superscript"/>
              </w:rPr>
              <w:t>(4)</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366,509</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bottom w:val="single" w:sz="8" w:color="B2B2B2"/>
              <w:right w:val="single" w:sz="8" w:color="B2B2B2"/>
            </w:tcBorders>
          </w:tcPr>
          <w:p>
            <w:pPr>
              <w:spacing w:after="0"/>
              <w:rPr>
                <w:sz w:val="20"/>
                <w:szCs w:val="20"/>
                <w:color w:val="auto"/>
              </w:rPr>
            </w:pPr>
          </w:p>
        </w:tc>
        <w:tc>
          <w:tcPr>
            <w:tcW w:w="1560" w:type="dxa"/>
            <w:vAlign w:val="bottom"/>
            <w:tcBorders>
              <w:bottom w:val="single" w:sz="8" w:color="B2B2B2"/>
              <w:right w:val="single" w:sz="8" w:color="B2B2B2"/>
            </w:tcBorders>
          </w:tcPr>
          <w:p>
            <w:pPr>
              <w:spacing w:after="0"/>
              <w:rPr>
                <w:sz w:val="20"/>
                <w:szCs w:val="20"/>
                <w:color w:val="auto"/>
              </w:rPr>
            </w:pPr>
          </w:p>
        </w:tc>
        <w:tc>
          <w:tcPr>
            <w:tcW w:w="1660" w:type="dxa"/>
            <w:vAlign w:val="bottom"/>
            <w:tcBorders>
              <w:bottom w:val="single" w:sz="8" w:color="B2B2B2"/>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92"/>
              </w:rPr>
              <w:t>2,369</w:t>
            </w:r>
            <w:r>
              <w:rPr>
                <w:rFonts w:ascii="Arial" w:cs="Arial" w:eastAsia="Arial" w:hAnsi="Arial"/>
                <w:sz w:val="25"/>
                <w:szCs w:val="25"/>
                <w:color w:val="auto"/>
                <w:w w:val="92"/>
                <w:vertAlign w:val="superscript"/>
              </w:rPr>
              <w:t>(5)</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573,488</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bottom w:val="single" w:sz="8" w:color="B2B2B2"/>
              <w:right w:val="single" w:sz="8" w:color="B2B2B2"/>
            </w:tcBorders>
          </w:tcPr>
          <w:p>
            <w:pPr>
              <w:spacing w:after="0"/>
              <w:rPr>
                <w:sz w:val="20"/>
                <w:szCs w:val="20"/>
                <w:color w:val="auto"/>
              </w:rPr>
            </w:pPr>
          </w:p>
        </w:tc>
        <w:tc>
          <w:tcPr>
            <w:tcW w:w="1560" w:type="dxa"/>
            <w:vAlign w:val="bottom"/>
            <w:tcBorders>
              <w:bottom w:val="single" w:sz="8" w:color="B2B2B2"/>
              <w:right w:val="single" w:sz="8" w:color="B2B2B2"/>
            </w:tcBorders>
          </w:tcPr>
          <w:p>
            <w:pPr>
              <w:spacing w:after="0"/>
              <w:rPr>
                <w:sz w:val="20"/>
                <w:szCs w:val="20"/>
                <w:color w:val="auto"/>
              </w:rPr>
            </w:pPr>
          </w:p>
        </w:tc>
        <w:tc>
          <w:tcPr>
            <w:tcW w:w="1660" w:type="dxa"/>
            <w:vAlign w:val="bottom"/>
            <w:tcBorders>
              <w:bottom w:val="single" w:sz="8" w:color="B2B2B2"/>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92"/>
              </w:rPr>
              <w:t>4,238</w:t>
            </w:r>
            <w:r>
              <w:rPr>
                <w:rFonts w:ascii="Arial" w:cs="Arial" w:eastAsia="Arial" w:hAnsi="Arial"/>
                <w:sz w:val="25"/>
                <w:szCs w:val="25"/>
                <w:color w:val="auto"/>
                <w:w w:val="92"/>
                <w:vertAlign w:val="superscript"/>
              </w:rPr>
              <w:t>(6)</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1,026,020</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right w:val="single" w:sz="8" w:color="B2B2B2"/>
            </w:tcBorders>
          </w:tcPr>
          <w:p>
            <w:pPr>
              <w:spacing w:after="0"/>
              <w:rPr>
                <w:sz w:val="20"/>
                <w:szCs w:val="20"/>
                <w:color w:val="auto"/>
              </w:rPr>
            </w:pPr>
          </w:p>
        </w:tc>
        <w:tc>
          <w:tcPr>
            <w:tcW w:w="1560" w:type="dxa"/>
            <w:vAlign w:val="bottom"/>
            <w:tcBorders>
              <w:right w:val="single" w:sz="8" w:color="B2B2B2"/>
            </w:tcBorders>
          </w:tcPr>
          <w:p>
            <w:pPr>
              <w:spacing w:after="0"/>
              <w:rPr>
                <w:sz w:val="20"/>
                <w:szCs w:val="20"/>
                <w:color w:val="auto"/>
              </w:rPr>
            </w:pPr>
          </w:p>
        </w:tc>
        <w:tc>
          <w:tcPr>
            <w:tcW w:w="1660" w:type="dxa"/>
            <w:vAlign w:val="bottom"/>
            <w:tcBorders>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87"/>
              </w:rPr>
              <w:t>   289</w:t>
            </w:r>
            <w:r>
              <w:rPr>
                <w:rFonts w:ascii="Arial" w:cs="Arial" w:eastAsia="Arial" w:hAnsi="Arial"/>
                <w:sz w:val="25"/>
                <w:szCs w:val="25"/>
                <w:color w:val="auto"/>
                <w:w w:val="87"/>
                <w:vertAlign w:val="superscript"/>
              </w:rPr>
              <w:t>(7)</w:t>
            </w:r>
          </w:p>
        </w:tc>
        <w:tc>
          <w:tcPr>
            <w:tcW w:w="1540" w:type="dxa"/>
            <w:vAlign w:val="bottom"/>
          </w:tcPr>
          <w:p>
            <w:pPr>
              <w:jc w:val="right"/>
              <w:ind w:right="96"/>
              <w:spacing w:after="0"/>
              <w:rPr>
                <w:sz w:val="20"/>
                <w:szCs w:val="20"/>
                <w:color w:val="auto"/>
              </w:rPr>
            </w:pPr>
            <w:r>
              <w:rPr>
                <w:rFonts w:ascii="Arial" w:cs="Arial" w:eastAsia="Arial" w:hAnsi="Arial"/>
                <w:sz w:val="17"/>
                <w:szCs w:val="17"/>
                <w:color w:val="auto"/>
              </w:rPr>
              <w:t>69,736</w:t>
            </w:r>
          </w:p>
        </w:tc>
      </w:tr>
      <w:tr>
        <w:trPr>
          <w:trHeight w:val="246"/>
        </w:trPr>
        <w:tc>
          <w:tcPr>
            <w:tcW w:w="4200" w:type="dxa"/>
            <w:vAlign w:val="bottom"/>
            <w:tcBorders>
              <w:right w:val="single" w:sz="8" w:color="E2EEFA"/>
            </w:tcBorders>
            <w:shd w:val="clear" w:color="auto" w:fill="E2EEFA"/>
          </w:tcPr>
          <w:p>
            <w:pPr>
              <w:spacing w:after="0"/>
              <w:rPr>
                <w:sz w:val="20"/>
                <w:szCs w:val="20"/>
                <w:color w:val="auto"/>
              </w:rPr>
            </w:pPr>
            <w:r>
              <w:rPr>
                <w:rFonts w:ascii="Arial" w:cs="Arial" w:eastAsia="Arial" w:hAnsi="Arial"/>
                <w:sz w:val="17"/>
                <w:szCs w:val="17"/>
                <w:color w:val="auto"/>
              </w:rPr>
              <w:t>  Karen L. Burton</w:t>
            </w:r>
          </w:p>
        </w:tc>
        <w:tc>
          <w:tcPr>
            <w:tcW w:w="1600" w:type="dxa"/>
            <w:vAlign w:val="bottom"/>
            <w:tcBorders>
              <w:right w:val="single" w:sz="8" w:color="E2EEFA"/>
            </w:tcBorders>
            <w:shd w:val="clear" w:color="auto" w:fill="E2EEFA"/>
          </w:tcPr>
          <w:p>
            <w:pPr>
              <w:spacing w:after="0"/>
              <w:rPr>
                <w:sz w:val="21"/>
                <w:szCs w:val="21"/>
                <w:color w:val="auto"/>
              </w:rPr>
            </w:pPr>
          </w:p>
        </w:tc>
        <w:tc>
          <w:tcPr>
            <w:tcW w:w="1560" w:type="dxa"/>
            <w:vAlign w:val="bottom"/>
            <w:tcBorders>
              <w:right w:val="single" w:sz="8" w:color="E2EEFA"/>
            </w:tcBorders>
            <w:shd w:val="clear" w:color="auto" w:fill="E2EEFA"/>
          </w:tcPr>
          <w:p>
            <w:pPr>
              <w:spacing w:after="0"/>
              <w:rPr>
                <w:sz w:val="21"/>
                <w:szCs w:val="21"/>
                <w:color w:val="auto"/>
              </w:rPr>
            </w:pPr>
          </w:p>
        </w:tc>
        <w:tc>
          <w:tcPr>
            <w:tcW w:w="1660" w:type="dxa"/>
            <w:vAlign w:val="bottom"/>
            <w:tcBorders>
              <w:right w:val="single" w:sz="8" w:color="E2EEFA"/>
            </w:tcBorders>
            <w:shd w:val="clear" w:color="auto" w:fill="E2EEFA"/>
          </w:tcPr>
          <w:p>
            <w:pPr>
              <w:spacing w:after="0"/>
              <w:rPr>
                <w:sz w:val="21"/>
                <w:szCs w:val="21"/>
                <w:color w:val="auto"/>
              </w:rPr>
            </w:pPr>
          </w:p>
        </w:tc>
        <w:tc>
          <w:tcPr>
            <w:tcW w:w="1540" w:type="dxa"/>
            <w:vAlign w:val="bottom"/>
            <w:shd w:val="clear" w:color="auto" w:fill="E2EEFA"/>
          </w:tcPr>
          <w:p>
            <w:pPr>
              <w:spacing w:after="0"/>
              <w:rPr>
                <w:sz w:val="21"/>
                <w:szCs w:val="21"/>
                <w:color w:val="auto"/>
              </w:rPr>
            </w:pPr>
          </w:p>
        </w:tc>
      </w:tr>
      <w:tr>
        <w:trPr>
          <w:trHeight w:val="246"/>
        </w:trPr>
        <w:tc>
          <w:tcPr>
            <w:tcW w:w="4200" w:type="dxa"/>
            <w:vAlign w:val="bottom"/>
            <w:tcBorders>
              <w:right w:val="single" w:sz="8" w:color="B2B2B2"/>
            </w:tcBorders>
          </w:tcPr>
          <w:p>
            <w:pPr>
              <w:spacing w:after="0"/>
              <w:rPr>
                <w:sz w:val="21"/>
                <w:szCs w:val="21"/>
                <w:color w:val="auto"/>
              </w:rPr>
            </w:pPr>
          </w:p>
        </w:tc>
        <w:tc>
          <w:tcPr>
            <w:tcW w:w="1600" w:type="dxa"/>
            <w:vAlign w:val="bottom"/>
            <w:tcBorders>
              <w:bottom w:val="single" w:sz="8" w:color="B2B2B2"/>
              <w:right w:val="single" w:sz="8" w:color="B2B2B2"/>
            </w:tcBorders>
          </w:tcPr>
          <w:p>
            <w:pPr>
              <w:jc w:val="center"/>
              <w:spacing w:after="0" w:line="246" w:lineRule="exact"/>
              <w:rPr>
                <w:sz w:val="20"/>
                <w:szCs w:val="20"/>
                <w:color w:val="auto"/>
              </w:rPr>
            </w:pPr>
            <w:r>
              <w:rPr>
                <w:rFonts w:ascii="Arial" w:cs="Arial" w:eastAsia="Arial" w:hAnsi="Arial"/>
                <w:sz w:val="17"/>
                <w:szCs w:val="17"/>
                <w:color w:val="auto"/>
                <w:w w:val="88"/>
              </w:rPr>
              <w:t>  7,900</w:t>
            </w:r>
            <w:r>
              <w:rPr>
                <w:rFonts w:ascii="Arial" w:cs="Arial" w:eastAsia="Arial" w:hAnsi="Arial"/>
                <w:sz w:val="25"/>
                <w:szCs w:val="25"/>
                <w:color w:val="auto"/>
                <w:w w:val="88"/>
                <w:vertAlign w:val="superscript"/>
              </w:rPr>
              <w:t>(8)</w:t>
            </w:r>
          </w:p>
        </w:tc>
        <w:tc>
          <w:tcPr>
            <w:tcW w:w="1560" w:type="dxa"/>
            <w:vAlign w:val="bottom"/>
            <w:tcBorders>
              <w:bottom w:val="single" w:sz="8" w:color="B2B2B2"/>
              <w:right w:val="single" w:sz="8" w:color="B2B2B2"/>
            </w:tcBorders>
          </w:tcPr>
          <w:p>
            <w:pPr>
              <w:jc w:val="right"/>
              <w:ind w:right="299"/>
              <w:spacing w:after="0"/>
              <w:rPr>
                <w:sz w:val="20"/>
                <w:szCs w:val="20"/>
                <w:color w:val="auto"/>
              </w:rPr>
            </w:pPr>
            <w:r>
              <w:rPr>
                <w:rFonts w:ascii="Arial" w:cs="Arial" w:eastAsia="Arial" w:hAnsi="Arial"/>
                <w:sz w:val="17"/>
                <w:szCs w:val="17"/>
                <w:color w:val="auto"/>
              </w:rPr>
              <w:t>1,007,308</w:t>
            </w:r>
          </w:p>
        </w:tc>
        <w:tc>
          <w:tcPr>
            <w:tcW w:w="1660" w:type="dxa"/>
            <w:vAlign w:val="bottom"/>
            <w:tcBorders>
              <w:bottom w:val="single" w:sz="8" w:color="B2B2B2"/>
              <w:right w:val="single" w:sz="8" w:color="B2B2B2"/>
            </w:tcBorders>
          </w:tcPr>
          <w:p>
            <w:pPr>
              <w:jc w:val="center"/>
              <w:ind w:left="37"/>
              <w:spacing w:after="0" w:line="246" w:lineRule="exact"/>
              <w:rPr>
                <w:sz w:val="20"/>
                <w:szCs w:val="20"/>
                <w:color w:val="auto"/>
              </w:rPr>
            </w:pPr>
            <w:r>
              <w:rPr>
                <w:rFonts w:ascii="Arial" w:cs="Arial" w:eastAsia="Arial" w:hAnsi="Arial"/>
                <w:sz w:val="17"/>
                <w:szCs w:val="17"/>
                <w:color w:val="auto"/>
                <w:w w:val="87"/>
              </w:rPr>
              <w:t>   340</w:t>
            </w:r>
            <w:r>
              <w:rPr>
                <w:rFonts w:ascii="Arial" w:cs="Arial" w:eastAsia="Arial" w:hAnsi="Arial"/>
                <w:sz w:val="25"/>
                <w:szCs w:val="25"/>
                <w:color w:val="auto"/>
                <w:w w:val="87"/>
                <w:vertAlign w:val="superscript"/>
              </w:rPr>
              <w:t>(9)</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82,307</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bottom w:val="single" w:sz="8" w:color="B2B2B2"/>
              <w:right w:val="single" w:sz="8" w:color="B2B2B2"/>
            </w:tcBorders>
          </w:tcPr>
          <w:p>
            <w:pPr>
              <w:spacing w:after="0"/>
              <w:rPr>
                <w:sz w:val="20"/>
                <w:szCs w:val="20"/>
                <w:color w:val="auto"/>
              </w:rPr>
            </w:pPr>
          </w:p>
        </w:tc>
        <w:tc>
          <w:tcPr>
            <w:tcW w:w="1560" w:type="dxa"/>
            <w:vAlign w:val="bottom"/>
            <w:tcBorders>
              <w:bottom w:val="single" w:sz="8" w:color="B2B2B2"/>
              <w:right w:val="single" w:sz="8" w:color="B2B2B2"/>
            </w:tcBorders>
          </w:tcPr>
          <w:p>
            <w:pPr>
              <w:spacing w:after="0"/>
              <w:rPr>
                <w:sz w:val="20"/>
                <w:szCs w:val="20"/>
                <w:color w:val="auto"/>
              </w:rPr>
            </w:pPr>
          </w:p>
        </w:tc>
        <w:tc>
          <w:tcPr>
            <w:tcW w:w="1660" w:type="dxa"/>
            <w:vAlign w:val="bottom"/>
            <w:tcBorders>
              <w:bottom w:val="single" w:sz="8" w:color="B2B2B2"/>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87"/>
              </w:rPr>
              <w:t>   196</w:t>
            </w:r>
            <w:r>
              <w:rPr>
                <w:rFonts w:ascii="Arial" w:cs="Arial" w:eastAsia="Arial" w:hAnsi="Arial"/>
                <w:sz w:val="25"/>
                <w:szCs w:val="25"/>
                <w:color w:val="auto"/>
                <w:w w:val="87"/>
                <w:vertAlign w:val="superscript"/>
              </w:rPr>
              <w:t>(10)</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47,448</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bottom w:val="single" w:sz="8" w:color="B2B2B2"/>
              <w:right w:val="single" w:sz="8" w:color="B2B2B2"/>
            </w:tcBorders>
          </w:tcPr>
          <w:p>
            <w:pPr>
              <w:spacing w:after="0"/>
              <w:rPr>
                <w:sz w:val="20"/>
                <w:szCs w:val="20"/>
                <w:color w:val="auto"/>
              </w:rPr>
            </w:pPr>
          </w:p>
        </w:tc>
        <w:tc>
          <w:tcPr>
            <w:tcW w:w="1560" w:type="dxa"/>
            <w:vAlign w:val="bottom"/>
            <w:tcBorders>
              <w:bottom w:val="single" w:sz="8" w:color="B2B2B2"/>
              <w:right w:val="single" w:sz="8" w:color="B2B2B2"/>
            </w:tcBorders>
          </w:tcPr>
          <w:p>
            <w:pPr>
              <w:spacing w:after="0"/>
              <w:rPr>
                <w:sz w:val="20"/>
                <w:szCs w:val="20"/>
                <w:color w:val="auto"/>
              </w:rPr>
            </w:pPr>
          </w:p>
        </w:tc>
        <w:tc>
          <w:tcPr>
            <w:tcW w:w="1660" w:type="dxa"/>
            <w:vAlign w:val="bottom"/>
            <w:tcBorders>
              <w:bottom w:val="single" w:sz="8" w:color="B2B2B2"/>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81"/>
              </w:rPr>
              <w:t>   225</w:t>
            </w:r>
            <w:r>
              <w:rPr>
                <w:rFonts w:ascii="Arial" w:cs="Arial" w:eastAsia="Arial" w:hAnsi="Arial"/>
                <w:sz w:val="25"/>
                <w:szCs w:val="25"/>
                <w:color w:val="auto"/>
                <w:w w:val="81"/>
                <w:vertAlign w:val="superscript"/>
              </w:rPr>
              <w:t>(11)</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54,468</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bottom w:val="single" w:sz="8" w:color="B2B2B2"/>
              <w:right w:val="single" w:sz="8" w:color="B2B2B2"/>
            </w:tcBorders>
          </w:tcPr>
          <w:p>
            <w:pPr>
              <w:spacing w:after="0"/>
              <w:rPr>
                <w:sz w:val="20"/>
                <w:szCs w:val="20"/>
                <w:color w:val="auto"/>
              </w:rPr>
            </w:pPr>
          </w:p>
        </w:tc>
        <w:tc>
          <w:tcPr>
            <w:tcW w:w="1560" w:type="dxa"/>
            <w:vAlign w:val="bottom"/>
            <w:tcBorders>
              <w:bottom w:val="single" w:sz="8" w:color="B2B2B2"/>
              <w:right w:val="single" w:sz="8" w:color="B2B2B2"/>
            </w:tcBorders>
          </w:tcPr>
          <w:p>
            <w:pPr>
              <w:spacing w:after="0"/>
              <w:rPr>
                <w:sz w:val="20"/>
                <w:szCs w:val="20"/>
                <w:color w:val="auto"/>
              </w:rPr>
            </w:pPr>
          </w:p>
        </w:tc>
        <w:tc>
          <w:tcPr>
            <w:tcW w:w="1660" w:type="dxa"/>
            <w:vAlign w:val="bottom"/>
            <w:tcBorders>
              <w:bottom w:val="single" w:sz="8" w:color="B2B2B2"/>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87"/>
              </w:rPr>
              <w:t>   306</w:t>
            </w:r>
            <w:r>
              <w:rPr>
                <w:rFonts w:ascii="Arial" w:cs="Arial" w:eastAsia="Arial" w:hAnsi="Arial"/>
                <w:sz w:val="25"/>
                <w:szCs w:val="25"/>
                <w:color w:val="auto"/>
                <w:w w:val="87"/>
                <w:vertAlign w:val="superscript"/>
              </w:rPr>
              <w:t>(12)</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74,083</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right w:val="single" w:sz="8" w:color="B2B2B2"/>
            </w:tcBorders>
          </w:tcPr>
          <w:p>
            <w:pPr>
              <w:spacing w:after="0"/>
              <w:rPr>
                <w:sz w:val="20"/>
                <w:szCs w:val="20"/>
                <w:color w:val="auto"/>
              </w:rPr>
            </w:pPr>
          </w:p>
        </w:tc>
        <w:tc>
          <w:tcPr>
            <w:tcW w:w="1560" w:type="dxa"/>
            <w:vAlign w:val="bottom"/>
            <w:tcBorders>
              <w:right w:val="single" w:sz="8" w:color="B2B2B2"/>
            </w:tcBorders>
          </w:tcPr>
          <w:p>
            <w:pPr>
              <w:spacing w:after="0"/>
              <w:rPr>
                <w:sz w:val="20"/>
                <w:szCs w:val="20"/>
                <w:color w:val="auto"/>
              </w:rPr>
            </w:pPr>
          </w:p>
        </w:tc>
        <w:tc>
          <w:tcPr>
            <w:tcW w:w="1660" w:type="dxa"/>
            <w:vAlign w:val="bottom"/>
            <w:tcBorders>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82"/>
              </w:rPr>
              <w:t>     86</w:t>
            </w:r>
            <w:r>
              <w:rPr>
                <w:rFonts w:ascii="Arial" w:cs="Arial" w:eastAsia="Arial" w:hAnsi="Arial"/>
                <w:sz w:val="25"/>
                <w:szCs w:val="25"/>
                <w:color w:val="auto"/>
                <w:w w:val="82"/>
                <w:vertAlign w:val="superscript"/>
              </w:rPr>
              <w:t>(13)</w:t>
            </w:r>
          </w:p>
        </w:tc>
        <w:tc>
          <w:tcPr>
            <w:tcW w:w="1540" w:type="dxa"/>
            <w:vAlign w:val="bottom"/>
          </w:tcPr>
          <w:p>
            <w:pPr>
              <w:jc w:val="right"/>
              <w:ind w:right="96"/>
              <w:spacing w:after="0"/>
              <w:rPr>
                <w:sz w:val="20"/>
                <w:szCs w:val="20"/>
                <w:color w:val="auto"/>
              </w:rPr>
            </w:pPr>
            <w:r>
              <w:rPr>
                <w:rFonts w:ascii="Arial" w:cs="Arial" w:eastAsia="Arial" w:hAnsi="Arial"/>
                <w:sz w:val="17"/>
                <w:szCs w:val="17"/>
                <w:color w:val="auto"/>
              </w:rPr>
              <w:t>20,752</w:t>
            </w:r>
          </w:p>
        </w:tc>
      </w:tr>
      <w:tr>
        <w:trPr>
          <w:trHeight w:val="246"/>
        </w:trPr>
        <w:tc>
          <w:tcPr>
            <w:tcW w:w="4200" w:type="dxa"/>
            <w:vAlign w:val="bottom"/>
            <w:tcBorders>
              <w:right w:val="single" w:sz="8" w:color="E2EEFA"/>
            </w:tcBorders>
            <w:shd w:val="clear" w:color="auto" w:fill="E2EEFA"/>
          </w:tcPr>
          <w:p>
            <w:pPr>
              <w:spacing w:after="0"/>
              <w:rPr>
                <w:sz w:val="20"/>
                <w:szCs w:val="20"/>
                <w:color w:val="auto"/>
              </w:rPr>
            </w:pPr>
            <w:r>
              <w:rPr>
                <w:rFonts w:ascii="Arial" w:cs="Arial" w:eastAsia="Arial" w:hAnsi="Arial"/>
                <w:sz w:val="17"/>
                <w:szCs w:val="17"/>
                <w:color w:val="auto"/>
              </w:rPr>
              <w:t>  Michael J. Tokich</w:t>
            </w:r>
          </w:p>
        </w:tc>
        <w:tc>
          <w:tcPr>
            <w:tcW w:w="1600" w:type="dxa"/>
            <w:vAlign w:val="bottom"/>
            <w:tcBorders>
              <w:right w:val="single" w:sz="8" w:color="E2EEFA"/>
            </w:tcBorders>
            <w:shd w:val="clear" w:color="auto" w:fill="E2EEFA"/>
          </w:tcPr>
          <w:p>
            <w:pPr>
              <w:spacing w:after="0"/>
              <w:rPr>
                <w:sz w:val="21"/>
                <w:szCs w:val="21"/>
                <w:color w:val="auto"/>
              </w:rPr>
            </w:pPr>
          </w:p>
        </w:tc>
        <w:tc>
          <w:tcPr>
            <w:tcW w:w="1560" w:type="dxa"/>
            <w:vAlign w:val="bottom"/>
            <w:tcBorders>
              <w:right w:val="single" w:sz="8" w:color="E2EEFA"/>
            </w:tcBorders>
            <w:shd w:val="clear" w:color="auto" w:fill="E2EEFA"/>
          </w:tcPr>
          <w:p>
            <w:pPr>
              <w:spacing w:after="0"/>
              <w:rPr>
                <w:sz w:val="21"/>
                <w:szCs w:val="21"/>
                <w:color w:val="auto"/>
              </w:rPr>
            </w:pPr>
          </w:p>
        </w:tc>
        <w:tc>
          <w:tcPr>
            <w:tcW w:w="1660" w:type="dxa"/>
            <w:vAlign w:val="bottom"/>
            <w:tcBorders>
              <w:right w:val="single" w:sz="8" w:color="E2EEFA"/>
            </w:tcBorders>
            <w:shd w:val="clear" w:color="auto" w:fill="E2EEFA"/>
          </w:tcPr>
          <w:p>
            <w:pPr>
              <w:spacing w:after="0"/>
              <w:rPr>
                <w:sz w:val="21"/>
                <w:szCs w:val="21"/>
                <w:color w:val="auto"/>
              </w:rPr>
            </w:pPr>
          </w:p>
        </w:tc>
        <w:tc>
          <w:tcPr>
            <w:tcW w:w="1540" w:type="dxa"/>
            <w:vAlign w:val="bottom"/>
            <w:shd w:val="clear" w:color="auto" w:fill="E2EEFA"/>
          </w:tcPr>
          <w:p>
            <w:pPr>
              <w:spacing w:after="0"/>
              <w:rPr>
                <w:sz w:val="21"/>
                <w:szCs w:val="21"/>
                <w:color w:val="auto"/>
              </w:rPr>
            </w:pPr>
          </w:p>
        </w:tc>
      </w:tr>
      <w:tr>
        <w:trPr>
          <w:trHeight w:val="246"/>
        </w:trPr>
        <w:tc>
          <w:tcPr>
            <w:tcW w:w="4200" w:type="dxa"/>
            <w:vAlign w:val="bottom"/>
            <w:tcBorders>
              <w:right w:val="single" w:sz="8" w:color="B2B2B2"/>
            </w:tcBorders>
          </w:tcPr>
          <w:p>
            <w:pPr>
              <w:spacing w:after="0"/>
              <w:rPr>
                <w:sz w:val="21"/>
                <w:szCs w:val="21"/>
                <w:color w:val="auto"/>
              </w:rPr>
            </w:pPr>
          </w:p>
        </w:tc>
        <w:tc>
          <w:tcPr>
            <w:tcW w:w="1600" w:type="dxa"/>
            <w:vAlign w:val="bottom"/>
            <w:tcBorders>
              <w:bottom w:val="single" w:sz="8" w:color="B2B2B2"/>
              <w:right w:val="single" w:sz="8" w:color="B2B2B2"/>
            </w:tcBorders>
          </w:tcPr>
          <w:p>
            <w:pPr>
              <w:jc w:val="center"/>
              <w:spacing w:after="0" w:line="246" w:lineRule="exact"/>
              <w:rPr>
                <w:sz w:val="20"/>
                <w:szCs w:val="20"/>
                <w:color w:val="auto"/>
              </w:rPr>
            </w:pPr>
            <w:r>
              <w:rPr>
                <w:rFonts w:ascii="Arial" w:cs="Arial" w:eastAsia="Arial" w:hAnsi="Arial"/>
                <w:sz w:val="17"/>
                <w:szCs w:val="17"/>
                <w:color w:val="auto"/>
                <w:w w:val="93"/>
              </w:rPr>
              <w:t>33,628</w:t>
            </w:r>
            <w:r>
              <w:rPr>
                <w:rFonts w:ascii="Arial" w:cs="Arial" w:eastAsia="Arial" w:hAnsi="Arial"/>
                <w:sz w:val="25"/>
                <w:szCs w:val="25"/>
                <w:color w:val="auto"/>
                <w:w w:val="93"/>
                <w:vertAlign w:val="superscript"/>
              </w:rPr>
              <w:t>(14)</w:t>
            </w:r>
          </w:p>
        </w:tc>
        <w:tc>
          <w:tcPr>
            <w:tcW w:w="1560" w:type="dxa"/>
            <w:vAlign w:val="bottom"/>
            <w:tcBorders>
              <w:bottom w:val="single" w:sz="8" w:color="B2B2B2"/>
              <w:right w:val="single" w:sz="8" w:color="B2B2B2"/>
            </w:tcBorders>
          </w:tcPr>
          <w:p>
            <w:pPr>
              <w:jc w:val="right"/>
              <w:ind w:right="299"/>
              <w:spacing w:after="0"/>
              <w:rPr>
                <w:sz w:val="20"/>
                <w:szCs w:val="20"/>
                <w:color w:val="auto"/>
              </w:rPr>
            </w:pPr>
            <w:r>
              <w:rPr>
                <w:rFonts w:ascii="Arial" w:cs="Arial" w:eastAsia="Arial" w:hAnsi="Arial"/>
                <w:sz w:val="17"/>
                <w:szCs w:val="17"/>
                <w:color w:val="auto"/>
              </w:rPr>
              <w:t>3,760,358</w:t>
            </w:r>
          </w:p>
        </w:tc>
        <w:tc>
          <w:tcPr>
            <w:tcW w:w="1660" w:type="dxa"/>
            <w:vAlign w:val="bottom"/>
            <w:tcBorders>
              <w:bottom w:val="single" w:sz="8" w:color="B2B2B2"/>
              <w:right w:val="single" w:sz="8" w:color="B2B2B2"/>
            </w:tcBorders>
          </w:tcPr>
          <w:p>
            <w:pPr>
              <w:jc w:val="center"/>
              <w:ind w:left="37"/>
              <w:spacing w:after="0" w:line="246" w:lineRule="exact"/>
              <w:rPr>
                <w:sz w:val="20"/>
                <w:szCs w:val="20"/>
                <w:color w:val="auto"/>
              </w:rPr>
            </w:pPr>
            <w:r>
              <w:rPr>
                <w:rFonts w:ascii="Arial" w:cs="Arial" w:eastAsia="Arial" w:hAnsi="Arial"/>
                <w:sz w:val="17"/>
                <w:szCs w:val="17"/>
                <w:color w:val="auto"/>
                <w:w w:val="91"/>
              </w:rPr>
              <w:t>1,293</w:t>
            </w:r>
            <w:r>
              <w:rPr>
                <w:rFonts w:ascii="Arial" w:cs="Arial" w:eastAsia="Arial" w:hAnsi="Arial"/>
                <w:sz w:val="25"/>
                <w:szCs w:val="25"/>
                <w:color w:val="auto"/>
                <w:w w:val="91"/>
                <w:vertAlign w:val="superscript"/>
              </w:rPr>
              <w:t>(15)</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313,009</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bottom w:val="single" w:sz="8" w:color="B2B2B2"/>
              <w:right w:val="single" w:sz="8" w:color="B2B2B2"/>
            </w:tcBorders>
          </w:tcPr>
          <w:p>
            <w:pPr>
              <w:jc w:val="center"/>
              <w:spacing w:after="0" w:line="239" w:lineRule="exact"/>
              <w:rPr>
                <w:sz w:val="20"/>
                <w:szCs w:val="20"/>
                <w:color w:val="auto"/>
              </w:rPr>
            </w:pPr>
            <w:r>
              <w:rPr>
                <w:rFonts w:ascii="Arial" w:cs="Arial" w:eastAsia="Arial" w:hAnsi="Arial"/>
                <w:sz w:val="17"/>
                <w:szCs w:val="17"/>
                <w:color w:val="auto"/>
                <w:w w:val="93"/>
              </w:rPr>
              <w:t>14,488</w:t>
            </w:r>
            <w:r>
              <w:rPr>
                <w:rFonts w:ascii="Arial" w:cs="Arial" w:eastAsia="Arial" w:hAnsi="Arial"/>
                <w:sz w:val="25"/>
                <w:szCs w:val="25"/>
                <w:color w:val="auto"/>
                <w:w w:val="93"/>
                <w:vertAlign w:val="superscript"/>
              </w:rPr>
              <w:t>(16)</w:t>
            </w:r>
          </w:p>
        </w:tc>
        <w:tc>
          <w:tcPr>
            <w:tcW w:w="1560" w:type="dxa"/>
            <w:vAlign w:val="bottom"/>
            <w:tcBorders>
              <w:bottom w:val="single" w:sz="8" w:color="B2B2B2"/>
              <w:right w:val="single" w:sz="8" w:color="B2B2B2"/>
            </w:tcBorders>
          </w:tcPr>
          <w:p>
            <w:pPr>
              <w:jc w:val="right"/>
              <w:ind w:right="299"/>
              <w:spacing w:after="0"/>
              <w:rPr>
                <w:sz w:val="20"/>
                <w:szCs w:val="20"/>
                <w:color w:val="auto"/>
              </w:rPr>
            </w:pPr>
            <w:r>
              <w:rPr>
                <w:rFonts w:ascii="Arial" w:cs="Arial" w:eastAsia="Arial" w:hAnsi="Arial"/>
                <w:sz w:val="17"/>
                <w:szCs w:val="17"/>
                <w:color w:val="auto"/>
              </w:rPr>
              <w:t>1,607,587</w:t>
            </w:r>
          </w:p>
        </w:tc>
        <w:tc>
          <w:tcPr>
            <w:tcW w:w="1660" w:type="dxa"/>
            <w:vAlign w:val="bottom"/>
            <w:tcBorders>
              <w:bottom w:val="single" w:sz="8" w:color="B2B2B2"/>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87"/>
              </w:rPr>
              <w:t>   573</w:t>
            </w:r>
            <w:r>
              <w:rPr>
                <w:rFonts w:ascii="Arial" w:cs="Arial" w:eastAsia="Arial" w:hAnsi="Arial"/>
                <w:sz w:val="25"/>
                <w:szCs w:val="25"/>
                <w:color w:val="auto"/>
                <w:w w:val="87"/>
                <w:vertAlign w:val="superscript"/>
              </w:rPr>
              <w:t>(17)</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138,712</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bottom w:val="single" w:sz="8" w:color="B2B2B2"/>
              <w:right w:val="single" w:sz="8" w:color="B2B2B2"/>
            </w:tcBorders>
          </w:tcPr>
          <w:p>
            <w:pPr>
              <w:spacing w:after="0"/>
              <w:rPr>
                <w:sz w:val="20"/>
                <w:szCs w:val="20"/>
                <w:color w:val="auto"/>
              </w:rPr>
            </w:pPr>
          </w:p>
        </w:tc>
        <w:tc>
          <w:tcPr>
            <w:tcW w:w="1560" w:type="dxa"/>
            <w:vAlign w:val="bottom"/>
            <w:tcBorders>
              <w:bottom w:val="single" w:sz="8" w:color="B2B2B2"/>
              <w:right w:val="single" w:sz="8" w:color="B2B2B2"/>
            </w:tcBorders>
          </w:tcPr>
          <w:p>
            <w:pPr>
              <w:spacing w:after="0"/>
              <w:rPr>
                <w:sz w:val="20"/>
                <w:szCs w:val="20"/>
                <w:color w:val="auto"/>
              </w:rPr>
            </w:pPr>
          </w:p>
        </w:tc>
        <w:tc>
          <w:tcPr>
            <w:tcW w:w="1660" w:type="dxa"/>
            <w:vAlign w:val="bottom"/>
            <w:tcBorders>
              <w:bottom w:val="single" w:sz="8" w:color="B2B2B2"/>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87"/>
              </w:rPr>
              <w:t>   564</w:t>
            </w:r>
            <w:r>
              <w:rPr>
                <w:rFonts w:ascii="Arial" w:cs="Arial" w:eastAsia="Arial" w:hAnsi="Arial"/>
                <w:sz w:val="25"/>
                <w:szCs w:val="25"/>
                <w:color w:val="auto"/>
                <w:w w:val="87"/>
                <w:vertAlign w:val="superscript"/>
              </w:rPr>
              <w:t>(18)</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136,533</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bottom w:val="single" w:sz="8" w:color="B2B2B2"/>
              <w:right w:val="single" w:sz="8" w:color="B2B2B2"/>
            </w:tcBorders>
          </w:tcPr>
          <w:p>
            <w:pPr>
              <w:spacing w:after="0"/>
              <w:rPr>
                <w:sz w:val="20"/>
                <w:szCs w:val="20"/>
                <w:color w:val="auto"/>
              </w:rPr>
            </w:pPr>
          </w:p>
        </w:tc>
        <w:tc>
          <w:tcPr>
            <w:tcW w:w="1560" w:type="dxa"/>
            <w:vAlign w:val="bottom"/>
            <w:tcBorders>
              <w:bottom w:val="single" w:sz="8" w:color="B2B2B2"/>
              <w:right w:val="single" w:sz="8" w:color="B2B2B2"/>
            </w:tcBorders>
          </w:tcPr>
          <w:p>
            <w:pPr>
              <w:spacing w:after="0"/>
              <w:rPr>
                <w:sz w:val="20"/>
                <w:szCs w:val="20"/>
                <w:color w:val="auto"/>
              </w:rPr>
            </w:pPr>
          </w:p>
        </w:tc>
        <w:tc>
          <w:tcPr>
            <w:tcW w:w="1660" w:type="dxa"/>
            <w:vAlign w:val="bottom"/>
            <w:tcBorders>
              <w:bottom w:val="single" w:sz="8" w:color="B2B2B2"/>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91"/>
              </w:rPr>
              <w:t>1,141</w:t>
            </w:r>
            <w:r>
              <w:rPr>
                <w:rFonts w:ascii="Arial" w:cs="Arial" w:eastAsia="Arial" w:hAnsi="Arial"/>
                <w:sz w:val="25"/>
                <w:szCs w:val="25"/>
                <w:color w:val="auto"/>
                <w:w w:val="91"/>
                <w:vertAlign w:val="superscript"/>
              </w:rPr>
              <w:t>(19)</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276,236</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right w:val="single" w:sz="8" w:color="B2B2B2"/>
            </w:tcBorders>
          </w:tcPr>
          <w:p>
            <w:pPr>
              <w:spacing w:after="0"/>
              <w:rPr>
                <w:sz w:val="20"/>
                <w:szCs w:val="20"/>
                <w:color w:val="auto"/>
              </w:rPr>
            </w:pPr>
          </w:p>
        </w:tc>
        <w:tc>
          <w:tcPr>
            <w:tcW w:w="1560" w:type="dxa"/>
            <w:vAlign w:val="bottom"/>
            <w:tcBorders>
              <w:right w:val="single" w:sz="8" w:color="B2B2B2"/>
            </w:tcBorders>
          </w:tcPr>
          <w:p>
            <w:pPr>
              <w:spacing w:after="0"/>
              <w:rPr>
                <w:sz w:val="20"/>
                <w:szCs w:val="20"/>
                <w:color w:val="auto"/>
              </w:rPr>
            </w:pPr>
          </w:p>
        </w:tc>
        <w:tc>
          <w:tcPr>
            <w:tcW w:w="1660" w:type="dxa"/>
            <w:vAlign w:val="bottom"/>
            <w:tcBorders>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87"/>
              </w:rPr>
              <w:t>   144</w:t>
            </w:r>
            <w:r>
              <w:rPr>
                <w:rFonts w:ascii="Arial" w:cs="Arial" w:eastAsia="Arial" w:hAnsi="Arial"/>
                <w:sz w:val="25"/>
                <w:szCs w:val="25"/>
                <w:color w:val="auto"/>
                <w:w w:val="87"/>
                <w:vertAlign w:val="superscript"/>
              </w:rPr>
              <w:t>(20)</w:t>
            </w:r>
          </w:p>
        </w:tc>
        <w:tc>
          <w:tcPr>
            <w:tcW w:w="1540" w:type="dxa"/>
            <w:vAlign w:val="bottom"/>
          </w:tcPr>
          <w:p>
            <w:pPr>
              <w:jc w:val="right"/>
              <w:ind w:right="96"/>
              <w:spacing w:after="0"/>
              <w:rPr>
                <w:sz w:val="20"/>
                <w:szCs w:val="20"/>
                <w:color w:val="auto"/>
              </w:rPr>
            </w:pPr>
            <w:r>
              <w:rPr>
                <w:rFonts w:ascii="Arial" w:cs="Arial" w:eastAsia="Arial" w:hAnsi="Arial"/>
                <w:sz w:val="17"/>
                <w:szCs w:val="17"/>
                <w:color w:val="auto"/>
              </w:rPr>
              <w:t>34,747</w:t>
            </w:r>
          </w:p>
        </w:tc>
      </w:tr>
      <w:tr>
        <w:trPr>
          <w:trHeight w:val="246"/>
        </w:trPr>
        <w:tc>
          <w:tcPr>
            <w:tcW w:w="4200" w:type="dxa"/>
            <w:vAlign w:val="bottom"/>
            <w:tcBorders>
              <w:right w:val="single" w:sz="8" w:color="E2EEFA"/>
            </w:tcBorders>
            <w:shd w:val="clear" w:color="auto" w:fill="E2EEFA"/>
          </w:tcPr>
          <w:p>
            <w:pPr>
              <w:spacing w:after="0"/>
              <w:rPr>
                <w:sz w:val="20"/>
                <w:szCs w:val="20"/>
                <w:color w:val="auto"/>
              </w:rPr>
            </w:pPr>
            <w:r>
              <w:rPr>
                <w:rFonts w:ascii="Arial" w:cs="Arial" w:eastAsia="Arial" w:hAnsi="Arial"/>
                <w:sz w:val="17"/>
                <w:szCs w:val="17"/>
                <w:color w:val="auto"/>
              </w:rPr>
              <w:t>  J. Adam Zangerle</w:t>
            </w:r>
          </w:p>
        </w:tc>
        <w:tc>
          <w:tcPr>
            <w:tcW w:w="1600" w:type="dxa"/>
            <w:vAlign w:val="bottom"/>
            <w:tcBorders>
              <w:right w:val="single" w:sz="8" w:color="E2EEFA"/>
            </w:tcBorders>
            <w:shd w:val="clear" w:color="auto" w:fill="E2EEFA"/>
          </w:tcPr>
          <w:p>
            <w:pPr>
              <w:spacing w:after="0"/>
              <w:rPr>
                <w:sz w:val="21"/>
                <w:szCs w:val="21"/>
                <w:color w:val="auto"/>
              </w:rPr>
            </w:pPr>
          </w:p>
        </w:tc>
        <w:tc>
          <w:tcPr>
            <w:tcW w:w="1560" w:type="dxa"/>
            <w:vAlign w:val="bottom"/>
            <w:tcBorders>
              <w:right w:val="single" w:sz="8" w:color="E2EEFA"/>
            </w:tcBorders>
            <w:shd w:val="clear" w:color="auto" w:fill="E2EEFA"/>
          </w:tcPr>
          <w:p>
            <w:pPr>
              <w:spacing w:after="0"/>
              <w:rPr>
                <w:sz w:val="21"/>
                <w:szCs w:val="21"/>
                <w:color w:val="auto"/>
              </w:rPr>
            </w:pPr>
          </w:p>
        </w:tc>
        <w:tc>
          <w:tcPr>
            <w:tcW w:w="1660" w:type="dxa"/>
            <w:vAlign w:val="bottom"/>
            <w:tcBorders>
              <w:right w:val="single" w:sz="8" w:color="E2EEFA"/>
            </w:tcBorders>
            <w:shd w:val="clear" w:color="auto" w:fill="E2EEFA"/>
          </w:tcPr>
          <w:p>
            <w:pPr>
              <w:spacing w:after="0"/>
              <w:rPr>
                <w:sz w:val="21"/>
                <w:szCs w:val="21"/>
                <w:color w:val="auto"/>
              </w:rPr>
            </w:pPr>
          </w:p>
        </w:tc>
        <w:tc>
          <w:tcPr>
            <w:tcW w:w="1540" w:type="dxa"/>
            <w:vAlign w:val="bottom"/>
            <w:shd w:val="clear" w:color="auto" w:fill="E2EEFA"/>
          </w:tcPr>
          <w:p>
            <w:pPr>
              <w:spacing w:after="0"/>
              <w:rPr>
                <w:sz w:val="21"/>
                <w:szCs w:val="21"/>
                <w:color w:val="auto"/>
              </w:rPr>
            </w:pPr>
          </w:p>
        </w:tc>
      </w:tr>
      <w:tr>
        <w:trPr>
          <w:trHeight w:val="246"/>
        </w:trPr>
        <w:tc>
          <w:tcPr>
            <w:tcW w:w="4200" w:type="dxa"/>
            <w:vAlign w:val="bottom"/>
            <w:tcBorders>
              <w:right w:val="single" w:sz="8" w:color="B2B2B2"/>
            </w:tcBorders>
          </w:tcPr>
          <w:p>
            <w:pPr>
              <w:spacing w:after="0"/>
              <w:rPr>
                <w:sz w:val="21"/>
                <w:szCs w:val="21"/>
                <w:color w:val="auto"/>
              </w:rPr>
            </w:pPr>
          </w:p>
        </w:tc>
        <w:tc>
          <w:tcPr>
            <w:tcW w:w="1600" w:type="dxa"/>
            <w:vAlign w:val="bottom"/>
            <w:tcBorders>
              <w:bottom w:val="single" w:sz="8" w:color="B2B2B2"/>
              <w:right w:val="single" w:sz="8" w:color="B2B2B2"/>
            </w:tcBorders>
          </w:tcPr>
          <w:p>
            <w:pPr>
              <w:jc w:val="center"/>
              <w:spacing w:after="0" w:line="246" w:lineRule="exact"/>
              <w:rPr>
                <w:sz w:val="20"/>
                <w:szCs w:val="20"/>
                <w:color w:val="auto"/>
              </w:rPr>
            </w:pPr>
            <w:r>
              <w:rPr>
                <w:rFonts w:ascii="Arial" w:cs="Arial" w:eastAsia="Arial" w:hAnsi="Arial"/>
                <w:sz w:val="17"/>
                <w:szCs w:val="17"/>
                <w:color w:val="auto"/>
                <w:w w:val="93"/>
              </w:rPr>
              <w:t>15,000</w:t>
            </w:r>
            <w:r>
              <w:rPr>
                <w:rFonts w:ascii="Arial" w:cs="Arial" w:eastAsia="Arial" w:hAnsi="Arial"/>
                <w:sz w:val="25"/>
                <w:szCs w:val="25"/>
                <w:color w:val="auto"/>
                <w:w w:val="93"/>
                <w:vertAlign w:val="superscript"/>
              </w:rPr>
              <w:t>(21)</w:t>
            </w:r>
          </w:p>
        </w:tc>
        <w:tc>
          <w:tcPr>
            <w:tcW w:w="1560" w:type="dxa"/>
            <w:vAlign w:val="bottom"/>
            <w:tcBorders>
              <w:bottom w:val="single" w:sz="8" w:color="B2B2B2"/>
              <w:right w:val="single" w:sz="8" w:color="B2B2B2"/>
            </w:tcBorders>
          </w:tcPr>
          <w:p>
            <w:pPr>
              <w:jc w:val="right"/>
              <w:ind w:right="299"/>
              <w:spacing w:after="0"/>
              <w:rPr>
                <w:sz w:val="20"/>
                <w:szCs w:val="20"/>
                <w:color w:val="auto"/>
              </w:rPr>
            </w:pPr>
            <w:r>
              <w:rPr>
                <w:rFonts w:ascii="Arial" w:cs="Arial" w:eastAsia="Arial" w:hAnsi="Arial"/>
                <w:sz w:val="17"/>
                <w:szCs w:val="17"/>
                <w:color w:val="auto"/>
              </w:rPr>
              <w:t>2,931,250</w:t>
            </w:r>
          </w:p>
        </w:tc>
        <w:tc>
          <w:tcPr>
            <w:tcW w:w="1660" w:type="dxa"/>
            <w:vAlign w:val="bottom"/>
            <w:tcBorders>
              <w:bottom w:val="single" w:sz="8" w:color="B2B2B2"/>
              <w:right w:val="single" w:sz="8" w:color="B2B2B2"/>
            </w:tcBorders>
          </w:tcPr>
          <w:p>
            <w:pPr>
              <w:jc w:val="center"/>
              <w:ind w:left="37"/>
              <w:spacing w:after="0" w:line="246" w:lineRule="exact"/>
              <w:rPr>
                <w:sz w:val="20"/>
                <w:szCs w:val="20"/>
                <w:color w:val="auto"/>
              </w:rPr>
            </w:pPr>
            <w:r>
              <w:rPr>
                <w:rFonts w:ascii="Arial" w:cs="Arial" w:eastAsia="Arial" w:hAnsi="Arial"/>
                <w:sz w:val="17"/>
                <w:szCs w:val="17"/>
                <w:color w:val="auto"/>
                <w:w w:val="91"/>
              </w:rPr>
              <w:t>1,157</w:t>
            </w:r>
            <w:r>
              <w:rPr>
                <w:rFonts w:ascii="Arial" w:cs="Arial" w:eastAsia="Arial" w:hAnsi="Arial"/>
                <w:sz w:val="25"/>
                <w:szCs w:val="25"/>
                <w:color w:val="auto"/>
                <w:w w:val="91"/>
                <w:vertAlign w:val="superscript"/>
              </w:rPr>
              <w:t>(22)</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280,087</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bottom w:val="single" w:sz="8" w:color="B2B2B2"/>
              <w:right w:val="single" w:sz="8" w:color="B2B2B2"/>
            </w:tcBorders>
          </w:tcPr>
          <w:p>
            <w:pPr>
              <w:spacing w:after="0"/>
              <w:rPr>
                <w:sz w:val="20"/>
                <w:szCs w:val="20"/>
                <w:color w:val="auto"/>
              </w:rPr>
            </w:pPr>
          </w:p>
        </w:tc>
        <w:tc>
          <w:tcPr>
            <w:tcW w:w="1560" w:type="dxa"/>
            <w:vAlign w:val="bottom"/>
            <w:tcBorders>
              <w:bottom w:val="single" w:sz="8" w:color="B2B2B2"/>
              <w:right w:val="single" w:sz="8" w:color="B2B2B2"/>
            </w:tcBorders>
          </w:tcPr>
          <w:p>
            <w:pPr>
              <w:spacing w:after="0"/>
              <w:rPr>
                <w:sz w:val="20"/>
                <w:szCs w:val="20"/>
                <w:color w:val="auto"/>
              </w:rPr>
            </w:pPr>
          </w:p>
        </w:tc>
        <w:tc>
          <w:tcPr>
            <w:tcW w:w="1660" w:type="dxa"/>
            <w:vAlign w:val="bottom"/>
            <w:tcBorders>
              <w:bottom w:val="single" w:sz="8" w:color="B2B2B2"/>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87"/>
              </w:rPr>
              <w:t>   819</w:t>
            </w:r>
            <w:r>
              <w:rPr>
                <w:rFonts w:ascii="Arial" w:cs="Arial" w:eastAsia="Arial" w:hAnsi="Arial"/>
                <w:sz w:val="25"/>
                <w:szCs w:val="25"/>
                <w:color w:val="auto"/>
                <w:w w:val="87"/>
                <w:vertAlign w:val="superscript"/>
              </w:rPr>
              <w:t>(23)</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198,264</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bottom w:val="single" w:sz="8" w:color="B2B2B2"/>
              <w:right w:val="single" w:sz="8" w:color="B2B2B2"/>
            </w:tcBorders>
          </w:tcPr>
          <w:p>
            <w:pPr>
              <w:spacing w:after="0"/>
              <w:rPr>
                <w:sz w:val="20"/>
                <w:szCs w:val="20"/>
                <w:color w:val="auto"/>
              </w:rPr>
            </w:pPr>
          </w:p>
        </w:tc>
        <w:tc>
          <w:tcPr>
            <w:tcW w:w="1560" w:type="dxa"/>
            <w:vAlign w:val="bottom"/>
            <w:tcBorders>
              <w:bottom w:val="single" w:sz="8" w:color="B2B2B2"/>
              <w:right w:val="single" w:sz="8" w:color="B2B2B2"/>
            </w:tcBorders>
          </w:tcPr>
          <w:p>
            <w:pPr>
              <w:spacing w:after="0"/>
              <w:rPr>
                <w:sz w:val="20"/>
                <w:szCs w:val="20"/>
                <w:color w:val="auto"/>
              </w:rPr>
            </w:pPr>
          </w:p>
        </w:tc>
        <w:tc>
          <w:tcPr>
            <w:tcW w:w="1660" w:type="dxa"/>
            <w:vAlign w:val="bottom"/>
            <w:tcBorders>
              <w:bottom w:val="single" w:sz="8" w:color="B2B2B2"/>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87"/>
              </w:rPr>
              <w:t>   846</w:t>
            </w:r>
            <w:r>
              <w:rPr>
                <w:rFonts w:ascii="Arial" w:cs="Arial" w:eastAsia="Arial" w:hAnsi="Arial"/>
                <w:sz w:val="25"/>
                <w:szCs w:val="25"/>
                <w:color w:val="auto"/>
                <w:w w:val="87"/>
                <w:vertAlign w:val="superscript"/>
              </w:rPr>
              <w:t>(24)</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204,800</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bottom w:val="single" w:sz="8" w:color="B2B2B2"/>
              <w:right w:val="single" w:sz="8" w:color="B2B2B2"/>
            </w:tcBorders>
          </w:tcPr>
          <w:p>
            <w:pPr>
              <w:spacing w:after="0"/>
              <w:rPr>
                <w:sz w:val="20"/>
                <w:szCs w:val="20"/>
                <w:color w:val="auto"/>
              </w:rPr>
            </w:pPr>
          </w:p>
        </w:tc>
        <w:tc>
          <w:tcPr>
            <w:tcW w:w="1560" w:type="dxa"/>
            <w:vAlign w:val="bottom"/>
            <w:tcBorders>
              <w:bottom w:val="single" w:sz="8" w:color="B2B2B2"/>
              <w:right w:val="single" w:sz="8" w:color="B2B2B2"/>
            </w:tcBorders>
          </w:tcPr>
          <w:p>
            <w:pPr>
              <w:spacing w:after="0"/>
              <w:rPr>
                <w:sz w:val="20"/>
                <w:szCs w:val="20"/>
                <w:color w:val="auto"/>
              </w:rPr>
            </w:pPr>
          </w:p>
        </w:tc>
        <w:tc>
          <w:tcPr>
            <w:tcW w:w="1660" w:type="dxa"/>
            <w:vAlign w:val="bottom"/>
            <w:tcBorders>
              <w:bottom w:val="single" w:sz="8" w:color="B2B2B2"/>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91"/>
              </w:rPr>
              <w:t>1,376</w:t>
            </w:r>
            <w:r>
              <w:rPr>
                <w:rFonts w:ascii="Arial" w:cs="Arial" w:eastAsia="Arial" w:hAnsi="Arial"/>
                <w:sz w:val="25"/>
                <w:szCs w:val="25"/>
                <w:color w:val="auto"/>
                <w:w w:val="91"/>
                <w:vertAlign w:val="superscript"/>
              </w:rPr>
              <w:t>(25)</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333,130</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right w:val="single" w:sz="8" w:color="B2B2B2"/>
            </w:tcBorders>
          </w:tcPr>
          <w:p>
            <w:pPr>
              <w:spacing w:after="0"/>
              <w:rPr>
                <w:sz w:val="20"/>
                <w:szCs w:val="20"/>
                <w:color w:val="auto"/>
              </w:rPr>
            </w:pPr>
          </w:p>
        </w:tc>
        <w:tc>
          <w:tcPr>
            <w:tcW w:w="1560" w:type="dxa"/>
            <w:vAlign w:val="bottom"/>
            <w:tcBorders>
              <w:right w:val="single" w:sz="8" w:color="B2B2B2"/>
            </w:tcBorders>
          </w:tcPr>
          <w:p>
            <w:pPr>
              <w:spacing w:after="0"/>
              <w:rPr>
                <w:sz w:val="20"/>
                <w:szCs w:val="20"/>
                <w:color w:val="auto"/>
              </w:rPr>
            </w:pPr>
          </w:p>
        </w:tc>
        <w:tc>
          <w:tcPr>
            <w:tcW w:w="1660" w:type="dxa"/>
            <w:vAlign w:val="bottom"/>
            <w:tcBorders>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87"/>
              </w:rPr>
              <w:t>   202</w:t>
            </w:r>
            <w:r>
              <w:rPr>
                <w:rFonts w:ascii="Arial" w:cs="Arial" w:eastAsia="Arial" w:hAnsi="Arial"/>
                <w:sz w:val="25"/>
                <w:szCs w:val="25"/>
                <w:color w:val="auto"/>
                <w:w w:val="87"/>
                <w:vertAlign w:val="superscript"/>
              </w:rPr>
              <w:t>(26)</w:t>
            </w:r>
          </w:p>
        </w:tc>
        <w:tc>
          <w:tcPr>
            <w:tcW w:w="1540" w:type="dxa"/>
            <w:vAlign w:val="bottom"/>
          </w:tcPr>
          <w:p>
            <w:pPr>
              <w:jc w:val="right"/>
              <w:ind w:right="96"/>
              <w:spacing w:after="0"/>
              <w:rPr>
                <w:sz w:val="20"/>
                <w:szCs w:val="20"/>
                <w:color w:val="auto"/>
              </w:rPr>
            </w:pPr>
            <w:r>
              <w:rPr>
                <w:rFonts w:ascii="Arial" w:cs="Arial" w:eastAsia="Arial" w:hAnsi="Arial"/>
                <w:sz w:val="17"/>
                <w:szCs w:val="17"/>
                <w:color w:val="auto"/>
              </w:rPr>
              <w:t>48,743</w:t>
            </w:r>
          </w:p>
        </w:tc>
      </w:tr>
      <w:tr>
        <w:trPr>
          <w:trHeight w:val="246"/>
        </w:trPr>
        <w:tc>
          <w:tcPr>
            <w:tcW w:w="4200" w:type="dxa"/>
            <w:vAlign w:val="bottom"/>
            <w:tcBorders>
              <w:right w:val="single" w:sz="8" w:color="E2EEFA"/>
            </w:tcBorders>
            <w:shd w:val="clear" w:color="auto" w:fill="E2EEFA"/>
          </w:tcPr>
          <w:p>
            <w:pPr>
              <w:spacing w:after="0"/>
              <w:rPr>
                <w:sz w:val="20"/>
                <w:szCs w:val="20"/>
                <w:color w:val="auto"/>
              </w:rPr>
            </w:pPr>
            <w:r>
              <w:rPr>
                <w:rFonts w:ascii="Arial" w:cs="Arial" w:eastAsia="Arial" w:hAnsi="Arial"/>
                <w:sz w:val="17"/>
                <w:szCs w:val="17"/>
                <w:color w:val="auto"/>
              </w:rPr>
              <w:t>  Cary L. Majors</w:t>
            </w:r>
          </w:p>
        </w:tc>
        <w:tc>
          <w:tcPr>
            <w:tcW w:w="1600" w:type="dxa"/>
            <w:vAlign w:val="bottom"/>
            <w:tcBorders>
              <w:right w:val="single" w:sz="8" w:color="E2EEFA"/>
            </w:tcBorders>
            <w:shd w:val="clear" w:color="auto" w:fill="E2EEFA"/>
          </w:tcPr>
          <w:p>
            <w:pPr>
              <w:spacing w:after="0"/>
              <w:rPr>
                <w:sz w:val="21"/>
                <w:szCs w:val="21"/>
                <w:color w:val="auto"/>
              </w:rPr>
            </w:pPr>
          </w:p>
        </w:tc>
        <w:tc>
          <w:tcPr>
            <w:tcW w:w="1560" w:type="dxa"/>
            <w:vAlign w:val="bottom"/>
            <w:tcBorders>
              <w:right w:val="single" w:sz="8" w:color="E2EEFA"/>
            </w:tcBorders>
            <w:shd w:val="clear" w:color="auto" w:fill="E2EEFA"/>
          </w:tcPr>
          <w:p>
            <w:pPr>
              <w:spacing w:after="0"/>
              <w:rPr>
                <w:sz w:val="21"/>
                <w:szCs w:val="21"/>
                <w:color w:val="auto"/>
              </w:rPr>
            </w:pPr>
          </w:p>
        </w:tc>
        <w:tc>
          <w:tcPr>
            <w:tcW w:w="1660" w:type="dxa"/>
            <w:vAlign w:val="bottom"/>
            <w:tcBorders>
              <w:right w:val="single" w:sz="8" w:color="E2EEFA"/>
            </w:tcBorders>
            <w:shd w:val="clear" w:color="auto" w:fill="E2EEFA"/>
          </w:tcPr>
          <w:p>
            <w:pPr>
              <w:spacing w:after="0"/>
              <w:rPr>
                <w:sz w:val="21"/>
                <w:szCs w:val="21"/>
                <w:color w:val="auto"/>
              </w:rPr>
            </w:pPr>
          </w:p>
        </w:tc>
        <w:tc>
          <w:tcPr>
            <w:tcW w:w="1540" w:type="dxa"/>
            <w:vAlign w:val="bottom"/>
            <w:shd w:val="clear" w:color="auto" w:fill="E2EEFA"/>
          </w:tcPr>
          <w:p>
            <w:pPr>
              <w:spacing w:after="0"/>
              <w:rPr>
                <w:sz w:val="21"/>
                <w:szCs w:val="21"/>
                <w:color w:val="auto"/>
              </w:rPr>
            </w:pPr>
          </w:p>
        </w:tc>
      </w:tr>
      <w:tr>
        <w:trPr>
          <w:trHeight w:val="246"/>
        </w:trPr>
        <w:tc>
          <w:tcPr>
            <w:tcW w:w="4200" w:type="dxa"/>
            <w:vAlign w:val="bottom"/>
            <w:tcBorders>
              <w:right w:val="single" w:sz="8" w:color="B2B2B2"/>
            </w:tcBorders>
          </w:tcPr>
          <w:p>
            <w:pPr>
              <w:spacing w:after="0"/>
              <w:rPr>
                <w:sz w:val="21"/>
                <w:szCs w:val="21"/>
                <w:color w:val="auto"/>
              </w:rPr>
            </w:pPr>
          </w:p>
        </w:tc>
        <w:tc>
          <w:tcPr>
            <w:tcW w:w="1600" w:type="dxa"/>
            <w:vAlign w:val="bottom"/>
            <w:tcBorders>
              <w:bottom w:val="single" w:sz="8" w:color="B2B2B2"/>
              <w:right w:val="single" w:sz="8" w:color="B2B2B2"/>
            </w:tcBorders>
          </w:tcPr>
          <w:p>
            <w:pPr>
              <w:jc w:val="center"/>
              <w:spacing w:after="0" w:line="246" w:lineRule="exact"/>
              <w:rPr>
                <w:sz w:val="20"/>
                <w:szCs w:val="20"/>
                <w:color w:val="auto"/>
              </w:rPr>
            </w:pPr>
            <w:r>
              <w:rPr>
                <w:rFonts w:ascii="Arial" w:cs="Arial" w:eastAsia="Arial" w:hAnsi="Arial"/>
                <w:sz w:val="17"/>
                <w:szCs w:val="17"/>
                <w:color w:val="auto"/>
                <w:w w:val="93"/>
              </w:rPr>
              <w:t>12,828</w:t>
            </w:r>
            <w:r>
              <w:rPr>
                <w:rFonts w:ascii="Arial" w:cs="Arial" w:eastAsia="Arial" w:hAnsi="Arial"/>
                <w:sz w:val="25"/>
                <w:szCs w:val="25"/>
                <w:color w:val="auto"/>
                <w:w w:val="93"/>
                <w:vertAlign w:val="superscript"/>
              </w:rPr>
              <w:t>(27)</w:t>
            </w:r>
          </w:p>
        </w:tc>
        <w:tc>
          <w:tcPr>
            <w:tcW w:w="1560" w:type="dxa"/>
            <w:vAlign w:val="bottom"/>
            <w:tcBorders>
              <w:bottom w:val="single" w:sz="8" w:color="B2B2B2"/>
              <w:right w:val="single" w:sz="8" w:color="B2B2B2"/>
            </w:tcBorders>
          </w:tcPr>
          <w:p>
            <w:pPr>
              <w:jc w:val="right"/>
              <w:ind w:right="299"/>
              <w:spacing w:after="0"/>
              <w:rPr>
                <w:sz w:val="20"/>
                <w:szCs w:val="20"/>
                <w:color w:val="auto"/>
              </w:rPr>
            </w:pPr>
            <w:r>
              <w:rPr>
                <w:rFonts w:ascii="Arial" w:cs="Arial" w:eastAsia="Arial" w:hAnsi="Arial"/>
                <w:sz w:val="17"/>
                <w:szCs w:val="17"/>
                <w:color w:val="auto"/>
              </w:rPr>
              <w:t>1,321,696</w:t>
            </w:r>
          </w:p>
        </w:tc>
        <w:tc>
          <w:tcPr>
            <w:tcW w:w="1660" w:type="dxa"/>
            <w:vAlign w:val="bottom"/>
            <w:tcBorders>
              <w:bottom w:val="single" w:sz="8" w:color="B2B2B2"/>
              <w:right w:val="single" w:sz="8" w:color="B2B2B2"/>
            </w:tcBorders>
          </w:tcPr>
          <w:p>
            <w:pPr>
              <w:jc w:val="center"/>
              <w:ind w:left="37"/>
              <w:spacing w:after="0" w:line="246" w:lineRule="exact"/>
              <w:rPr>
                <w:sz w:val="20"/>
                <w:szCs w:val="20"/>
                <w:color w:val="auto"/>
              </w:rPr>
            </w:pPr>
            <w:r>
              <w:rPr>
                <w:rFonts w:ascii="Arial" w:cs="Arial" w:eastAsia="Arial" w:hAnsi="Arial"/>
                <w:sz w:val="17"/>
                <w:szCs w:val="17"/>
                <w:color w:val="auto"/>
                <w:w w:val="91"/>
              </w:rPr>
              <w:t>1,964</w:t>
            </w:r>
            <w:r>
              <w:rPr>
                <w:rFonts w:ascii="Arial" w:cs="Arial" w:eastAsia="Arial" w:hAnsi="Arial"/>
                <w:sz w:val="25"/>
                <w:szCs w:val="25"/>
                <w:color w:val="auto"/>
                <w:w w:val="91"/>
                <w:vertAlign w:val="superscript"/>
              </w:rPr>
              <w:t>(28)</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575,182</w:t>
            </w:r>
          </w:p>
        </w:tc>
      </w:tr>
      <w:tr>
        <w:trPr>
          <w:trHeight w:val="239"/>
        </w:trPr>
        <w:tc>
          <w:tcPr>
            <w:tcW w:w="4200" w:type="dxa"/>
            <w:vAlign w:val="bottom"/>
            <w:tcBorders>
              <w:right w:val="single" w:sz="8" w:color="B2B2B2"/>
            </w:tcBorders>
          </w:tcPr>
          <w:p>
            <w:pPr>
              <w:spacing w:after="0"/>
              <w:rPr>
                <w:sz w:val="20"/>
                <w:szCs w:val="20"/>
                <w:color w:val="auto"/>
              </w:rPr>
            </w:pPr>
          </w:p>
        </w:tc>
        <w:tc>
          <w:tcPr>
            <w:tcW w:w="1600" w:type="dxa"/>
            <w:vAlign w:val="bottom"/>
            <w:tcBorders>
              <w:right w:val="single" w:sz="8" w:color="B2B2B2"/>
            </w:tcBorders>
          </w:tcPr>
          <w:p>
            <w:pPr>
              <w:spacing w:after="0"/>
              <w:rPr>
                <w:sz w:val="20"/>
                <w:szCs w:val="20"/>
                <w:color w:val="auto"/>
              </w:rPr>
            </w:pPr>
          </w:p>
        </w:tc>
        <w:tc>
          <w:tcPr>
            <w:tcW w:w="1560" w:type="dxa"/>
            <w:vAlign w:val="bottom"/>
            <w:tcBorders>
              <w:right w:val="single" w:sz="8" w:color="B2B2B2"/>
            </w:tcBorders>
          </w:tcPr>
          <w:p>
            <w:pPr>
              <w:spacing w:after="0"/>
              <w:rPr>
                <w:sz w:val="20"/>
                <w:szCs w:val="20"/>
                <w:color w:val="auto"/>
              </w:rPr>
            </w:pPr>
          </w:p>
        </w:tc>
        <w:tc>
          <w:tcPr>
            <w:tcW w:w="1660" w:type="dxa"/>
            <w:vAlign w:val="bottom"/>
            <w:tcBorders>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87"/>
              </w:rPr>
              <w:t>   692</w:t>
            </w:r>
            <w:r>
              <w:rPr>
                <w:rFonts w:ascii="Arial" w:cs="Arial" w:eastAsia="Arial" w:hAnsi="Arial"/>
                <w:sz w:val="25"/>
                <w:szCs w:val="25"/>
                <w:color w:val="auto"/>
                <w:w w:val="87"/>
                <w:vertAlign w:val="superscript"/>
              </w:rPr>
              <w:t>(29)</w:t>
            </w:r>
          </w:p>
        </w:tc>
        <w:tc>
          <w:tcPr>
            <w:tcW w:w="1540" w:type="dxa"/>
            <w:vAlign w:val="bottom"/>
          </w:tcPr>
          <w:p>
            <w:pPr>
              <w:jc w:val="right"/>
              <w:ind w:right="96"/>
              <w:spacing w:after="0"/>
              <w:rPr>
                <w:sz w:val="20"/>
                <w:szCs w:val="20"/>
                <w:color w:val="auto"/>
              </w:rPr>
            </w:pPr>
            <w:r>
              <w:rPr>
                <w:rFonts w:ascii="Arial" w:cs="Arial" w:eastAsia="Arial" w:hAnsi="Arial"/>
                <w:sz w:val="17"/>
                <w:szCs w:val="17"/>
                <w:color w:val="auto"/>
              </w:rPr>
              <w:t>166,980</w:t>
            </w:r>
          </w:p>
        </w:tc>
      </w:tr>
      <w:tr>
        <w:trPr>
          <w:trHeight w:val="246"/>
        </w:trPr>
        <w:tc>
          <w:tcPr>
            <w:tcW w:w="4200" w:type="dxa"/>
            <w:vAlign w:val="bottom"/>
            <w:tcBorders>
              <w:right w:val="single" w:sz="8" w:color="E2EEFA"/>
            </w:tcBorders>
            <w:shd w:val="clear" w:color="auto" w:fill="E2EEFA"/>
          </w:tcPr>
          <w:p>
            <w:pPr>
              <w:spacing w:after="0"/>
              <w:rPr>
                <w:sz w:val="20"/>
                <w:szCs w:val="20"/>
                <w:color w:val="auto"/>
              </w:rPr>
            </w:pPr>
            <w:r>
              <w:rPr>
                <w:rFonts w:ascii="Arial" w:cs="Arial" w:eastAsia="Arial" w:hAnsi="Arial"/>
                <w:sz w:val="17"/>
                <w:szCs w:val="17"/>
                <w:color w:val="auto"/>
              </w:rPr>
              <w:t>  Mary Clare Fraser</w:t>
            </w:r>
          </w:p>
        </w:tc>
        <w:tc>
          <w:tcPr>
            <w:tcW w:w="1600" w:type="dxa"/>
            <w:vAlign w:val="bottom"/>
            <w:tcBorders>
              <w:right w:val="single" w:sz="8" w:color="E2EEFA"/>
            </w:tcBorders>
            <w:shd w:val="clear" w:color="auto" w:fill="E2EEFA"/>
          </w:tcPr>
          <w:p>
            <w:pPr>
              <w:spacing w:after="0"/>
              <w:rPr>
                <w:sz w:val="21"/>
                <w:szCs w:val="21"/>
                <w:color w:val="auto"/>
              </w:rPr>
            </w:pPr>
          </w:p>
        </w:tc>
        <w:tc>
          <w:tcPr>
            <w:tcW w:w="1560" w:type="dxa"/>
            <w:vAlign w:val="bottom"/>
            <w:tcBorders>
              <w:right w:val="single" w:sz="8" w:color="E2EEFA"/>
            </w:tcBorders>
            <w:shd w:val="clear" w:color="auto" w:fill="E2EEFA"/>
          </w:tcPr>
          <w:p>
            <w:pPr>
              <w:spacing w:after="0"/>
              <w:rPr>
                <w:sz w:val="21"/>
                <w:szCs w:val="21"/>
                <w:color w:val="auto"/>
              </w:rPr>
            </w:pPr>
          </w:p>
        </w:tc>
        <w:tc>
          <w:tcPr>
            <w:tcW w:w="1660" w:type="dxa"/>
            <w:vAlign w:val="bottom"/>
            <w:tcBorders>
              <w:right w:val="single" w:sz="8" w:color="E2EEFA"/>
            </w:tcBorders>
            <w:shd w:val="clear" w:color="auto" w:fill="E2EEFA"/>
          </w:tcPr>
          <w:p>
            <w:pPr>
              <w:spacing w:after="0"/>
              <w:rPr>
                <w:sz w:val="21"/>
                <w:szCs w:val="21"/>
                <w:color w:val="auto"/>
              </w:rPr>
            </w:pPr>
          </w:p>
        </w:tc>
        <w:tc>
          <w:tcPr>
            <w:tcW w:w="1540" w:type="dxa"/>
            <w:vAlign w:val="bottom"/>
            <w:shd w:val="clear" w:color="auto" w:fill="E2EEFA"/>
          </w:tcPr>
          <w:p>
            <w:pPr>
              <w:spacing w:after="0"/>
              <w:rPr>
                <w:sz w:val="21"/>
                <w:szCs w:val="21"/>
                <w:color w:val="auto"/>
              </w:rPr>
            </w:pPr>
          </w:p>
        </w:tc>
      </w:tr>
      <w:tr>
        <w:trPr>
          <w:trHeight w:val="246"/>
        </w:trPr>
        <w:tc>
          <w:tcPr>
            <w:tcW w:w="4200" w:type="dxa"/>
            <w:vAlign w:val="bottom"/>
            <w:tcBorders>
              <w:right w:val="single" w:sz="8" w:color="B2B2B2"/>
            </w:tcBorders>
          </w:tcPr>
          <w:p>
            <w:pPr>
              <w:spacing w:after="0"/>
              <w:rPr>
                <w:sz w:val="21"/>
                <w:szCs w:val="21"/>
                <w:color w:val="auto"/>
              </w:rPr>
            </w:pPr>
          </w:p>
        </w:tc>
        <w:tc>
          <w:tcPr>
            <w:tcW w:w="1600" w:type="dxa"/>
            <w:vAlign w:val="bottom"/>
            <w:tcBorders>
              <w:bottom w:val="single" w:sz="8" w:color="B2B2B2"/>
              <w:right w:val="single" w:sz="8" w:color="B2B2B2"/>
            </w:tcBorders>
          </w:tcPr>
          <w:p>
            <w:pPr>
              <w:spacing w:after="0"/>
              <w:rPr>
                <w:sz w:val="21"/>
                <w:szCs w:val="21"/>
                <w:color w:val="auto"/>
              </w:rPr>
            </w:pPr>
          </w:p>
        </w:tc>
        <w:tc>
          <w:tcPr>
            <w:tcW w:w="1560" w:type="dxa"/>
            <w:vAlign w:val="bottom"/>
            <w:tcBorders>
              <w:bottom w:val="single" w:sz="8" w:color="B2B2B2"/>
              <w:right w:val="single" w:sz="8" w:color="B2B2B2"/>
            </w:tcBorders>
          </w:tcPr>
          <w:p>
            <w:pPr>
              <w:spacing w:after="0"/>
              <w:rPr>
                <w:sz w:val="21"/>
                <w:szCs w:val="21"/>
                <w:color w:val="auto"/>
              </w:rPr>
            </w:pPr>
          </w:p>
        </w:tc>
        <w:tc>
          <w:tcPr>
            <w:tcW w:w="1660" w:type="dxa"/>
            <w:vAlign w:val="bottom"/>
            <w:tcBorders>
              <w:bottom w:val="single" w:sz="8" w:color="B2B2B2"/>
              <w:right w:val="single" w:sz="8" w:color="B2B2B2"/>
            </w:tcBorders>
          </w:tcPr>
          <w:p>
            <w:pPr>
              <w:jc w:val="center"/>
              <w:ind w:left="37"/>
              <w:spacing w:after="0" w:line="246" w:lineRule="exact"/>
              <w:rPr>
                <w:sz w:val="20"/>
                <w:szCs w:val="20"/>
                <w:color w:val="auto"/>
              </w:rPr>
            </w:pPr>
            <w:r>
              <w:rPr>
                <w:rFonts w:ascii="Arial" w:cs="Arial" w:eastAsia="Arial" w:hAnsi="Arial"/>
                <w:sz w:val="17"/>
                <w:szCs w:val="17"/>
                <w:color w:val="auto"/>
                <w:w w:val="91"/>
              </w:rPr>
              <w:t>1,836</w:t>
            </w:r>
            <w:r>
              <w:rPr>
                <w:rFonts w:ascii="Arial" w:cs="Arial" w:eastAsia="Arial" w:hAnsi="Arial"/>
                <w:sz w:val="25"/>
                <w:szCs w:val="25"/>
                <w:color w:val="auto"/>
                <w:w w:val="91"/>
                <w:vertAlign w:val="superscript"/>
              </w:rPr>
              <w:t>(30)</w:t>
            </w:r>
          </w:p>
        </w:tc>
        <w:tc>
          <w:tcPr>
            <w:tcW w:w="1540" w:type="dxa"/>
            <w:vAlign w:val="bottom"/>
            <w:tcBorders>
              <w:bottom w:val="single" w:sz="8" w:color="B2B2B2"/>
            </w:tcBorders>
          </w:tcPr>
          <w:p>
            <w:pPr>
              <w:jc w:val="right"/>
              <w:ind w:right="96"/>
              <w:spacing w:after="0"/>
              <w:rPr>
                <w:sz w:val="20"/>
                <w:szCs w:val="20"/>
                <w:color w:val="auto"/>
              </w:rPr>
            </w:pPr>
            <w:r>
              <w:rPr>
                <w:rFonts w:ascii="Arial" w:cs="Arial" w:eastAsia="Arial" w:hAnsi="Arial"/>
                <w:sz w:val="17"/>
                <w:szCs w:val="17"/>
                <w:color w:val="auto"/>
              </w:rPr>
              <w:t>191,485</w:t>
            </w:r>
          </w:p>
        </w:tc>
      </w:tr>
      <w:tr>
        <w:trPr>
          <w:trHeight w:val="239"/>
        </w:trPr>
        <w:tc>
          <w:tcPr>
            <w:tcW w:w="4200" w:type="dxa"/>
            <w:vAlign w:val="bottom"/>
            <w:tcBorders>
              <w:bottom w:val="single" w:sz="8" w:color="3E8EDE"/>
              <w:right w:val="single" w:sz="8" w:color="B2B2B2"/>
            </w:tcBorders>
          </w:tcPr>
          <w:p>
            <w:pPr>
              <w:spacing w:after="0"/>
              <w:rPr>
                <w:sz w:val="20"/>
                <w:szCs w:val="20"/>
                <w:color w:val="auto"/>
              </w:rPr>
            </w:pPr>
          </w:p>
        </w:tc>
        <w:tc>
          <w:tcPr>
            <w:tcW w:w="1600" w:type="dxa"/>
            <w:vAlign w:val="bottom"/>
            <w:tcBorders>
              <w:bottom w:val="single" w:sz="8" w:color="3E8EDE"/>
              <w:right w:val="single" w:sz="8" w:color="B2B2B2"/>
            </w:tcBorders>
          </w:tcPr>
          <w:p>
            <w:pPr>
              <w:spacing w:after="0"/>
              <w:rPr>
                <w:sz w:val="20"/>
                <w:szCs w:val="20"/>
                <w:color w:val="auto"/>
              </w:rPr>
            </w:pPr>
          </w:p>
        </w:tc>
        <w:tc>
          <w:tcPr>
            <w:tcW w:w="1560" w:type="dxa"/>
            <w:vAlign w:val="bottom"/>
            <w:tcBorders>
              <w:bottom w:val="single" w:sz="8" w:color="3E8EDE"/>
              <w:right w:val="single" w:sz="8" w:color="B2B2B2"/>
            </w:tcBorders>
          </w:tcPr>
          <w:p>
            <w:pPr>
              <w:spacing w:after="0"/>
              <w:rPr>
                <w:sz w:val="20"/>
                <w:szCs w:val="20"/>
                <w:color w:val="auto"/>
              </w:rPr>
            </w:pPr>
          </w:p>
        </w:tc>
        <w:tc>
          <w:tcPr>
            <w:tcW w:w="1660" w:type="dxa"/>
            <w:vAlign w:val="bottom"/>
            <w:tcBorders>
              <w:bottom w:val="single" w:sz="8" w:color="3E8EDE"/>
              <w:right w:val="single" w:sz="8" w:color="B2B2B2"/>
            </w:tcBorders>
          </w:tcPr>
          <w:p>
            <w:pPr>
              <w:jc w:val="center"/>
              <w:ind w:left="37"/>
              <w:spacing w:after="0" w:line="239" w:lineRule="exact"/>
              <w:rPr>
                <w:sz w:val="20"/>
                <w:szCs w:val="20"/>
                <w:color w:val="auto"/>
              </w:rPr>
            </w:pPr>
            <w:r>
              <w:rPr>
                <w:rFonts w:ascii="Arial" w:cs="Arial" w:eastAsia="Arial" w:hAnsi="Arial"/>
                <w:sz w:val="17"/>
                <w:szCs w:val="17"/>
                <w:color w:val="auto"/>
                <w:w w:val="87"/>
              </w:rPr>
              <w:t>   692</w:t>
            </w:r>
            <w:r>
              <w:rPr>
                <w:rFonts w:ascii="Arial" w:cs="Arial" w:eastAsia="Arial" w:hAnsi="Arial"/>
                <w:sz w:val="25"/>
                <w:szCs w:val="25"/>
                <w:color w:val="auto"/>
                <w:w w:val="87"/>
                <w:vertAlign w:val="superscript"/>
              </w:rPr>
              <w:t>(31)</w:t>
            </w:r>
          </w:p>
        </w:tc>
        <w:tc>
          <w:tcPr>
            <w:tcW w:w="1540" w:type="dxa"/>
            <w:vAlign w:val="bottom"/>
            <w:tcBorders>
              <w:bottom w:val="single" w:sz="8" w:color="3E8EDE"/>
            </w:tcBorders>
          </w:tcPr>
          <w:p>
            <w:pPr>
              <w:jc w:val="right"/>
              <w:ind w:right="96"/>
              <w:spacing w:after="0"/>
              <w:rPr>
                <w:sz w:val="20"/>
                <w:szCs w:val="20"/>
                <w:color w:val="auto"/>
              </w:rPr>
            </w:pPr>
            <w:r>
              <w:rPr>
                <w:rFonts w:ascii="Arial" w:cs="Arial" w:eastAsia="Arial" w:hAnsi="Arial"/>
                <w:sz w:val="17"/>
                <w:szCs w:val="17"/>
                <w:color w:val="auto"/>
              </w:rPr>
              <w:t>166,980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-5492750</wp:posOffset>
            </wp:positionV>
            <wp:extent cx="6710045" cy="6496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10045" cy="649605"/>
                    </a:xfrm>
                    <a:prstGeom prst="rect">
                      <a:avLst/>
                    </a:prstGeom>
                    <a:noFill/>
                  </pic:spPr>
                </pic:pic>
              </a:graphicData>
            </a:graphic>
          </wp:anchor>
        </w:drawing>
      </w:r>
    </w:p>
    <w:p>
      <w:pPr>
        <w:spacing w:after="0" w:line="89" w:lineRule="exact"/>
        <w:rPr>
          <w:sz w:val="20"/>
          <w:szCs w:val="20"/>
          <w:color w:val="auto"/>
        </w:rPr>
      </w:pPr>
    </w:p>
    <w:p>
      <w:pPr>
        <w:ind w:left="760" w:right="80" w:hanging="420"/>
        <w:spacing w:after="0" w:line="261" w:lineRule="auto"/>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Value realized on exercise equal to the difference between the market price (sale price on exercise date or closing price on exercise date, as applicable) of the option shares at exercise and the option exercise price, times the number of option shares being exercised.</w:t>
      </w:r>
    </w:p>
    <w:p>
      <w:pPr>
        <w:spacing w:after="0" w:line="77" w:lineRule="exact"/>
        <w:rPr>
          <w:rFonts w:ascii="Arial" w:cs="Arial" w:eastAsia="Arial" w:hAnsi="Arial"/>
          <w:sz w:val="14"/>
          <w:szCs w:val="14"/>
          <w:color w:val="auto"/>
        </w:rPr>
      </w:pPr>
    </w:p>
    <w:p>
      <w:pPr>
        <w:ind w:left="760" w:hanging="420"/>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Value realized based on the closing price of the shares on the date of vesting multiplied by the number of shares that vested on that date.</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1,905 shares were withheld to cover the required tax withholding due on the vesting of the 4,308 restricted shares. These shares vested on June 2,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452 shares were withheld to cover the required tax withholding due on the vesting of the 1,514 restricted shares. These shares vested on June 2,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708 shares were withheld to cover the required tax withholding due on the vesting of the 2,369 restricted shares. These shares vested on June 2, 2025.</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71</w:t>
      </w:r>
    </w:p>
    <w:p>
      <w:pPr>
        <w:sectPr>
          <w:pgSz w:w="11900" w:h="16838" w:orient="portrait"/>
          <w:cols w:equalWidth="0" w:num="1">
            <w:col w:w="10900"/>
          </w:cols>
          <w:pgMar w:left="320" w:top="469" w:right="6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48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Tabular and Other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48" w:lineRule="exact"/>
        <w:rPr>
          <w:sz w:val="20"/>
          <w:szCs w:val="20"/>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1,921 shares were withheld to cover the required tax withholding due on the vesting of the 4,238 restricted shares. These shares vested on June 4,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130 shares were withheld to cover the required tax withholding due on the vesting of the 289 restricted shares. These shares vested on October 1,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7,900 shares were acquired upon the exercise of stock options on August 11,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102 shares were withheld to cover the required tax withholding due on the vesting of the 340 restricted shares. These shares vested on June 2,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59 shares were withheld to cover the required tax withholding due on the vesting of the 196 restricted shares. These shares vested on June 2,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68 shares were withheld to cover the required tax withholding due on the vesting of the 225 restricted shares. These shares vested on June 2,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92 shares were withheld to cover the required tax withholding due on the vesting of the 306 restricted shares. These shares vested on June 4,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39 shares were withheld to cover the required tax withholding due on the vesting of the 86 restricted shares. These shares vested on October 1,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33,628 shares were acquired upon the exercise of stock options on November 17,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386 shares were withheld to cover the required tax withholding due on the vesting of the 1,293 restricted shares. These shares vested on June 2,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14,488 shares were acquired upon the exercise of stock options on November 18, 2025.</w:t>
      </w:r>
    </w:p>
    <w:p>
      <w:pPr>
        <w:spacing w:after="0" w:line="227"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172 shares were withheld to cover the required tax withholding due on the vesting of the 573 restricted shares. These shares vested on June 2,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169 shares were withheld to cover the required tax withholding due on the vesting of the 564 restricted shares. These shares vested on June 2,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341 shares were withheld to cover the required tax withholding due on the vesting of the 1,141 restricted shares. These shares vested on June 4,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65 shares were withheld to cover the required tax withholding due on the vesting of the 144 restricted shares. These shares vested on October 1,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15,000 shares were acquired upon the exercise of stock options on November 11,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346 shares were withheld to cover the required tax withholding on 1,157 restricted shares. These shares vested on June 2,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245 shares were withheld to cover the required tax withholding on 819 restricted shares. These shares vested on June 2,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253 shares were withheld to cover the required tax withholding on 846 restricted shares. These shares vested on June 2,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425 shares were withheld to cover the required tax withholding on 1,376 restricted shares. These shares vested on June 4,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91 shares were withheld to cover the required tax withholding on 202 restricted shares. These shares vested on October 1,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12,828 shares were acquired upon the exercise of stock options on May 20,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564 shares were withheld to cover the required tax withholding on 1,964 restricted shares. These shares vested on June 2,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303 shares were withheld to cover the required tax withholding on 692 restricted shares. These shares vested on October 1,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548 shares were withheld to cover the required tax withholding on 1,836 restricted shares. These shares vested on June 2, 2025.</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207 shares were withheld to cover the required tax withholding on 692 restricted shares. These shares vested on October 1, 2025.</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48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Tabular and Other Executive Compensation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FISCAL 2026 NON-QUALIFIED DEFERRED COMPENSATION TABLE</w:t>
      </w:r>
    </w:p>
    <w:p>
      <w:pPr>
        <w:spacing w:after="0" w:line="92" w:lineRule="exact"/>
        <w:rPr>
          <w:sz w:val="20"/>
          <w:szCs w:val="20"/>
          <w:color w:val="auto"/>
        </w:rPr>
      </w:pPr>
    </w:p>
    <w:p>
      <w:pPr>
        <w:ind w:left="340" w:right="140"/>
        <w:spacing w:after="0" w:line="239" w:lineRule="auto"/>
        <w:rPr>
          <w:sz w:val="20"/>
          <w:szCs w:val="20"/>
          <w:color w:val="auto"/>
        </w:rPr>
      </w:pPr>
      <w:r>
        <w:rPr>
          <w:rFonts w:ascii="Arial" w:cs="Arial" w:eastAsia="Arial" w:hAnsi="Arial"/>
          <w:sz w:val="19"/>
          <w:szCs w:val="19"/>
          <w:color w:val="auto"/>
        </w:rPr>
        <w:t>We maintain a U.S. non-qualified deferred compensation plan, the STERIS Corporation Deferred Compensation Plan, which formerly allowed for the deferral of compensation for an employee-specified term or until retirement or termination. There have been no employee contributions made to this plan since fiscal 2012 and future contributions are not permitted. The following table summarizes the activity in nonqualified deferred compensation for the NEOs in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135255</wp:posOffset>
            </wp:positionV>
            <wp:extent cx="6710045" cy="4521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10045" cy="452120"/>
                    </a:xfrm>
                    <a:prstGeom prst="rect">
                      <a:avLst/>
                    </a:prstGeom>
                    <a:noFill/>
                  </pic:spPr>
                </pic:pic>
              </a:graphicData>
            </a:graphic>
          </wp:anchor>
        </w:drawing>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100" w:type="dxa"/>
            <w:vAlign w:val="bottom"/>
            <w:shd w:val="clear" w:color="auto" w:fill="3E8EDE"/>
          </w:tcPr>
          <w:p>
            <w:pPr>
              <w:spacing w:after="0"/>
              <w:rPr>
                <w:sz w:val="14"/>
                <w:szCs w:val="14"/>
                <w:color w:val="auto"/>
              </w:rPr>
            </w:pPr>
          </w:p>
        </w:tc>
        <w:tc>
          <w:tcPr>
            <w:tcW w:w="2080" w:type="dxa"/>
            <w:vAlign w:val="bottom"/>
            <w:shd w:val="clear" w:color="auto" w:fill="3E8EDE"/>
          </w:tcPr>
          <w:p>
            <w:pPr>
              <w:jc w:val="right"/>
              <w:ind w:right="421"/>
              <w:spacing w:after="0"/>
              <w:rPr>
                <w:sz w:val="20"/>
                <w:szCs w:val="20"/>
                <w:color w:val="auto"/>
              </w:rPr>
            </w:pPr>
            <w:r>
              <w:rPr>
                <w:rFonts w:ascii="Arial" w:cs="Arial" w:eastAsia="Arial" w:hAnsi="Arial"/>
                <w:sz w:val="14"/>
                <w:szCs w:val="14"/>
                <w:b w:val="1"/>
                <w:bCs w:val="1"/>
                <w:color w:val="FFFFFF"/>
              </w:rPr>
              <w:t>Executive</w:t>
            </w:r>
          </w:p>
        </w:tc>
        <w:tc>
          <w:tcPr>
            <w:tcW w:w="1660" w:type="dxa"/>
            <w:vAlign w:val="bottom"/>
            <w:shd w:val="clear" w:color="auto" w:fill="3E8EDE"/>
          </w:tcPr>
          <w:p>
            <w:pPr>
              <w:jc w:val="right"/>
              <w:ind w:right="421"/>
              <w:spacing w:after="0"/>
              <w:rPr>
                <w:sz w:val="20"/>
                <w:szCs w:val="20"/>
                <w:color w:val="auto"/>
              </w:rPr>
            </w:pPr>
            <w:r>
              <w:rPr>
                <w:rFonts w:ascii="Arial" w:cs="Arial" w:eastAsia="Arial" w:hAnsi="Arial"/>
                <w:sz w:val="14"/>
                <w:szCs w:val="14"/>
                <w:b w:val="1"/>
                <w:bCs w:val="1"/>
                <w:color w:val="FFFFFF"/>
              </w:rPr>
              <w:t>Registrant</w:t>
            </w:r>
          </w:p>
        </w:tc>
        <w:tc>
          <w:tcPr>
            <w:tcW w:w="1600" w:type="dxa"/>
            <w:vAlign w:val="bottom"/>
            <w:shd w:val="clear" w:color="auto" w:fill="3E8EDE"/>
          </w:tcPr>
          <w:p>
            <w:pPr>
              <w:jc w:val="center"/>
              <w:spacing w:after="0"/>
              <w:rPr>
                <w:sz w:val="20"/>
                <w:szCs w:val="20"/>
                <w:color w:val="auto"/>
              </w:rPr>
            </w:pPr>
            <w:r>
              <w:rPr>
                <w:rFonts w:ascii="Arial" w:cs="Arial" w:eastAsia="Arial" w:hAnsi="Arial"/>
                <w:sz w:val="14"/>
                <w:szCs w:val="14"/>
                <w:b w:val="1"/>
                <w:bCs w:val="1"/>
                <w:color w:val="FFFFFF"/>
                <w:w w:val="98"/>
              </w:rPr>
              <w:t>Aggregate</w:t>
            </w:r>
          </w:p>
        </w:tc>
        <w:tc>
          <w:tcPr>
            <w:tcW w:w="1440" w:type="dxa"/>
            <w:vAlign w:val="bottom"/>
            <w:shd w:val="clear" w:color="auto" w:fill="3E8EDE"/>
          </w:tcPr>
          <w:p>
            <w:pPr>
              <w:jc w:val="right"/>
              <w:ind w:right="301"/>
              <w:spacing w:after="0"/>
              <w:rPr>
                <w:sz w:val="20"/>
                <w:szCs w:val="20"/>
                <w:color w:val="auto"/>
              </w:rPr>
            </w:pPr>
            <w:r>
              <w:rPr>
                <w:rFonts w:ascii="Arial" w:cs="Arial" w:eastAsia="Arial" w:hAnsi="Arial"/>
                <w:sz w:val="14"/>
                <w:szCs w:val="14"/>
                <w:b w:val="1"/>
                <w:bCs w:val="1"/>
                <w:color w:val="FFFFFF"/>
              </w:rPr>
              <w:t>Aggregate</w:t>
            </w:r>
          </w:p>
        </w:tc>
        <w:tc>
          <w:tcPr>
            <w:tcW w:w="1680" w:type="dxa"/>
            <w:vAlign w:val="bottom"/>
            <w:shd w:val="clear" w:color="auto" w:fill="3E8EDE"/>
          </w:tcPr>
          <w:p>
            <w:pPr>
              <w:jc w:val="center"/>
              <w:ind w:left="161"/>
              <w:spacing w:after="0"/>
              <w:rPr>
                <w:sz w:val="20"/>
                <w:szCs w:val="20"/>
                <w:color w:val="auto"/>
              </w:rPr>
            </w:pPr>
            <w:r>
              <w:rPr>
                <w:rFonts w:ascii="Arial" w:cs="Arial" w:eastAsia="Arial" w:hAnsi="Arial"/>
                <w:sz w:val="14"/>
                <w:szCs w:val="14"/>
                <w:b w:val="1"/>
                <w:bCs w:val="1"/>
                <w:color w:val="FFFFFF"/>
                <w:w w:val="97"/>
              </w:rPr>
              <w:t>Aggregate Balance</w:t>
            </w:r>
          </w:p>
        </w:tc>
      </w:tr>
      <w:tr>
        <w:trPr>
          <w:trHeight w:val="155"/>
        </w:trPr>
        <w:tc>
          <w:tcPr>
            <w:tcW w:w="2100" w:type="dxa"/>
            <w:vAlign w:val="bottom"/>
            <w:shd w:val="clear" w:color="auto" w:fill="3E8EDE"/>
          </w:tcPr>
          <w:p>
            <w:pPr>
              <w:spacing w:after="0"/>
              <w:rPr>
                <w:sz w:val="13"/>
                <w:szCs w:val="13"/>
                <w:color w:val="auto"/>
              </w:rPr>
            </w:pPr>
          </w:p>
        </w:tc>
        <w:tc>
          <w:tcPr>
            <w:tcW w:w="2080" w:type="dxa"/>
            <w:vAlign w:val="bottom"/>
            <w:shd w:val="clear" w:color="auto" w:fill="3E8EDE"/>
          </w:tcPr>
          <w:p>
            <w:pPr>
              <w:jc w:val="right"/>
              <w:ind w:right="201"/>
              <w:spacing w:after="0" w:line="155" w:lineRule="exact"/>
              <w:rPr>
                <w:sz w:val="20"/>
                <w:szCs w:val="20"/>
                <w:color w:val="auto"/>
              </w:rPr>
            </w:pPr>
            <w:r>
              <w:rPr>
                <w:rFonts w:ascii="Arial" w:cs="Arial" w:eastAsia="Arial" w:hAnsi="Arial"/>
                <w:sz w:val="14"/>
                <w:szCs w:val="14"/>
                <w:b w:val="1"/>
                <w:bCs w:val="1"/>
                <w:color w:val="FFFFFF"/>
              </w:rPr>
              <w:t>Contributions in</w:t>
            </w:r>
          </w:p>
        </w:tc>
        <w:tc>
          <w:tcPr>
            <w:tcW w:w="1660" w:type="dxa"/>
            <w:vAlign w:val="bottom"/>
            <w:shd w:val="clear" w:color="auto" w:fill="3E8EDE"/>
          </w:tcPr>
          <w:p>
            <w:pPr>
              <w:jc w:val="right"/>
              <w:ind w:right="221"/>
              <w:spacing w:after="0" w:line="155" w:lineRule="exact"/>
              <w:rPr>
                <w:sz w:val="20"/>
                <w:szCs w:val="20"/>
                <w:color w:val="auto"/>
              </w:rPr>
            </w:pPr>
            <w:r>
              <w:rPr>
                <w:rFonts w:ascii="Arial" w:cs="Arial" w:eastAsia="Arial" w:hAnsi="Arial"/>
                <w:sz w:val="14"/>
                <w:szCs w:val="14"/>
                <w:b w:val="1"/>
                <w:bCs w:val="1"/>
                <w:color w:val="FFFFFF"/>
              </w:rPr>
              <w:t>Contributions in</w:t>
            </w:r>
          </w:p>
        </w:tc>
        <w:tc>
          <w:tcPr>
            <w:tcW w:w="1600" w:type="dxa"/>
            <w:vAlign w:val="bottom"/>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9"/>
              </w:rPr>
              <w:t>Earnings in</w:t>
            </w:r>
          </w:p>
        </w:tc>
        <w:tc>
          <w:tcPr>
            <w:tcW w:w="1440" w:type="dxa"/>
            <w:vAlign w:val="bottom"/>
            <w:shd w:val="clear" w:color="auto" w:fill="3E8EDE"/>
          </w:tcPr>
          <w:p>
            <w:pPr>
              <w:jc w:val="right"/>
              <w:ind w:right="221"/>
              <w:spacing w:after="0" w:line="155" w:lineRule="exact"/>
              <w:rPr>
                <w:sz w:val="20"/>
                <w:szCs w:val="20"/>
                <w:color w:val="auto"/>
              </w:rPr>
            </w:pPr>
            <w:r>
              <w:rPr>
                <w:rFonts w:ascii="Arial" w:cs="Arial" w:eastAsia="Arial" w:hAnsi="Arial"/>
                <w:sz w:val="14"/>
                <w:szCs w:val="14"/>
                <w:b w:val="1"/>
                <w:bCs w:val="1"/>
                <w:color w:val="FFFFFF"/>
              </w:rPr>
              <w:t>Withdrawals/</w:t>
            </w:r>
          </w:p>
        </w:tc>
        <w:tc>
          <w:tcPr>
            <w:tcW w:w="1680" w:type="dxa"/>
            <w:vAlign w:val="bottom"/>
            <w:shd w:val="clear" w:color="auto" w:fill="3E8EDE"/>
          </w:tcPr>
          <w:p>
            <w:pPr>
              <w:jc w:val="center"/>
              <w:ind w:left="161"/>
              <w:spacing w:after="0" w:line="155" w:lineRule="exact"/>
              <w:rPr>
                <w:sz w:val="20"/>
                <w:szCs w:val="20"/>
                <w:color w:val="auto"/>
              </w:rPr>
            </w:pPr>
            <w:r>
              <w:rPr>
                <w:rFonts w:ascii="Arial" w:cs="Arial" w:eastAsia="Arial" w:hAnsi="Arial"/>
                <w:sz w:val="14"/>
                <w:szCs w:val="14"/>
                <w:b w:val="1"/>
                <w:bCs w:val="1"/>
                <w:color w:val="FFFFFF"/>
                <w:w w:val="96"/>
              </w:rPr>
              <w:t>at</w:t>
            </w:r>
          </w:p>
        </w:tc>
      </w:tr>
      <w:tr>
        <w:trPr>
          <w:trHeight w:val="155"/>
        </w:trPr>
        <w:tc>
          <w:tcPr>
            <w:tcW w:w="2100" w:type="dxa"/>
            <w:vAlign w:val="bottom"/>
            <w:shd w:val="clear" w:color="auto" w:fill="3E8EDE"/>
          </w:tcPr>
          <w:p>
            <w:pPr>
              <w:spacing w:after="0"/>
              <w:rPr>
                <w:sz w:val="13"/>
                <w:szCs w:val="13"/>
                <w:color w:val="auto"/>
              </w:rPr>
            </w:pPr>
          </w:p>
        </w:tc>
        <w:tc>
          <w:tcPr>
            <w:tcW w:w="2080" w:type="dxa"/>
            <w:vAlign w:val="bottom"/>
            <w:shd w:val="clear" w:color="auto" w:fill="3E8EDE"/>
          </w:tcPr>
          <w:p>
            <w:pPr>
              <w:jc w:val="right"/>
              <w:ind w:right="221"/>
              <w:spacing w:after="0" w:line="155" w:lineRule="exact"/>
              <w:rPr>
                <w:sz w:val="20"/>
                <w:szCs w:val="20"/>
                <w:color w:val="auto"/>
              </w:rPr>
            </w:pPr>
            <w:r>
              <w:rPr>
                <w:rFonts w:ascii="Arial" w:cs="Arial" w:eastAsia="Arial" w:hAnsi="Arial"/>
                <w:sz w:val="14"/>
                <w:szCs w:val="14"/>
                <w:b w:val="1"/>
                <w:bCs w:val="1"/>
                <w:color w:val="FFFFFF"/>
              </w:rPr>
              <w:t>Last Fiscal Year</w:t>
            </w:r>
          </w:p>
        </w:tc>
        <w:tc>
          <w:tcPr>
            <w:tcW w:w="1660" w:type="dxa"/>
            <w:vAlign w:val="bottom"/>
            <w:shd w:val="clear" w:color="auto" w:fill="3E8EDE"/>
          </w:tcPr>
          <w:p>
            <w:pPr>
              <w:jc w:val="right"/>
              <w:ind w:right="241"/>
              <w:spacing w:after="0" w:line="155" w:lineRule="exact"/>
              <w:rPr>
                <w:sz w:val="20"/>
                <w:szCs w:val="20"/>
                <w:color w:val="auto"/>
              </w:rPr>
            </w:pPr>
            <w:r>
              <w:rPr>
                <w:rFonts w:ascii="Arial" w:cs="Arial" w:eastAsia="Arial" w:hAnsi="Arial"/>
                <w:sz w:val="14"/>
                <w:szCs w:val="14"/>
                <w:b w:val="1"/>
                <w:bCs w:val="1"/>
                <w:color w:val="FFFFFF"/>
              </w:rPr>
              <w:t>Last Fiscal Year</w:t>
            </w:r>
          </w:p>
        </w:tc>
        <w:tc>
          <w:tcPr>
            <w:tcW w:w="1600" w:type="dxa"/>
            <w:vAlign w:val="bottom"/>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7"/>
              </w:rPr>
              <w:t>Last Fiscal Year</w:t>
            </w:r>
          </w:p>
        </w:tc>
        <w:tc>
          <w:tcPr>
            <w:tcW w:w="1440" w:type="dxa"/>
            <w:vAlign w:val="bottom"/>
            <w:shd w:val="clear" w:color="auto" w:fill="3E8EDE"/>
          </w:tcPr>
          <w:p>
            <w:pPr>
              <w:jc w:val="right"/>
              <w:ind w:right="221"/>
              <w:spacing w:after="0" w:line="155" w:lineRule="exact"/>
              <w:rPr>
                <w:sz w:val="20"/>
                <w:szCs w:val="20"/>
                <w:color w:val="auto"/>
              </w:rPr>
            </w:pPr>
            <w:r>
              <w:rPr>
                <w:rFonts w:ascii="Arial" w:cs="Arial" w:eastAsia="Arial" w:hAnsi="Arial"/>
                <w:sz w:val="14"/>
                <w:szCs w:val="14"/>
                <w:b w:val="1"/>
                <w:bCs w:val="1"/>
                <w:color w:val="FFFFFF"/>
              </w:rPr>
              <w:t>Distributions</w:t>
            </w:r>
          </w:p>
        </w:tc>
        <w:tc>
          <w:tcPr>
            <w:tcW w:w="1680" w:type="dxa"/>
            <w:vAlign w:val="bottom"/>
            <w:shd w:val="clear" w:color="auto" w:fill="3E8EDE"/>
          </w:tcPr>
          <w:p>
            <w:pPr>
              <w:jc w:val="center"/>
              <w:ind w:left="141"/>
              <w:spacing w:after="0" w:line="155" w:lineRule="exact"/>
              <w:rPr>
                <w:sz w:val="20"/>
                <w:szCs w:val="20"/>
                <w:color w:val="auto"/>
              </w:rPr>
            </w:pPr>
            <w:r>
              <w:rPr>
                <w:rFonts w:ascii="Arial" w:cs="Arial" w:eastAsia="Arial" w:hAnsi="Arial"/>
                <w:sz w:val="14"/>
                <w:szCs w:val="14"/>
                <w:b w:val="1"/>
                <w:bCs w:val="1"/>
                <w:color w:val="FFFFFF"/>
                <w:w w:val="97"/>
              </w:rPr>
              <w:t>Last Fiscal Year-End</w:t>
            </w:r>
          </w:p>
        </w:tc>
      </w:tr>
      <w:tr>
        <w:trPr>
          <w:trHeight w:val="223"/>
        </w:trPr>
        <w:tc>
          <w:tcPr>
            <w:tcW w:w="2100" w:type="dxa"/>
            <w:vAlign w:val="bottom"/>
            <w:tcBorders>
              <w:bottom w:val="single" w:sz="8" w:color="3E8EDE"/>
            </w:tcBorders>
            <w:shd w:val="clear" w:color="auto" w:fill="3E8EDE"/>
          </w:tcPr>
          <w:p>
            <w:pPr>
              <w:ind w:left="960"/>
              <w:spacing w:after="0"/>
              <w:rPr>
                <w:sz w:val="20"/>
                <w:szCs w:val="20"/>
                <w:color w:val="auto"/>
              </w:rPr>
            </w:pPr>
            <w:r>
              <w:rPr>
                <w:rFonts w:ascii="Arial" w:cs="Arial" w:eastAsia="Arial" w:hAnsi="Arial"/>
                <w:sz w:val="14"/>
                <w:szCs w:val="14"/>
                <w:b w:val="1"/>
                <w:bCs w:val="1"/>
                <w:color w:val="FFFFFF"/>
              </w:rPr>
              <w:t>Name</w:t>
            </w:r>
          </w:p>
        </w:tc>
        <w:tc>
          <w:tcPr>
            <w:tcW w:w="2080" w:type="dxa"/>
            <w:vAlign w:val="bottom"/>
            <w:tcBorders>
              <w:bottom w:val="single" w:sz="8" w:color="3E8EDE"/>
            </w:tcBorders>
            <w:shd w:val="clear" w:color="auto" w:fill="3E8EDE"/>
          </w:tcPr>
          <w:p>
            <w:pPr>
              <w:jc w:val="right"/>
              <w:ind w:right="661"/>
              <w:spacing w:after="0"/>
              <w:rPr>
                <w:sz w:val="20"/>
                <w:szCs w:val="20"/>
                <w:color w:val="auto"/>
              </w:rPr>
            </w:pPr>
            <w:r>
              <w:rPr>
                <w:rFonts w:ascii="Arial" w:cs="Arial" w:eastAsia="Arial" w:hAnsi="Arial"/>
                <w:sz w:val="14"/>
                <w:szCs w:val="14"/>
                <w:b w:val="1"/>
                <w:bCs w:val="1"/>
                <w:color w:val="FFFFFF"/>
              </w:rPr>
              <w:t>($)</w:t>
            </w:r>
          </w:p>
        </w:tc>
        <w:tc>
          <w:tcPr>
            <w:tcW w:w="1660" w:type="dxa"/>
            <w:vAlign w:val="bottom"/>
            <w:tcBorders>
              <w:bottom w:val="single" w:sz="8" w:color="3E8EDE"/>
            </w:tcBorders>
            <w:shd w:val="clear" w:color="auto" w:fill="3E8EDE"/>
          </w:tcPr>
          <w:p>
            <w:pPr>
              <w:jc w:val="right"/>
              <w:ind w:right="681"/>
              <w:spacing w:after="0"/>
              <w:rPr>
                <w:sz w:val="20"/>
                <w:szCs w:val="20"/>
                <w:color w:val="auto"/>
              </w:rPr>
            </w:pPr>
            <w:r>
              <w:rPr>
                <w:rFonts w:ascii="Arial" w:cs="Arial" w:eastAsia="Arial" w:hAnsi="Arial"/>
                <w:sz w:val="14"/>
                <w:szCs w:val="14"/>
                <w:b w:val="1"/>
                <w:bCs w:val="1"/>
                <w:color w:val="FFFFFF"/>
              </w:rPr>
              <w:t>($)</w:t>
            </w:r>
          </w:p>
        </w:tc>
        <w:tc>
          <w:tcPr>
            <w:tcW w:w="1600" w:type="dxa"/>
            <w:vAlign w:val="bottom"/>
            <w:tcBorders>
              <w:bottom w:val="single" w:sz="8" w:color="3E8EDE"/>
            </w:tcBorders>
            <w:shd w:val="clear" w:color="auto" w:fill="3E8EDE"/>
          </w:tcPr>
          <w:p>
            <w:pPr>
              <w:jc w:val="center"/>
              <w:spacing w:after="0"/>
              <w:rPr>
                <w:sz w:val="20"/>
                <w:szCs w:val="20"/>
                <w:color w:val="auto"/>
              </w:rPr>
            </w:pPr>
            <w:r>
              <w:rPr>
                <w:rFonts w:ascii="Arial" w:cs="Arial" w:eastAsia="Arial" w:hAnsi="Arial"/>
                <w:sz w:val="14"/>
                <w:szCs w:val="14"/>
                <w:b w:val="1"/>
                <w:bCs w:val="1"/>
                <w:color w:val="FFFFFF"/>
                <w:w w:val="99"/>
              </w:rPr>
              <w:t>($)(1)</w:t>
            </w:r>
          </w:p>
        </w:tc>
        <w:tc>
          <w:tcPr>
            <w:tcW w:w="1440" w:type="dxa"/>
            <w:vAlign w:val="bottom"/>
            <w:tcBorders>
              <w:bottom w:val="single" w:sz="8" w:color="3E8EDE"/>
            </w:tcBorders>
            <w:shd w:val="clear" w:color="auto" w:fill="3E8EDE"/>
          </w:tcPr>
          <w:p>
            <w:pPr>
              <w:jc w:val="right"/>
              <w:ind w:right="561"/>
              <w:spacing w:after="0"/>
              <w:rPr>
                <w:sz w:val="20"/>
                <w:szCs w:val="20"/>
                <w:color w:val="auto"/>
              </w:rPr>
            </w:pPr>
            <w:r>
              <w:rPr>
                <w:rFonts w:ascii="Arial" w:cs="Arial" w:eastAsia="Arial" w:hAnsi="Arial"/>
                <w:sz w:val="14"/>
                <w:szCs w:val="14"/>
                <w:b w:val="1"/>
                <w:bCs w:val="1"/>
                <w:color w:val="FFFFFF"/>
              </w:rPr>
              <w:t>($)</w:t>
            </w:r>
          </w:p>
        </w:tc>
        <w:tc>
          <w:tcPr>
            <w:tcW w:w="1680" w:type="dxa"/>
            <w:vAlign w:val="bottom"/>
            <w:tcBorders>
              <w:bottom w:val="single" w:sz="8" w:color="3E8EDE"/>
            </w:tcBorders>
            <w:shd w:val="clear" w:color="auto" w:fill="3E8EDE"/>
          </w:tcPr>
          <w:p>
            <w:pPr>
              <w:jc w:val="center"/>
              <w:ind w:left="141"/>
              <w:spacing w:after="0"/>
              <w:rPr>
                <w:sz w:val="20"/>
                <w:szCs w:val="20"/>
                <w:color w:val="auto"/>
              </w:rPr>
            </w:pPr>
            <w:r>
              <w:rPr>
                <w:rFonts w:ascii="Arial" w:cs="Arial" w:eastAsia="Arial" w:hAnsi="Arial"/>
                <w:sz w:val="14"/>
                <w:szCs w:val="14"/>
                <w:b w:val="1"/>
                <w:bCs w:val="1"/>
                <w:color w:val="FFFFFF"/>
                <w:w w:val="99"/>
              </w:rPr>
              <w:t>($)(2)</w:t>
            </w:r>
          </w:p>
        </w:tc>
      </w:tr>
      <w:tr>
        <w:trPr>
          <w:trHeight w:val="239"/>
        </w:trPr>
        <w:tc>
          <w:tcPr>
            <w:tcW w:w="2100" w:type="dxa"/>
            <w:vAlign w:val="bottom"/>
            <w:tcBorders>
              <w:bottom w:val="single" w:sz="8" w:color="E2EEFA"/>
            </w:tcBorders>
            <w:shd w:val="clear" w:color="auto" w:fill="E2EEFA"/>
          </w:tcPr>
          <w:p>
            <w:pPr>
              <w:spacing w:after="0"/>
              <w:rPr>
                <w:sz w:val="20"/>
                <w:szCs w:val="20"/>
                <w:color w:val="auto"/>
              </w:rPr>
            </w:pPr>
            <w:r>
              <w:rPr>
                <w:rFonts w:ascii="Arial" w:cs="Arial" w:eastAsia="Arial" w:hAnsi="Arial"/>
                <w:sz w:val="17"/>
                <w:szCs w:val="17"/>
                <w:color w:val="auto"/>
              </w:rPr>
              <w:t>Daniel A. Carestio</w:t>
            </w:r>
          </w:p>
        </w:tc>
        <w:tc>
          <w:tcPr>
            <w:tcW w:w="2080" w:type="dxa"/>
            <w:vAlign w:val="bottom"/>
            <w:tcBorders>
              <w:bottom w:val="single" w:sz="8" w:color="E2EEFA"/>
            </w:tcBorders>
            <w:shd w:val="clear" w:color="auto" w:fill="E2EEFA"/>
          </w:tcPr>
          <w:p>
            <w:pPr>
              <w:jc w:val="right"/>
              <w:ind w:right="201"/>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E2EEFA"/>
            </w:tcBorders>
            <w:shd w:val="clear" w:color="auto" w:fill="E2EEFA"/>
          </w:tcPr>
          <w:p>
            <w:pPr>
              <w:jc w:val="right"/>
              <w:ind w:right="221"/>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E2EEFA"/>
            </w:tcBorders>
            <w:shd w:val="clear" w:color="auto" w:fill="E2EEFA"/>
          </w:tcPr>
          <w:p>
            <w:pPr>
              <w:jc w:val="right"/>
              <w:ind w:right="201"/>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E2EEFA"/>
            </w:tcBorders>
            <w:shd w:val="clear" w:color="auto" w:fill="E2EEFA"/>
          </w:tcPr>
          <w:p>
            <w:pPr>
              <w:jc w:val="right"/>
              <w:ind w:right="221"/>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7"/>
                <w:szCs w:val="17"/>
                <w:color w:val="auto"/>
              </w:rPr>
              <w:t>—</w:t>
            </w:r>
          </w:p>
        </w:tc>
      </w:tr>
      <w:tr>
        <w:trPr>
          <w:trHeight w:val="194"/>
        </w:trPr>
        <w:tc>
          <w:tcPr>
            <w:tcW w:w="2100" w:type="dxa"/>
            <w:vAlign w:val="bottom"/>
          </w:tcPr>
          <w:p>
            <w:pPr>
              <w:spacing w:after="0" w:line="194" w:lineRule="exact"/>
              <w:rPr>
                <w:sz w:val="20"/>
                <w:szCs w:val="20"/>
                <w:color w:val="auto"/>
              </w:rPr>
            </w:pPr>
            <w:r>
              <w:rPr>
                <w:rFonts w:ascii="Arial" w:cs="Arial" w:eastAsia="Arial" w:hAnsi="Arial"/>
                <w:sz w:val="17"/>
                <w:szCs w:val="17"/>
                <w:color w:val="auto"/>
              </w:rPr>
              <w:t>Karen L. Burton</w:t>
            </w:r>
          </w:p>
        </w:tc>
        <w:tc>
          <w:tcPr>
            <w:tcW w:w="2080" w:type="dxa"/>
            <w:vAlign w:val="bottom"/>
          </w:tcPr>
          <w:p>
            <w:pPr>
              <w:jc w:val="right"/>
              <w:ind w:right="201"/>
              <w:spacing w:after="0" w:line="194" w:lineRule="exact"/>
              <w:rPr>
                <w:sz w:val="20"/>
                <w:szCs w:val="20"/>
                <w:color w:val="auto"/>
              </w:rPr>
            </w:pPr>
            <w:r>
              <w:rPr>
                <w:rFonts w:ascii="Arial" w:cs="Arial" w:eastAsia="Arial" w:hAnsi="Arial"/>
                <w:sz w:val="17"/>
                <w:szCs w:val="17"/>
                <w:color w:val="auto"/>
              </w:rPr>
              <w:t>—</w:t>
            </w:r>
          </w:p>
        </w:tc>
        <w:tc>
          <w:tcPr>
            <w:tcW w:w="1660" w:type="dxa"/>
            <w:vAlign w:val="bottom"/>
          </w:tcPr>
          <w:p>
            <w:pPr>
              <w:jc w:val="right"/>
              <w:ind w:right="221"/>
              <w:spacing w:after="0" w:line="194" w:lineRule="exact"/>
              <w:rPr>
                <w:sz w:val="20"/>
                <w:szCs w:val="20"/>
                <w:color w:val="auto"/>
              </w:rPr>
            </w:pPr>
            <w:r>
              <w:rPr>
                <w:rFonts w:ascii="Arial" w:cs="Arial" w:eastAsia="Arial" w:hAnsi="Arial"/>
                <w:sz w:val="17"/>
                <w:szCs w:val="17"/>
                <w:color w:val="auto"/>
              </w:rPr>
              <w:t>—</w:t>
            </w:r>
          </w:p>
        </w:tc>
        <w:tc>
          <w:tcPr>
            <w:tcW w:w="1600" w:type="dxa"/>
            <w:vAlign w:val="bottom"/>
          </w:tcPr>
          <w:p>
            <w:pPr>
              <w:jc w:val="right"/>
              <w:ind w:right="201"/>
              <w:spacing w:after="0" w:line="194" w:lineRule="exact"/>
              <w:rPr>
                <w:sz w:val="20"/>
                <w:szCs w:val="20"/>
                <w:color w:val="auto"/>
              </w:rPr>
            </w:pPr>
            <w:r>
              <w:rPr>
                <w:rFonts w:ascii="Arial" w:cs="Arial" w:eastAsia="Arial" w:hAnsi="Arial"/>
                <w:sz w:val="17"/>
                <w:szCs w:val="17"/>
                <w:color w:val="auto"/>
              </w:rPr>
              <w:t>1,358</w:t>
            </w:r>
          </w:p>
        </w:tc>
        <w:tc>
          <w:tcPr>
            <w:tcW w:w="1440" w:type="dxa"/>
            <w:vAlign w:val="bottom"/>
          </w:tcPr>
          <w:p>
            <w:pPr>
              <w:jc w:val="right"/>
              <w:ind w:right="221"/>
              <w:spacing w:after="0" w:line="194" w:lineRule="exact"/>
              <w:rPr>
                <w:sz w:val="20"/>
                <w:szCs w:val="20"/>
                <w:color w:val="auto"/>
              </w:rPr>
            </w:pPr>
            <w:r>
              <w:rPr>
                <w:rFonts w:ascii="Arial" w:cs="Arial" w:eastAsia="Arial" w:hAnsi="Arial"/>
                <w:sz w:val="17"/>
                <w:szCs w:val="17"/>
                <w:color w:val="auto"/>
              </w:rPr>
              <w:t>—</w:t>
            </w:r>
          </w:p>
        </w:tc>
        <w:tc>
          <w:tcPr>
            <w:tcW w:w="1680" w:type="dxa"/>
            <w:vAlign w:val="bottom"/>
          </w:tcPr>
          <w:p>
            <w:pPr>
              <w:jc w:val="right"/>
              <w:spacing w:after="0" w:line="194" w:lineRule="exact"/>
              <w:rPr>
                <w:sz w:val="20"/>
                <w:szCs w:val="20"/>
                <w:color w:val="auto"/>
              </w:rPr>
            </w:pPr>
            <w:r>
              <w:rPr>
                <w:rFonts w:ascii="Arial" w:cs="Arial" w:eastAsia="Arial" w:hAnsi="Arial"/>
                <w:sz w:val="17"/>
                <w:szCs w:val="17"/>
                <w:color w:val="auto"/>
              </w:rPr>
              <w:t>14,685</w:t>
            </w:r>
          </w:p>
        </w:tc>
      </w:tr>
      <w:tr>
        <w:trPr>
          <w:trHeight w:val="246"/>
        </w:trPr>
        <w:tc>
          <w:tcPr>
            <w:tcW w:w="2100" w:type="dxa"/>
            <w:vAlign w:val="bottom"/>
            <w:shd w:val="clear" w:color="auto" w:fill="E2EEFA"/>
          </w:tcPr>
          <w:p>
            <w:pPr>
              <w:spacing w:after="0"/>
              <w:rPr>
                <w:sz w:val="20"/>
                <w:szCs w:val="20"/>
                <w:color w:val="auto"/>
              </w:rPr>
            </w:pPr>
            <w:r>
              <w:rPr>
                <w:rFonts w:ascii="Arial" w:cs="Arial" w:eastAsia="Arial" w:hAnsi="Arial"/>
                <w:sz w:val="17"/>
                <w:szCs w:val="17"/>
                <w:color w:val="auto"/>
              </w:rPr>
              <w:t>Michael J. Tokich</w:t>
            </w:r>
          </w:p>
        </w:tc>
        <w:tc>
          <w:tcPr>
            <w:tcW w:w="2080" w:type="dxa"/>
            <w:vAlign w:val="bottom"/>
            <w:shd w:val="clear" w:color="auto" w:fill="E2EEFA"/>
          </w:tcPr>
          <w:p>
            <w:pPr>
              <w:jc w:val="right"/>
              <w:ind w:right="201"/>
              <w:spacing w:after="0"/>
              <w:rPr>
                <w:sz w:val="20"/>
                <w:szCs w:val="20"/>
                <w:color w:val="auto"/>
              </w:rPr>
            </w:pPr>
            <w:r>
              <w:rPr>
                <w:rFonts w:ascii="Arial" w:cs="Arial" w:eastAsia="Arial" w:hAnsi="Arial"/>
                <w:sz w:val="17"/>
                <w:szCs w:val="17"/>
                <w:color w:val="auto"/>
              </w:rPr>
              <w:t>—</w:t>
            </w:r>
          </w:p>
        </w:tc>
        <w:tc>
          <w:tcPr>
            <w:tcW w:w="1660" w:type="dxa"/>
            <w:vAlign w:val="bottom"/>
            <w:shd w:val="clear" w:color="auto" w:fill="E2EEFA"/>
          </w:tcPr>
          <w:p>
            <w:pPr>
              <w:jc w:val="right"/>
              <w:ind w:right="221"/>
              <w:spacing w:after="0"/>
              <w:rPr>
                <w:sz w:val="20"/>
                <w:szCs w:val="20"/>
                <w:color w:val="auto"/>
              </w:rPr>
            </w:pPr>
            <w:r>
              <w:rPr>
                <w:rFonts w:ascii="Arial" w:cs="Arial" w:eastAsia="Arial" w:hAnsi="Arial"/>
                <w:sz w:val="17"/>
                <w:szCs w:val="17"/>
                <w:color w:val="auto"/>
              </w:rPr>
              <w:t>—</w:t>
            </w:r>
          </w:p>
        </w:tc>
        <w:tc>
          <w:tcPr>
            <w:tcW w:w="1600" w:type="dxa"/>
            <w:vAlign w:val="bottom"/>
            <w:shd w:val="clear" w:color="auto" w:fill="E2EEFA"/>
          </w:tcPr>
          <w:p>
            <w:pPr>
              <w:jc w:val="right"/>
              <w:ind w:right="201"/>
              <w:spacing w:after="0"/>
              <w:rPr>
                <w:sz w:val="20"/>
                <w:szCs w:val="20"/>
                <w:color w:val="auto"/>
              </w:rPr>
            </w:pPr>
            <w:r>
              <w:rPr>
                <w:rFonts w:ascii="Arial" w:cs="Arial" w:eastAsia="Arial" w:hAnsi="Arial"/>
                <w:sz w:val="17"/>
                <w:szCs w:val="17"/>
                <w:color w:val="auto"/>
              </w:rPr>
              <w:t>—</w:t>
            </w:r>
          </w:p>
        </w:tc>
        <w:tc>
          <w:tcPr>
            <w:tcW w:w="1440" w:type="dxa"/>
            <w:vAlign w:val="bottom"/>
            <w:shd w:val="clear" w:color="auto" w:fill="E2EEFA"/>
          </w:tcPr>
          <w:p>
            <w:pPr>
              <w:jc w:val="right"/>
              <w:ind w:right="221"/>
              <w:spacing w:after="0"/>
              <w:rPr>
                <w:sz w:val="20"/>
                <w:szCs w:val="20"/>
                <w:color w:val="auto"/>
              </w:rPr>
            </w:pPr>
            <w:r>
              <w:rPr>
                <w:rFonts w:ascii="Arial" w:cs="Arial" w:eastAsia="Arial" w:hAnsi="Arial"/>
                <w:sz w:val="17"/>
                <w:szCs w:val="17"/>
                <w:color w:val="auto"/>
              </w:rPr>
              <w:t>—</w:t>
            </w:r>
          </w:p>
        </w:tc>
        <w:tc>
          <w:tcPr>
            <w:tcW w:w="168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r>
      <w:tr>
        <w:trPr>
          <w:trHeight w:val="194"/>
        </w:trPr>
        <w:tc>
          <w:tcPr>
            <w:tcW w:w="2100" w:type="dxa"/>
            <w:vAlign w:val="bottom"/>
          </w:tcPr>
          <w:p>
            <w:pPr>
              <w:spacing w:after="0" w:line="194" w:lineRule="exact"/>
              <w:rPr>
                <w:sz w:val="20"/>
                <w:szCs w:val="20"/>
                <w:color w:val="auto"/>
              </w:rPr>
            </w:pPr>
            <w:r>
              <w:rPr>
                <w:rFonts w:ascii="Arial" w:cs="Arial" w:eastAsia="Arial" w:hAnsi="Arial"/>
                <w:sz w:val="17"/>
                <w:szCs w:val="17"/>
                <w:color w:val="auto"/>
              </w:rPr>
              <w:t>J. Adam Zangerle</w:t>
            </w:r>
          </w:p>
        </w:tc>
        <w:tc>
          <w:tcPr>
            <w:tcW w:w="2080" w:type="dxa"/>
            <w:vAlign w:val="bottom"/>
          </w:tcPr>
          <w:p>
            <w:pPr>
              <w:jc w:val="right"/>
              <w:ind w:right="201"/>
              <w:spacing w:after="0" w:line="194" w:lineRule="exact"/>
              <w:rPr>
                <w:sz w:val="20"/>
                <w:szCs w:val="20"/>
                <w:color w:val="auto"/>
              </w:rPr>
            </w:pPr>
            <w:r>
              <w:rPr>
                <w:rFonts w:ascii="Arial" w:cs="Arial" w:eastAsia="Arial" w:hAnsi="Arial"/>
                <w:sz w:val="17"/>
                <w:szCs w:val="17"/>
                <w:color w:val="auto"/>
              </w:rPr>
              <w:t>—</w:t>
            </w:r>
          </w:p>
        </w:tc>
        <w:tc>
          <w:tcPr>
            <w:tcW w:w="1660" w:type="dxa"/>
            <w:vAlign w:val="bottom"/>
          </w:tcPr>
          <w:p>
            <w:pPr>
              <w:jc w:val="right"/>
              <w:ind w:right="221"/>
              <w:spacing w:after="0" w:line="194" w:lineRule="exact"/>
              <w:rPr>
                <w:sz w:val="20"/>
                <w:szCs w:val="20"/>
                <w:color w:val="auto"/>
              </w:rPr>
            </w:pPr>
            <w:r>
              <w:rPr>
                <w:rFonts w:ascii="Arial" w:cs="Arial" w:eastAsia="Arial" w:hAnsi="Arial"/>
                <w:sz w:val="17"/>
                <w:szCs w:val="17"/>
                <w:color w:val="auto"/>
              </w:rPr>
              <w:t>—</w:t>
            </w:r>
          </w:p>
        </w:tc>
        <w:tc>
          <w:tcPr>
            <w:tcW w:w="1600" w:type="dxa"/>
            <w:vAlign w:val="bottom"/>
          </w:tcPr>
          <w:p>
            <w:pPr>
              <w:jc w:val="right"/>
              <w:ind w:right="201"/>
              <w:spacing w:after="0" w:line="194" w:lineRule="exact"/>
              <w:rPr>
                <w:sz w:val="20"/>
                <w:szCs w:val="20"/>
                <w:color w:val="auto"/>
              </w:rPr>
            </w:pPr>
            <w:r>
              <w:rPr>
                <w:rFonts w:ascii="Arial" w:cs="Arial" w:eastAsia="Arial" w:hAnsi="Arial"/>
                <w:sz w:val="17"/>
                <w:szCs w:val="17"/>
                <w:color w:val="auto"/>
              </w:rPr>
              <w:t>—</w:t>
            </w:r>
          </w:p>
        </w:tc>
        <w:tc>
          <w:tcPr>
            <w:tcW w:w="1440" w:type="dxa"/>
            <w:vAlign w:val="bottom"/>
          </w:tcPr>
          <w:p>
            <w:pPr>
              <w:jc w:val="right"/>
              <w:ind w:right="221"/>
              <w:spacing w:after="0" w:line="194" w:lineRule="exact"/>
              <w:rPr>
                <w:sz w:val="20"/>
                <w:szCs w:val="20"/>
                <w:color w:val="auto"/>
              </w:rPr>
            </w:pPr>
            <w:r>
              <w:rPr>
                <w:rFonts w:ascii="Arial" w:cs="Arial" w:eastAsia="Arial" w:hAnsi="Arial"/>
                <w:sz w:val="17"/>
                <w:szCs w:val="17"/>
                <w:color w:val="auto"/>
              </w:rPr>
              <w:t>—</w:t>
            </w:r>
          </w:p>
        </w:tc>
        <w:tc>
          <w:tcPr>
            <w:tcW w:w="16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r>
      <w:tr>
        <w:trPr>
          <w:trHeight w:val="246"/>
        </w:trPr>
        <w:tc>
          <w:tcPr>
            <w:tcW w:w="2100" w:type="dxa"/>
            <w:vAlign w:val="bottom"/>
            <w:shd w:val="clear" w:color="auto" w:fill="E2EEFA"/>
          </w:tcPr>
          <w:p>
            <w:pPr>
              <w:spacing w:after="0"/>
              <w:rPr>
                <w:sz w:val="20"/>
                <w:szCs w:val="20"/>
                <w:color w:val="auto"/>
              </w:rPr>
            </w:pPr>
            <w:r>
              <w:rPr>
                <w:rFonts w:ascii="Arial" w:cs="Arial" w:eastAsia="Arial" w:hAnsi="Arial"/>
                <w:sz w:val="17"/>
                <w:szCs w:val="17"/>
                <w:color w:val="auto"/>
              </w:rPr>
              <w:t>Cary L. Majors</w:t>
            </w:r>
          </w:p>
        </w:tc>
        <w:tc>
          <w:tcPr>
            <w:tcW w:w="2080" w:type="dxa"/>
            <w:vAlign w:val="bottom"/>
            <w:shd w:val="clear" w:color="auto" w:fill="E2EEFA"/>
          </w:tcPr>
          <w:p>
            <w:pPr>
              <w:jc w:val="right"/>
              <w:ind w:right="201"/>
              <w:spacing w:after="0"/>
              <w:rPr>
                <w:sz w:val="20"/>
                <w:szCs w:val="20"/>
                <w:color w:val="auto"/>
              </w:rPr>
            </w:pPr>
            <w:r>
              <w:rPr>
                <w:rFonts w:ascii="Arial" w:cs="Arial" w:eastAsia="Arial" w:hAnsi="Arial"/>
                <w:sz w:val="17"/>
                <w:szCs w:val="17"/>
                <w:color w:val="auto"/>
              </w:rPr>
              <w:t>—</w:t>
            </w:r>
          </w:p>
        </w:tc>
        <w:tc>
          <w:tcPr>
            <w:tcW w:w="1660" w:type="dxa"/>
            <w:vAlign w:val="bottom"/>
            <w:shd w:val="clear" w:color="auto" w:fill="E2EEFA"/>
          </w:tcPr>
          <w:p>
            <w:pPr>
              <w:jc w:val="right"/>
              <w:ind w:right="221"/>
              <w:spacing w:after="0"/>
              <w:rPr>
                <w:sz w:val="20"/>
                <w:szCs w:val="20"/>
                <w:color w:val="auto"/>
              </w:rPr>
            </w:pPr>
            <w:r>
              <w:rPr>
                <w:rFonts w:ascii="Arial" w:cs="Arial" w:eastAsia="Arial" w:hAnsi="Arial"/>
                <w:sz w:val="17"/>
                <w:szCs w:val="17"/>
                <w:color w:val="auto"/>
              </w:rPr>
              <w:t>—</w:t>
            </w:r>
          </w:p>
        </w:tc>
        <w:tc>
          <w:tcPr>
            <w:tcW w:w="1600" w:type="dxa"/>
            <w:vAlign w:val="bottom"/>
            <w:shd w:val="clear" w:color="auto" w:fill="E2EEFA"/>
          </w:tcPr>
          <w:p>
            <w:pPr>
              <w:jc w:val="right"/>
              <w:ind w:right="201"/>
              <w:spacing w:after="0"/>
              <w:rPr>
                <w:sz w:val="20"/>
                <w:szCs w:val="20"/>
                <w:color w:val="auto"/>
              </w:rPr>
            </w:pPr>
            <w:r>
              <w:rPr>
                <w:rFonts w:ascii="Arial" w:cs="Arial" w:eastAsia="Arial" w:hAnsi="Arial"/>
                <w:sz w:val="17"/>
                <w:szCs w:val="17"/>
                <w:color w:val="auto"/>
              </w:rPr>
              <w:t>—</w:t>
            </w:r>
          </w:p>
        </w:tc>
        <w:tc>
          <w:tcPr>
            <w:tcW w:w="1440" w:type="dxa"/>
            <w:vAlign w:val="bottom"/>
            <w:shd w:val="clear" w:color="auto" w:fill="E2EEFA"/>
          </w:tcPr>
          <w:p>
            <w:pPr>
              <w:jc w:val="right"/>
              <w:ind w:right="221"/>
              <w:spacing w:after="0"/>
              <w:rPr>
                <w:sz w:val="20"/>
                <w:szCs w:val="20"/>
                <w:color w:val="auto"/>
              </w:rPr>
            </w:pPr>
            <w:r>
              <w:rPr>
                <w:rFonts w:ascii="Arial" w:cs="Arial" w:eastAsia="Arial" w:hAnsi="Arial"/>
                <w:sz w:val="17"/>
                <w:szCs w:val="17"/>
                <w:color w:val="auto"/>
              </w:rPr>
              <w:t>—</w:t>
            </w:r>
          </w:p>
        </w:tc>
        <w:tc>
          <w:tcPr>
            <w:tcW w:w="168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2100" w:type="dxa"/>
            <w:vAlign w:val="bottom"/>
          </w:tcPr>
          <w:p>
            <w:pPr>
              <w:spacing w:after="0"/>
              <w:rPr>
                <w:sz w:val="20"/>
                <w:szCs w:val="20"/>
                <w:color w:val="auto"/>
              </w:rPr>
            </w:pPr>
            <w:r>
              <w:rPr>
                <w:rFonts w:ascii="Arial" w:cs="Arial" w:eastAsia="Arial" w:hAnsi="Arial"/>
                <w:sz w:val="17"/>
                <w:szCs w:val="17"/>
                <w:color w:val="auto"/>
              </w:rPr>
              <w:t>Mary Clare Fraser</w:t>
            </w:r>
          </w:p>
        </w:tc>
        <w:tc>
          <w:tcPr>
            <w:tcW w:w="2080" w:type="dxa"/>
            <w:vAlign w:val="bottom"/>
          </w:tcPr>
          <w:p>
            <w:pPr>
              <w:jc w:val="right"/>
              <w:ind w:right="201"/>
              <w:spacing w:after="0"/>
              <w:rPr>
                <w:sz w:val="20"/>
                <w:szCs w:val="20"/>
                <w:color w:val="auto"/>
              </w:rPr>
            </w:pPr>
            <w:r>
              <w:rPr>
                <w:rFonts w:ascii="Arial" w:cs="Arial" w:eastAsia="Arial" w:hAnsi="Arial"/>
                <w:sz w:val="17"/>
                <w:szCs w:val="17"/>
                <w:color w:val="auto"/>
              </w:rPr>
              <w:t>—</w:t>
            </w:r>
          </w:p>
        </w:tc>
        <w:tc>
          <w:tcPr>
            <w:tcW w:w="1660" w:type="dxa"/>
            <w:vAlign w:val="bottom"/>
          </w:tcPr>
          <w:p>
            <w:pPr>
              <w:jc w:val="right"/>
              <w:ind w:right="221"/>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201"/>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221"/>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77" w:lineRule="exact"/>
        <w:rPr>
          <w:sz w:val="20"/>
          <w:szCs w:val="20"/>
          <w:color w:val="auto"/>
        </w:rPr>
      </w:pPr>
    </w:p>
    <w:p>
      <w:pPr>
        <w:ind w:left="760" w:hanging="420"/>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None of these amounts are included in the Summary Compensation Table.</w:t>
      </w:r>
    </w:p>
    <w:p>
      <w:pPr>
        <w:spacing w:after="0" w:line="110" w:lineRule="exact"/>
        <w:rPr>
          <w:rFonts w:ascii="Arial" w:cs="Arial" w:eastAsia="Arial" w:hAnsi="Arial"/>
          <w:sz w:val="14"/>
          <w:szCs w:val="14"/>
          <w:color w:val="auto"/>
        </w:rPr>
      </w:pPr>
    </w:p>
    <w:p>
      <w:pPr>
        <w:ind w:left="760" w:hanging="420"/>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column does not include any amounts previously reported in prior years’ Summary Compensation Tables.</w:t>
      </w:r>
    </w:p>
    <w:p>
      <w:pPr>
        <w:spacing w:after="0" w:line="188" w:lineRule="exact"/>
        <w:rPr>
          <w:sz w:val="20"/>
          <w:szCs w:val="20"/>
          <w:color w:val="auto"/>
        </w:rPr>
      </w:pPr>
    </w:p>
    <w:p>
      <w:pPr>
        <w:ind w:left="340" w:right="600"/>
        <w:spacing w:after="0" w:line="262" w:lineRule="auto"/>
        <w:rPr>
          <w:sz w:val="20"/>
          <w:szCs w:val="20"/>
          <w:color w:val="auto"/>
        </w:rPr>
      </w:pPr>
      <w:r>
        <w:rPr>
          <w:rFonts w:ascii="Arial" w:cs="Arial" w:eastAsia="Arial" w:hAnsi="Arial"/>
          <w:sz w:val="19"/>
          <w:szCs w:val="19"/>
          <w:color w:val="auto"/>
        </w:rPr>
        <w:t>See the “Benefit Programs and Perquisites” section of the Compensation Discussion and Analysis for more information regarding the Company’s deferred compensation plan.</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73</w:t>
      </w:r>
    </w:p>
    <w:p>
      <w:pPr>
        <w:sectPr>
          <w:pgSz w:w="11900" w:h="16838" w:orient="portrait"/>
          <w:cols w:equalWidth="0" w:num="1">
            <w:col w:w="10900"/>
          </w:cols>
          <w:pgMar w:left="320" w:top="469" w:right="6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780" w:type="dxa"/>
            <w:vAlign w:val="bottom"/>
            <w:vMerge w:val="restart"/>
          </w:tcPr>
          <w:p>
            <w:pPr>
              <w:spacing w:after="0"/>
              <w:rPr>
                <w:sz w:val="20"/>
                <w:szCs w:val="20"/>
                <w:color w:val="auto"/>
              </w:rPr>
            </w:pPr>
            <w:r>
              <w:rPr>
                <w:rFonts w:ascii="Arial" w:cs="Arial" w:eastAsia="Arial" w:hAnsi="Arial"/>
                <w:sz w:val="17"/>
                <w:szCs w:val="17"/>
                <w:b w:val="1"/>
                <w:bCs w:val="1"/>
                <w:color w:val="auto"/>
              </w:rPr>
              <w:t> </w:t>
            </w:r>
          </w:p>
        </w:tc>
        <w:tc>
          <w:tcPr>
            <w:tcW w:w="9780" w:type="dxa"/>
            <w:vAlign w:val="bottom"/>
          </w:tcPr>
          <w:p>
            <w:pPr>
              <w:jc w:val="right"/>
              <w:spacing w:after="0"/>
              <w:rPr>
                <w:sz w:val="20"/>
                <w:szCs w:val="20"/>
                <w:color w:val="auto"/>
              </w:rPr>
            </w:pPr>
            <w:r>
              <w:rPr>
                <w:rFonts w:ascii="Arial" w:cs="Arial" w:eastAsia="Arial" w:hAnsi="Arial"/>
                <w:sz w:val="16"/>
                <w:szCs w:val="16"/>
                <w:b w:val="1"/>
                <w:bCs w:val="1"/>
                <w:color w:val="3E8EDE"/>
              </w:rPr>
              <w:t xml:space="preserve">Executive Compensation: </w:t>
            </w:r>
            <w:r>
              <w:rPr>
                <w:rFonts w:ascii="Arial" w:cs="Arial" w:eastAsia="Arial" w:hAnsi="Arial"/>
                <w:sz w:val="16"/>
                <w:szCs w:val="16"/>
                <w:b w:val="1"/>
                <w:bCs w:val="1"/>
                <w:color w:val="000000"/>
              </w:rPr>
              <w:t>Potential Payments to Named Executive Officers Upon Termination of Employment or Change in</w:t>
            </w:r>
          </w:p>
        </w:tc>
        <w:tc>
          <w:tcPr>
            <w:tcW w:w="0" w:type="dxa"/>
            <w:vAlign w:val="bottom"/>
          </w:tcPr>
          <w:p>
            <w:pPr>
              <w:spacing w:after="0"/>
              <w:rPr>
                <w:sz w:val="1"/>
                <w:szCs w:val="1"/>
                <w:color w:val="auto"/>
              </w:rPr>
            </w:pPr>
          </w:p>
        </w:tc>
      </w:tr>
      <w:tr>
        <w:trPr>
          <w:trHeight w:val="221"/>
        </w:trPr>
        <w:tc>
          <w:tcPr>
            <w:tcW w:w="780" w:type="dxa"/>
            <w:vAlign w:val="bottom"/>
            <w:vMerge w:val="continue"/>
          </w:tcPr>
          <w:p>
            <w:pPr>
              <w:spacing w:after="0"/>
              <w:rPr>
                <w:sz w:val="19"/>
                <w:szCs w:val="19"/>
                <w:color w:val="auto"/>
              </w:rPr>
            </w:pPr>
          </w:p>
        </w:tc>
        <w:tc>
          <w:tcPr>
            <w:tcW w:w="9780" w:type="dxa"/>
            <w:vAlign w:val="bottom"/>
          </w:tcPr>
          <w:p>
            <w:pPr>
              <w:jc w:val="right"/>
              <w:spacing w:after="0"/>
              <w:rPr>
                <w:sz w:val="20"/>
                <w:szCs w:val="20"/>
                <w:color w:val="auto"/>
              </w:rPr>
            </w:pPr>
            <w:r>
              <w:rPr>
                <w:rFonts w:ascii="Arial" w:cs="Arial" w:eastAsia="Arial" w:hAnsi="Arial"/>
                <w:sz w:val="16"/>
                <w:szCs w:val="16"/>
                <w:b w:val="1"/>
                <w:bCs w:val="1"/>
                <w:color w:val="auto"/>
              </w:rPr>
              <w:t>Control</w:t>
            </w:r>
          </w:p>
        </w:tc>
        <w:tc>
          <w:tcPr>
            <w:tcW w:w="0" w:type="dxa"/>
            <w:vAlign w:val="bottom"/>
          </w:tcPr>
          <w:p>
            <w:pPr>
              <w:spacing w:after="0"/>
              <w:rPr>
                <w:sz w:val="1"/>
                <w:szCs w:val="1"/>
                <w:color w:val="auto"/>
              </w:rPr>
            </w:pPr>
          </w:p>
        </w:tc>
      </w:tr>
      <w:tr>
        <w:trPr>
          <w:trHeight w:val="27"/>
        </w:trPr>
        <w:tc>
          <w:tcPr>
            <w:tcW w:w="780" w:type="dxa"/>
            <w:vAlign w:val="bottom"/>
            <w:tcBorders>
              <w:bottom w:val="single" w:sz="8" w:color="3E8EDE"/>
            </w:tcBorders>
          </w:tcPr>
          <w:p>
            <w:pPr>
              <w:spacing w:after="0"/>
              <w:rPr>
                <w:sz w:val="2"/>
                <w:szCs w:val="2"/>
                <w:color w:val="auto"/>
              </w:rPr>
            </w:pPr>
          </w:p>
        </w:tc>
        <w:tc>
          <w:tcPr>
            <w:tcW w:w="9780" w:type="dxa"/>
            <w:vAlign w:val="bottom"/>
            <w:tcBorders>
              <w:bottom w:val="single" w:sz="8" w:color="3E8ED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40" w:right="760"/>
        <w:spacing w:after="0" w:line="297" w:lineRule="auto"/>
        <w:rPr>
          <w:sz w:val="20"/>
          <w:szCs w:val="20"/>
          <w:color w:val="auto"/>
        </w:rPr>
      </w:pPr>
      <w:r>
        <w:rPr>
          <w:rFonts w:ascii="Arial" w:cs="Arial" w:eastAsia="Arial" w:hAnsi="Arial"/>
          <w:sz w:val="24"/>
          <w:szCs w:val="24"/>
          <w:b w:val="1"/>
          <w:bCs w:val="1"/>
          <w:color w:val="auto"/>
        </w:rPr>
        <w:t>Potential Payments to Named Executive Officers Upon Termination of Employment or Change in Control</w:t>
      </w:r>
    </w:p>
    <w:p>
      <w:pPr>
        <w:spacing w:after="0" w:line="95" w:lineRule="exact"/>
        <w:rPr>
          <w:sz w:val="20"/>
          <w:szCs w:val="20"/>
          <w:color w:val="auto"/>
        </w:rPr>
      </w:pPr>
    </w:p>
    <w:p>
      <w:pPr>
        <w:ind w:left="340"/>
        <w:spacing w:after="0" w:line="245" w:lineRule="auto"/>
        <w:rPr>
          <w:sz w:val="20"/>
          <w:szCs w:val="20"/>
          <w:color w:val="auto"/>
        </w:rPr>
      </w:pPr>
      <w:r>
        <w:rPr>
          <w:rFonts w:ascii="Arial" w:cs="Arial" w:eastAsia="Arial" w:hAnsi="Arial"/>
          <w:sz w:val="18"/>
          <w:szCs w:val="18"/>
          <w:color w:val="auto"/>
        </w:rPr>
        <w:t>We maintain various contracts, agreements, plans, and arrangements (collectively, agreements) that may provide for payments or the provision of other benefits to executive officers following or in connection with any termination or constructive termination of employment or a change in control of the Company or change in an executive officer’s responsibilities. Some of these agreements are available generally to all of our salaried employees on the same basis as, and do not discriminate in scope, terms or operation in favor of, our executive officers. None of the named executive officers are covered by a Company-maintained defined benefit pension plan. All named executive officers are eligible for participation in the STERIS Corporation 401(k) Plan, a defined contribution arrangement. The only other agreements concerning compensation to which any of the named executive officers are party or in which any of the named executive officers participate, that are not available generally to all our salaried employees, are described below. Further, Mr. Tokich is a party to the Transition Agreement with the Company, which impacts his participation under the compensation and benefits arrangements described below.</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Senior Executive Severance Plan</w:t>
      </w:r>
    </w:p>
    <w:p>
      <w:pPr>
        <w:spacing w:after="0" w:line="92" w:lineRule="exact"/>
        <w:rPr>
          <w:sz w:val="20"/>
          <w:szCs w:val="20"/>
          <w:color w:val="auto"/>
        </w:rPr>
      </w:pPr>
    </w:p>
    <w:p>
      <w:pPr>
        <w:ind w:left="340"/>
        <w:spacing w:after="0" w:line="230" w:lineRule="auto"/>
        <w:rPr>
          <w:sz w:val="20"/>
          <w:szCs w:val="20"/>
          <w:color w:val="auto"/>
        </w:rPr>
      </w:pPr>
      <w:r>
        <w:rPr>
          <w:rFonts w:ascii="Arial" w:cs="Arial" w:eastAsia="Arial" w:hAnsi="Arial"/>
          <w:sz w:val="19"/>
          <w:szCs w:val="19"/>
          <w:color w:val="auto"/>
        </w:rPr>
        <w:t>In connection with the Redomiciliation, the Company approved the STERIS plc Senior Executive Severance Plan (the “Senior Executive Severance Plan”). The Senior Executive Severance Plan replaced Old STERIS’s Senior Executive Severance Plan (“Predecessor Plan”). The Senior Executive Severance Plan covers all named executive officers and other senior employees of the Company and subsidiaries whose participation is approved by the Board or Compensation and Organization Development Committee of the Company. Under the Senior Executive Severance Plan, a participant who terminates employment for Good Reason (as defined in the Senior Executive Severance Plan), or whose employment is terminated other than for Cause (as defined in the Senior Executive Severance Plan), will be entitled to severance benefits. Generally, severance benefits will consist of severance pay equal to the participant’s annual base salary, prorated incentive compensation (bonus), and reimbursement for continuing medical and dental coverage. Payment of severance benefits is contingent on the participant’s execution of a release of claims in favor of the Company and its affiliates. If the termination is in conjunction with a Change in Control (as defined in the Senior Executive Severance Plan) and within specified time frames, the severance pay amount will equal two times the greater of the participant’s annual base salary in effect on the date of the Qualifying Termination or immediately before the Change in Control. The Senior Executive Severance Plan or a participant’s participation in the Senior Executive Severance Plan may be terminated upon twelve months’ prior notice, with some limitations. A participant who is covered by both an agreement or other plan or arrangement providing benefits in the nature of severance and by the Senior Executive Severance Plan will be entitled to receive benefits under whichever provides for greater benefits, but not both.</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STERIS Equity Incentive Plan</w:t>
      </w:r>
    </w:p>
    <w:p>
      <w:pPr>
        <w:spacing w:after="0" w:line="92" w:lineRule="exact"/>
        <w:rPr>
          <w:sz w:val="20"/>
          <w:szCs w:val="20"/>
          <w:color w:val="auto"/>
        </w:rPr>
      </w:pPr>
    </w:p>
    <w:p>
      <w:pPr>
        <w:ind w:left="340" w:right="240"/>
        <w:spacing w:after="0" w:line="239" w:lineRule="auto"/>
        <w:rPr>
          <w:sz w:val="20"/>
          <w:szCs w:val="20"/>
          <w:color w:val="auto"/>
        </w:rPr>
      </w:pPr>
      <w:r>
        <w:rPr>
          <w:rFonts w:ascii="Arial" w:cs="Arial" w:eastAsia="Arial" w:hAnsi="Arial"/>
          <w:sz w:val="19"/>
          <w:szCs w:val="19"/>
          <w:color w:val="auto"/>
        </w:rPr>
        <w:t>In conjunction with the Redomiciliation, the Company assumed and amended and restated the 2006 Plan, all effective March 28, 2019. Also in connection with the Redomiciliation, all outstanding 2006 Plan awards in respect of Old STERIS ordinary shares were converted into equity awards for the same number of Company Ordinary Shares, with the other terms and conditions of the awards remaining the same, except as otherwise required by law.</w:t>
      </w:r>
    </w:p>
    <w:p>
      <w:pPr>
        <w:spacing w:after="0" w:line="166" w:lineRule="exact"/>
        <w:rPr>
          <w:sz w:val="20"/>
          <w:szCs w:val="20"/>
          <w:color w:val="auto"/>
        </w:rPr>
      </w:pPr>
    </w:p>
    <w:p>
      <w:pPr>
        <w:ind w:left="340" w:right="520"/>
        <w:spacing w:after="0" w:line="262" w:lineRule="auto"/>
        <w:rPr>
          <w:sz w:val="20"/>
          <w:szCs w:val="20"/>
          <w:color w:val="auto"/>
        </w:rPr>
      </w:pPr>
      <w:r>
        <w:rPr>
          <w:rFonts w:ascii="Arial" w:cs="Arial" w:eastAsia="Arial" w:hAnsi="Arial"/>
          <w:sz w:val="19"/>
          <w:szCs w:val="19"/>
          <w:color w:val="auto"/>
        </w:rPr>
        <w:t>The Board has paramount authority for administration of the 2006 Plan. This authority has been largely delegated to the Board’s Compensation and Organization Development Committee (the “Compensation</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780" w:type="dxa"/>
            <w:vAlign w:val="bottom"/>
            <w:vMerge w:val="restart"/>
          </w:tcPr>
          <w:p>
            <w:pPr>
              <w:spacing w:after="0"/>
              <w:rPr>
                <w:sz w:val="20"/>
                <w:szCs w:val="20"/>
                <w:color w:val="auto"/>
              </w:rPr>
            </w:pPr>
            <w:r>
              <w:rPr>
                <w:rFonts w:ascii="Arial" w:cs="Arial" w:eastAsia="Arial" w:hAnsi="Arial"/>
                <w:sz w:val="17"/>
                <w:szCs w:val="17"/>
                <w:b w:val="1"/>
                <w:bCs w:val="1"/>
                <w:color w:val="auto"/>
              </w:rPr>
              <w:t> </w:t>
            </w:r>
          </w:p>
        </w:tc>
        <w:tc>
          <w:tcPr>
            <w:tcW w:w="9780" w:type="dxa"/>
            <w:vAlign w:val="bottom"/>
          </w:tcPr>
          <w:p>
            <w:pPr>
              <w:jc w:val="right"/>
              <w:spacing w:after="0"/>
              <w:rPr>
                <w:sz w:val="20"/>
                <w:szCs w:val="20"/>
                <w:color w:val="auto"/>
              </w:rPr>
            </w:pPr>
            <w:r>
              <w:rPr>
                <w:rFonts w:ascii="Arial" w:cs="Arial" w:eastAsia="Arial" w:hAnsi="Arial"/>
                <w:sz w:val="16"/>
                <w:szCs w:val="16"/>
                <w:b w:val="1"/>
                <w:bCs w:val="1"/>
                <w:color w:val="3E8EDE"/>
              </w:rPr>
              <w:t xml:space="preserve">Executive Compensation: </w:t>
            </w:r>
            <w:r>
              <w:rPr>
                <w:rFonts w:ascii="Arial" w:cs="Arial" w:eastAsia="Arial" w:hAnsi="Arial"/>
                <w:sz w:val="16"/>
                <w:szCs w:val="16"/>
                <w:b w:val="1"/>
                <w:bCs w:val="1"/>
                <w:color w:val="000000"/>
              </w:rPr>
              <w:t>Potential Payments to Named Executive Officers Upon Termination of Employment or Change in</w:t>
            </w:r>
          </w:p>
        </w:tc>
        <w:tc>
          <w:tcPr>
            <w:tcW w:w="0" w:type="dxa"/>
            <w:vAlign w:val="bottom"/>
          </w:tcPr>
          <w:p>
            <w:pPr>
              <w:spacing w:after="0"/>
              <w:rPr>
                <w:sz w:val="1"/>
                <w:szCs w:val="1"/>
                <w:color w:val="auto"/>
              </w:rPr>
            </w:pPr>
          </w:p>
        </w:tc>
      </w:tr>
      <w:tr>
        <w:trPr>
          <w:trHeight w:val="221"/>
        </w:trPr>
        <w:tc>
          <w:tcPr>
            <w:tcW w:w="780" w:type="dxa"/>
            <w:vAlign w:val="bottom"/>
            <w:vMerge w:val="continue"/>
          </w:tcPr>
          <w:p>
            <w:pPr>
              <w:spacing w:after="0"/>
              <w:rPr>
                <w:sz w:val="19"/>
                <w:szCs w:val="19"/>
                <w:color w:val="auto"/>
              </w:rPr>
            </w:pPr>
          </w:p>
        </w:tc>
        <w:tc>
          <w:tcPr>
            <w:tcW w:w="9780" w:type="dxa"/>
            <w:vAlign w:val="bottom"/>
          </w:tcPr>
          <w:p>
            <w:pPr>
              <w:jc w:val="right"/>
              <w:spacing w:after="0"/>
              <w:rPr>
                <w:sz w:val="20"/>
                <w:szCs w:val="20"/>
                <w:color w:val="auto"/>
              </w:rPr>
            </w:pPr>
            <w:r>
              <w:rPr>
                <w:rFonts w:ascii="Arial" w:cs="Arial" w:eastAsia="Arial" w:hAnsi="Arial"/>
                <w:sz w:val="16"/>
                <w:szCs w:val="16"/>
                <w:b w:val="1"/>
                <w:bCs w:val="1"/>
                <w:color w:val="auto"/>
              </w:rPr>
              <w:t>Control</w:t>
            </w:r>
          </w:p>
        </w:tc>
        <w:tc>
          <w:tcPr>
            <w:tcW w:w="0" w:type="dxa"/>
            <w:vAlign w:val="bottom"/>
          </w:tcPr>
          <w:p>
            <w:pPr>
              <w:spacing w:after="0"/>
              <w:rPr>
                <w:sz w:val="1"/>
                <w:szCs w:val="1"/>
                <w:color w:val="auto"/>
              </w:rPr>
            </w:pPr>
          </w:p>
        </w:tc>
      </w:tr>
      <w:tr>
        <w:trPr>
          <w:trHeight w:val="27"/>
        </w:trPr>
        <w:tc>
          <w:tcPr>
            <w:tcW w:w="780" w:type="dxa"/>
            <w:vAlign w:val="bottom"/>
            <w:tcBorders>
              <w:bottom w:val="single" w:sz="8" w:color="3E8EDE"/>
            </w:tcBorders>
          </w:tcPr>
          <w:p>
            <w:pPr>
              <w:spacing w:after="0"/>
              <w:rPr>
                <w:sz w:val="2"/>
                <w:szCs w:val="2"/>
                <w:color w:val="auto"/>
              </w:rPr>
            </w:pPr>
          </w:p>
        </w:tc>
        <w:tc>
          <w:tcPr>
            <w:tcW w:w="9780" w:type="dxa"/>
            <w:vAlign w:val="bottom"/>
            <w:tcBorders>
              <w:bottom w:val="single" w:sz="8" w:color="3E8ED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40" w:right="200"/>
        <w:spacing w:after="0" w:line="262" w:lineRule="auto"/>
        <w:rPr>
          <w:sz w:val="20"/>
          <w:szCs w:val="20"/>
          <w:color w:val="auto"/>
        </w:rPr>
      </w:pPr>
      <w:r>
        <w:rPr>
          <w:rFonts w:ascii="Arial" w:cs="Arial" w:eastAsia="Arial" w:hAnsi="Arial"/>
          <w:sz w:val="19"/>
          <w:szCs w:val="19"/>
          <w:color w:val="auto"/>
        </w:rPr>
        <w:t>Committee”). The 2006 Plan also permits certain delegations to be made to or by the Chief Executive Officer with respect to matters not impacting Directors or executive officers.</w:t>
      </w:r>
    </w:p>
    <w:p>
      <w:pPr>
        <w:spacing w:after="0" w:line="145" w:lineRule="exact"/>
        <w:rPr>
          <w:sz w:val="20"/>
          <w:szCs w:val="20"/>
          <w:color w:val="auto"/>
        </w:rPr>
      </w:pPr>
    </w:p>
    <w:p>
      <w:pPr>
        <w:ind w:left="340" w:right="100"/>
        <w:spacing w:after="0" w:line="231" w:lineRule="auto"/>
        <w:rPr>
          <w:sz w:val="20"/>
          <w:szCs w:val="20"/>
          <w:color w:val="auto"/>
        </w:rPr>
      </w:pPr>
      <w:r>
        <w:rPr>
          <w:rFonts w:ascii="Arial" w:cs="Arial" w:eastAsia="Arial" w:hAnsi="Arial"/>
          <w:sz w:val="19"/>
          <w:szCs w:val="19"/>
          <w:color w:val="auto"/>
        </w:rPr>
        <w:t>The 2006 Plan authorizes the issuance or grant of various stock and stock-related incentives, including stock options, restricted stock, restricted stock units, and other stock awards and other awards that may be denominated or payable in, valued in whole or in part by reference to or otherwise based on or related to, the Company’s shares or factors that may influence the value of its shares. In recent years the Company has primarily used stock options, restricted shares and restricted share units for the equity award program for employees. Awards may be made to employees and non-employee directors. As of April 30, 2026, there were 1,688,091 million Ordinary Shares remaining available for grant under the 2006 Plan. The aggregate 2006 Plan available share limit is reduced by the number of: (1) shares acquired pursuant to an option exercise, regardless of whether shares are tendered in payment of the option price; (2) shares withheld by STERIS to satisfy tax withholding obligations and (3) shares covered by a stock appreciation right to the extent it is exercised and settled in shares, whether or not shares are actually issued upon exercise. Also, shares that are in effect repurchased by STERIS with option right proceeds will not increase the aggregate 2006 Plan share limit described above. The 2006 Plan provides that the number of shares underlying awards that expire or are forfeited will not reduce the number of shares available for issuance under the 2006 Plan.</w:t>
      </w:r>
    </w:p>
    <w:p>
      <w:pPr>
        <w:spacing w:after="0" w:line="167" w:lineRule="exact"/>
        <w:rPr>
          <w:sz w:val="20"/>
          <w:szCs w:val="20"/>
          <w:color w:val="auto"/>
        </w:rPr>
      </w:pPr>
    </w:p>
    <w:p>
      <w:pPr>
        <w:ind w:left="340" w:right="40"/>
        <w:spacing w:after="0" w:line="230" w:lineRule="auto"/>
        <w:rPr>
          <w:sz w:val="20"/>
          <w:szCs w:val="20"/>
          <w:color w:val="auto"/>
        </w:rPr>
      </w:pPr>
      <w:r>
        <w:rPr>
          <w:rFonts w:ascii="Arial" w:cs="Arial" w:eastAsia="Arial" w:hAnsi="Arial"/>
          <w:sz w:val="19"/>
          <w:szCs w:val="19"/>
          <w:color w:val="auto"/>
        </w:rPr>
        <w:t>Repricing of options is prohibited under the 2006 Plan without shareholder approval. The 2006 Plan also provides that no stock options may be granted with an exercise or base price less than the fair market value of Ordinary Shares on the date of grant. Beginning with the 2019 fiscal year, all stock options have an exercise price of 110% of the closing price of our shares on the effective date of the grant. 2006 Plan awards are made upon such terms as the Compensation Committee (or its delegate) may approve and are set forth in an evidence of award. Stock option awards to employees generally vest and become nonforfeitable in increments of 25% per year over a four-year period, with full vesting four years after the date of grant. Restricted stock and restricted stock unit awards to employee recipients made in fiscal 2023 and prior years generally cliff vest on the fourth anniversary of the grant date if the recipient remains in continuous employment through that date. Restricted stock and restricted stock unit awards made in fiscal 2024 and beyond generally cliff vest on the third anniversary of the grant date if the recipient remains in continuous employment through that date. However, certain employees in the U.S. and a few other jurisdictions who are grantees of restricted stock or restricted stock units and have attained age 55 and been employed for at least 5 years at the time of the grant or meet these criteria during the term of the grant, may be subject to annual installment vesting rules over the applicable four-year or three-year period. Also, employees who have at least 25 years of service at the time of grant or satisfy this requirement during the term of the grant, may be subject to annual installment vesting rules over the applicable four-year or three-year period.</w:t>
      </w:r>
    </w:p>
    <w:p>
      <w:pPr>
        <w:spacing w:after="0" w:line="175" w:lineRule="exact"/>
        <w:rPr>
          <w:sz w:val="20"/>
          <w:szCs w:val="20"/>
          <w:color w:val="auto"/>
        </w:rPr>
      </w:pPr>
    </w:p>
    <w:p>
      <w:pPr>
        <w:ind w:left="340" w:right="80"/>
        <w:spacing w:after="0" w:line="232" w:lineRule="auto"/>
        <w:rPr>
          <w:sz w:val="20"/>
          <w:szCs w:val="20"/>
          <w:color w:val="auto"/>
        </w:rPr>
      </w:pPr>
      <w:r>
        <w:rPr>
          <w:rFonts w:ascii="Arial" w:cs="Arial" w:eastAsia="Arial" w:hAnsi="Arial"/>
          <w:sz w:val="19"/>
          <w:szCs w:val="19"/>
          <w:color w:val="auto"/>
        </w:rPr>
        <w:t>In general, for awards made in fiscal 2023 and prior years, upon termination of an award recipient’s employment, the nonvested portions of his or her stock option grants, restricted stock awards, and other equity incentive awards are immediately forfeited. However, unvested option grants and restricted stock awards (and restricted stock units) will become vested and nonforfeitable upon the recipient’s death while employed by STERIS and its subsidiaries. Also, stock options held by certain persons who are age 55 and have at least 5 years of service at termination, or who have at least 25 years of service at termination, may be exercisable for an extended period equal to the remaining term of the award, depending upon the jurisdiction. These extended exercise provisions are contingent upon the grantee remaining in Good Standing (as defined in the 2006 Plan) and are subject to the other 2006 Plan and award terms. If a recipient fails to remain in Good Standing, any outstanding stock options, restricted stock awards and other</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75</w:t>
      </w:r>
    </w:p>
    <w:p>
      <w:pPr>
        <w:sectPr>
          <w:pgSz w:w="11900" w:h="16838" w:orient="portrait"/>
          <w:cols w:equalWidth="0" w:num="1">
            <w:col w:w="10900"/>
          </w:cols>
          <w:pgMar w:left="320" w:top="469" w:right="6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780" w:type="dxa"/>
            <w:vAlign w:val="bottom"/>
            <w:vMerge w:val="restart"/>
          </w:tcPr>
          <w:p>
            <w:pPr>
              <w:spacing w:after="0"/>
              <w:rPr>
                <w:sz w:val="20"/>
                <w:szCs w:val="20"/>
                <w:color w:val="auto"/>
              </w:rPr>
            </w:pPr>
            <w:r>
              <w:rPr>
                <w:rFonts w:ascii="Arial" w:cs="Arial" w:eastAsia="Arial" w:hAnsi="Arial"/>
                <w:sz w:val="17"/>
                <w:szCs w:val="17"/>
                <w:b w:val="1"/>
                <w:bCs w:val="1"/>
                <w:color w:val="auto"/>
              </w:rPr>
              <w:t> </w:t>
            </w:r>
          </w:p>
        </w:tc>
        <w:tc>
          <w:tcPr>
            <w:tcW w:w="9780" w:type="dxa"/>
            <w:vAlign w:val="bottom"/>
          </w:tcPr>
          <w:p>
            <w:pPr>
              <w:jc w:val="right"/>
              <w:spacing w:after="0"/>
              <w:rPr>
                <w:sz w:val="20"/>
                <w:szCs w:val="20"/>
                <w:color w:val="auto"/>
              </w:rPr>
            </w:pPr>
            <w:r>
              <w:rPr>
                <w:rFonts w:ascii="Arial" w:cs="Arial" w:eastAsia="Arial" w:hAnsi="Arial"/>
                <w:sz w:val="16"/>
                <w:szCs w:val="16"/>
                <w:b w:val="1"/>
                <w:bCs w:val="1"/>
                <w:color w:val="3E8EDE"/>
              </w:rPr>
              <w:t xml:space="preserve">Executive Compensation: </w:t>
            </w:r>
            <w:r>
              <w:rPr>
                <w:rFonts w:ascii="Arial" w:cs="Arial" w:eastAsia="Arial" w:hAnsi="Arial"/>
                <w:sz w:val="16"/>
                <w:szCs w:val="16"/>
                <w:b w:val="1"/>
                <w:bCs w:val="1"/>
                <w:color w:val="000000"/>
              </w:rPr>
              <w:t>Potential Payments to Named Executive Officers Upon Termination of Employment or Change in</w:t>
            </w:r>
          </w:p>
        </w:tc>
        <w:tc>
          <w:tcPr>
            <w:tcW w:w="0" w:type="dxa"/>
            <w:vAlign w:val="bottom"/>
          </w:tcPr>
          <w:p>
            <w:pPr>
              <w:spacing w:after="0"/>
              <w:rPr>
                <w:sz w:val="1"/>
                <w:szCs w:val="1"/>
                <w:color w:val="auto"/>
              </w:rPr>
            </w:pPr>
          </w:p>
        </w:tc>
      </w:tr>
      <w:tr>
        <w:trPr>
          <w:trHeight w:val="221"/>
        </w:trPr>
        <w:tc>
          <w:tcPr>
            <w:tcW w:w="780" w:type="dxa"/>
            <w:vAlign w:val="bottom"/>
            <w:vMerge w:val="continue"/>
          </w:tcPr>
          <w:p>
            <w:pPr>
              <w:spacing w:after="0"/>
              <w:rPr>
                <w:sz w:val="19"/>
                <w:szCs w:val="19"/>
                <w:color w:val="auto"/>
              </w:rPr>
            </w:pPr>
          </w:p>
        </w:tc>
        <w:tc>
          <w:tcPr>
            <w:tcW w:w="9780" w:type="dxa"/>
            <w:vAlign w:val="bottom"/>
          </w:tcPr>
          <w:p>
            <w:pPr>
              <w:jc w:val="right"/>
              <w:spacing w:after="0"/>
              <w:rPr>
                <w:sz w:val="20"/>
                <w:szCs w:val="20"/>
                <w:color w:val="auto"/>
              </w:rPr>
            </w:pPr>
            <w:r>
              <w:rPr>
                <w:rFonts w:ascii="Arial" w:cs="Arial" w:eastAsia="Arial" w:hAnsi="Arial"/>
                <w:sz w:val="16"/>
                <w:szCs w:val="16"/>
                <w:b w:val="1"/>
                <w:bCs w:val="1"/>
                <w:color w:val="auto"/>
              </w:rPr>
              <w:t>Control</w:t>
            </w:r>
          </w:p>
        </w:tc>
        <w:tc>
          <w:tcPr>
            <w:tcW w:w="0" w:type="dxa"/>
            <w:vAlign w:val="bottom"/>
          </w:tcPr>
          <w:p>
            <w:pPr>
              <w:spacing w:after="0"/>
              <w:rPr>
                <w:sz w:val="1"/>
                <w:szCs w:val="1"/>
                <w:color w:val="auto"/>
              </w:rPr>
            </w:pPr>
          </w:p>
        </w:tc>
      </w:tr>
      <w:tr>
        <w:trPr>
          <w:trHeight w:val="27"/>
        </w:trPr>
        <w:tc>
          <w:tcPr>
            <w:tcW w:w="780" w:type="dxa"/>
            <w:vAlign w:val="bottom"/>
            <w:tcBorders>
              <w:bottom w:val="single" w:sz="8" w:color="3E8EDE"/>
            </w:tcBorders>
          </w:tcPr>
          <w:p>
            <w:pPr>
              <w:spacing w:after="0"/>
              <w:rPr>
                <w:sz w:val="2"/>
                <w:szCs w:val="2"/>
                <w:color w:val="auto"/>
              </w:rPr>
            </w:pPr>
          </w:p>
        </w:tc>
        <w:tc>
          <w:tcPr>
            <w:tcW w:w="9780" w:type="dxa"/>
            <w:vAlign w:val="bottom"/>
            <w:tcBorders>
              <w:bottom w:val="single" w:sz="8" w:color="3E8ED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40" w:right="360"/>
        <w:spacing w:after="0" w:line="244" w:lineRule="auto"/>
        <w:rPr>
          <w:sz w:val="20"/>
          <w:szCs w:val="20"/>
          <w:color w:val="auto"/>
        </w:rPr>
      </w:pPr>
      <w:r>
        <w:rPr>
          <w:rFonts w:ascii="Arial" w:cs="Arial" w:eastAsia="Arial" w:hAnsi="Arial"/>
          <w:sz w:val="19"/>
          <w:szCs w:val="19"/>
          <w:color w:val="auto"/>
        </w:rPr>
        <w:t>equity incentive compensation awards may be forfeited. Further, recipients in the U.S. and a few other jurisdictions may continue to vest in respect of awards granted on or after May 31, 2023 if the recipients “retire” as defined in the applicable award agreement and satisfy certain other conditions.</w:t>
      </w:r>
    </w:p>
    <w:p>
      <w:pPr>
        <w:spacing w:after="0" w:line="162" w:lineRule="exact"/>
        <w:rPr>
          <w:sz w:val="20"/>
          <w:szCs w:val="20"/>
          <w:color w:val="auto"/>
        </w:rPr>
      </w:pPr>
    </w:p>
    <w:p>
      <w:pPr>
        <w:ind w:left="340" w:right="160"/>
        <w:spacing w:after="0" w:line="230" w:lineRule="auto"/>
        <w:rPr>
          <w:sz w:val="20"/>
          <w:szCs w:val="20"/>
          <w:color w:val="auto"/>
        </w:rPr>
      </w:pPr>
      <w:r>
        <w:rPr>
          <w:rFonts w:ascii="Arial" w:cs="Arial" w:eastAsia="Arial" w:hAnsi="Arial"/>
          <w:sz w:val="19"/>
          <w:szCs w:val="19"/>
          <w:color w:val="auto"/>
        </w:rPr>
        <w:t>The 2006 Plan provides for “double trigger” vesting. Under these provisions, outstanding unvested equity awards generally will not vest upon a change in control unless the participant does not receive a qualifying replacement award. To qualify as a replacement award, the award must satisfy a number of criteria, including a requirement that the value of the replacement award be at least equal to the value of the award being replaced. The Board or Compensation Committee, as constituted immediately prior to the change in control, determines in its sole discretion whether the criteria have been satisfied. If a participant receives a qualifying replacement award, accelerated vesting will occur only to the extent the participant’s employment is terminated by the participant for Good Reason (as defined in the 2006 Plan) or by his or her employer other than for Cause or other Detrimental Activity (as defined in the 2006 Plan), within two years after the change in control. In general, a change in control includes any of the following: the acquisition by any person or group of 25% or more of the combined voting power of the Company’s outstanding voting stock; certain changes in the composition of a majority of the Board membership; the consummation of certain reorganizations, mergers or consolidations or disposition of all or substantially all of the assets of the Company or certain other business transactions involving the Company; or approval by the shareholders of a complete liquidation or dissolution of the Company. The Redomiciliation did not constitute a change of control under the 2006 Plan.</w:t>
      </w:r>
    </w:p>
    <w:p>
      <w:pPr>
        <w:spacing w:after="0" w:line="177" w:lineRule="exact"/>
        <w:rPr>
          <w:sz w:val="20"/>
          <w:szCs w:val="20"/>
          <w:color w:val="auto"/>
        </w:rPr>
      </w:pPr>
    </w:p>
    <w:p>
      <w:pPr>
        <w:ind w:left="340" w:right="40"/>
        <w:spacing w:after="0" w:line="239" w:lineRule="auto"/>
        <w:rPr>
          <w:sz w:val="20"/>
          <w:szCs w:val="20"/>
          <w:color w:val="auto"/>
        </w:rPr>
      </w:pPr>
      <w:r>
        <w:rPr>
          <w:rFonts w:ascii="Arial" w:cs="Arial" w:eastAsia="Arial" w:hAnsi="Arial"/>
          <w:sz w:val="19"/>
          <w:szCs w:val="19"/>
          <w:color w:val="auto"/>
        </w:rPr>
        <w:t>In connection with the grant of stock options, restricted stock, and restricted stock units under the 2006 Plan, award recipients agree to restrictive covenants that may include non-competition, non-interference and non-disclosure. If the recipient breaches any of these covenants, in addition to any other remedies the Company may have, awards then held by the recipient and stock then held that was received pursuant to awards may be forfeited.</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Management Incentive Compensation Plan</w:t>
      </w:r>
    </w:p>
    <w:p>
      <w:pPr>
        <w:spacing w:after="0" w:line="92" w:lineRule="exact"/>
        <w:rPr>
          <w:sz w:val="20"/>
          <w:szCs w:val="20"/>
          <w:color w:val="auto"/>
        </w:rPr>
      </w:pPr>
    </w:p>
    <w:p>
      <w:pPr>
        <w:ind w:left="340" w:right="160"/>
        <w:spacing w:after="0" w:line="244" w:lineRule="auto"/>
        <w:rPr>
          <w:sz w:val="20"/>
          <w:szCs w:val="20"/>
          <w:color w:val="auto"/>
        </w:rPr>
      </w:pPr>
      <w:r>
        <w:rPr>
          <w:rFonts w:ascii="Arial" w:cs="Arial" w:eastAsia="Arial" w:hAnsi="Arial"/>
          <w:sz w:val="19"/>
          <w:szCs w:val="19"/>
          <w:color w:val="auto"/>
        </w:rPr>
        <w:t>The Company maintains the MICP, which covers most management employees of the Company and its subsidiaries. The CEO and all executive officers, including all of the named executive officers, were covered by the MICP, as described below, for fiscal 2026.</w:t>
      </w:r>
    </w:p>
    <w:p>
      <w:pPr>
        <w:spacing w:after="0" w:line="162" w:lineRule="exact"/>
        <w:rPr>
          <w:sz w:val="20"/>
          <w:szCs w:val="20"/>
          <w:color w:val="auto"/>
        </w:rPr>
      </w:pPr>
    </w:p>
    <w:p>
      <w:pPr>
        <w:ind w:left="340" w:right="40"/>
        <w:spacing w:after="0" w:line="232" w:lineRule="auto"/>
        <w:rPr>
          <w:sz w:val="20"/>
          <w:szCs w:val="20"/>
          <w:color w:val="auto"/>
        </w:rPr>
      </w:pPr>
      <w:r>
        <w:rPr>
          <w:rFonts w:ascii="Arial" w:cs="Arial" w:eastAsia="Arial" w:hAnsi="Arial"/>
          <w:sz w:val="19"/>
          <w:szCs w:val="19"/>
          <w:color w:val="auto"/>
        </w:rPr>
        <w:t>The MICP provides annual incentive compensation to participants based upon achievement of financial and other objectives. Each MICP participant is assigned annually a “target” bonus based upon his or her position and level of responsibility within the Company. The target bonus is an amount equal to the percentage of the participant’s base salary that he or she would receive as a bonus if all of the objectives established for, or otherwise applicable to, the participant are achieved. Achievement is determined generally utilizing Company-wide financial metrics and financial objectives. If the objectives are exceeded, a larger bonus may be payable. If the objectives are not attained, a smaller bonus or no bonus may be payable. In no case will the bonus payable to a participant exceed a cap of 200% of his or her target bonus. Generally, a participant is not entitled to a bonus in respect of a particular fiscal year unless he or she has remained in the employ of the Company through the end of that fiscal year, except to the extent a bonus payment may be otherwise contractually required.</w:t>
      </w:r>
    </w:p>
    <w:p>
      <w:pPr>
        <w:spacing w:after="0" w:line="171" w:lineRule="exact"/>
        <w:rPr>
          <w:sz w:val="20"/>
          <w:szCs w:val="20"/>
          <w:color w:val="auto"/>
        </w:rPr>
      </w:pPr>
    </w:p>
    <w:p>
      <w:pPr>
        <w:ind w:left="340" w:right="200"/>
        <w:spacing w:after="0" w:line="244" w:lineRule="auto"/>
        <w:rPr>
          <w:sz w:val="20"/>
          <w:szCs w:val="20"/>
          <w:color w:val="auto"/>
        </w:rPr>
      </w:pPr>
      <w:r>
        <w:rPr>
          <w:rFonts w:ascii="Arial" w:cs="Arial" w:eastAsia="Arial" w:hAnsi="Arial"/>
          <w:sz w:val="19"/>
          <w:szCs w:val="19"/>
          <w:color w:val="auto"/>
        </w:rPr>
        <w:t>Bonus payments are at the discretion of the Company’s Compensation and Organization Development Committee, which administers the MICP. The Compensation and Organization Development Committee reserves the discretion to modify, limit or deny any benefits that may otherwise be payable.</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780" w:type="dxa"/>
            <w:vAlign w:val="bottom"/>
            <w:vMerge w:val="restart"/>
          </w:tcPr>
          <w:p>
            <w:pPr>
              <w:spacing w:after="0"/>
              <w:rPr>
                <w:sz w:val="20"/>
                <w:szCs w:val="20"/>
                <w:color w:val="auto"/>
              </w:rPr>
            </w:pPr>
            <w:r>
              <w:rPr>
                <w:rFonts w:ascii="Arial" w:cs="Arial" w:eastAsia="Arial" w:hAnsi="Arial"/>
                <w:sz w:val="17"/>
                <w:szCs w:val="17"/>
                <w:b w:val="1"/>
                <w:bCs w:val="1"/>
                <w:color w:val="auto"/>
              </w:rPr>
              <w:t> </w:t>
            </w:r>
          </w:p>
        </w:tc>
        <w:tc>
          <w:tcPr>
            <w:tcW w:w="9780" w:type="dxa"/>
            <w:vAlign w:val="bottom"/>
          </w:tcPr>
          <w:p>
            <w:pPr>
              <w:jc w:val="right"/>
              <w:spacing w:after="0"/>
              <w:rPr>
                <w:sz w:val="20"/>
                <w:szCs w:val="20"/>
                <w:color w:val="auto"/>
              </w:rPr>
            </w:pPr>
            <w:r>
              <w:rPr>
                <w:rFonts w:ascii="Arial" w:cs="Arial" w:eastAsia="Arial" w:hAnsi="Arial"/>
                <w:sz w:val="16"/>
                <w:szCs w:val="16"/>
                <w:b w:val="1"/>
                <w:bCs w:val="1"/>
                <w:color w:val="3E8EDE"/>
              </w:rPr>
              <w:t xml:space="preserve">Executive Compensation: </w:t>
            </w:r>
            <w:r>
              <w:rPr>
                <w:rFonts w:ascii="Arial" w:cs="Arial" w:eastAsia="Arial" w:hAnsi="Arial"/>
                <w:sz w:val="16"/>
                <w:szCs w:val="16"/>
                <w:b w:val="1"/>
                <w:bCs w:val="1"/>
                <w:color w:val="000000"/>
              </w:rPr>
              <w:t>Potential Payments to Named Executive Officers Upon Termination of Employment or Change in</w:t>
            </w:r>
          </w:p>
        </w:tc>
        <w:tc>
          <w:tcPr>
            <w:tcW w:w="0" w:type="dxa"/>
            <w:vAlign w:val="bottom"/>
          </w:tcPr>
          <w:p>
            <w:pPr>
              <w:spacing w:after="0"/>
              <w:rPr>
                <w:sz w:val="1"/>
                <w:szCs w:val="1"/>
                <w:color w:val="auto"/>
              </w:rPr>
            </w:pPr>
          </w:p>
        </w:tc>
      </w:tr>
      <w:tr>
        <w:trPr>
          <w:trHeight w:val="221"/>
        </w:trPr>
        <w:tc>
          <w:tcPr>
            <w:tcW w:w="780" w:type="dxa"/>
            <w:vAlign w:val="bottom"/>
            <w:vMerge w:val="continue"/>
          </w:tcPr>
          <w:p>
            <w:pPr>
              <w:spacing w:after="0"/>
              <w:rPr>
                <w:sz w:val="19"/>
                <w:szCs w:val="19"/>
                <w:color w:val="auto"/>
              </w:rPr>
            </w:pPr>
          </w:p>
        </w:tc>
        <w:tc>
          <w:tcPr>
            <w:tcW w:w="9780" w:type="dxa"/>
            <w:vAlign w:val="bottom"/>
          </w:tcPr>
          <w:p>
            <w:pPr>
              <w:jc w:val="right"/>
              <w:spacing w:after="0"/>
              <w:rPr>
                <w:sz w:val="20"/>
                <w:szCs w:val="20"/>
                <w:color w:val="auto"/>
              </w:rPr>
            </w:pPr>
            <w:r>
              <w:rPr>
                <w:rFonts w:ascii="Arial" w:cs="Arial" w:eastAsia="Arial" w:hAnsi="Arial"/>
                <w:sz w:val="16"/>
                <w:szCs w:val="16"/>
                <w:b w:val="1"/>
                <w:bCs w:val="1"/>
                <w:color w:val="auto"/>
              </w:rPr>
              <w:t>Control</w:t>
            </w:r>
          </w:p>
        </w:tc>
        <w:tc>
          <w:tcPr>
            <w:tcW w:w="0" w:type="dxa"/>
            <w:vAlign w:val="bottom"/>
          </w:tcPr>
          <w:p>
            <w:pPr>
              <w:spacing w:after="0"/>
              <w:rPr>
                <w:sz w:val="1"/>
                <w:szCs w:val="1"/>
                <w:color w:val="auto"/>
              </w:rPr>
            </w:pPr>
          </w:p>
        </w:tc>
      </w:tr>
      <w:tr>
        <w:trPr>
          <w:trHeight w:val="27"/>
        </w:trPr>
        <w:tc>
          <w:tcPr>
            <w:tcW w:w="780" w:type="dxa"/>
            <w:vAlign w:val="bottom"/>
            <w:tcBorders>
              <w:bottom w:val="single" w:sz="8" w:color="3E8EDE"/>
            </w:tcBorders>
          </w:tcPr>
          <w:p>
            <w:pPr>
              <w:spacing w:after="0"/>
              <w:rPr>
                <w:sz w:val="2"/>
                <w:szCs w:val="2"/>
                <w:color w:val="auto"/>
              </w:rPr>
            </w:pPr>
          </w:p>
        </w:tc>
        <w:tc>
          <w:tcPr>
            <w:tcW w:w="9780" w:type="dxa"/>
            <w:vAlign w:val="bottom"/>
            <w:tcBorders>
              <w:bottom w:val="single" w:sz="8" w:color="3E8ED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40" w:right="1040"/>
        <w:spacing w:after="0" w:line="262" w:lineRule="auto"/>
        <w:rPr>
          <w:sz w:val="20"/>
          <w:szCs w:val="20"/>
          <w:color w:val="auto"/>
        </w:rPr>
      </w:pPr>
      <w:r>
        <w:rPr>
          <w:rFonts w:ascii="Arial" w:cs="Arial" w:eastAsia="Arial" w:hAnsi="Arial"/>
          <w:sz w:val="19"/>
          <w:szCs w:val="19"/>
          <w:color w:val="auto"/>
        </w:rPr>
        <w:t>Bonus payments also may be subject to “clawbacks.” See “Clawback and Related Provisions for Annual Incentive Compensation and 2006 Plan Equity Awards.”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Tokich Transition Agreement</w:t>
      </w:r>
    </w:p>
    <w:p>
      <w:pPr>
        <w:spacing w:after="0" w:line="92" w:lineRule="exact"/>
        <w:rPr>
          <w:sz w:val="20"/>
          <w:szCs w:val="20"/>
          <w:color w:val="auto"/>
        </w:rPr>
      </w:pPr>
    </w:p>
    <w:p>
      <w:pPr>
        <w:ind w:left="340" w:right="100"/>
        <w:spacing w:after="0" w:line="245" w:lineRule="auto"/>
        <w:rPr>
          <w:sz w:val="20"/>
          <w:szCs w:val="20"/>
          <w:color w:val="auto"/>
        </w:rPr>
      </w:pPr>
      <w:r>
        <w:rPr>
          <w:rFonts w:ascii="Arial" w:cs="Arial" w:eastAsia="Arial" w:hAnsi="Arial"/>
          <w:sz w:val="18"/>
          <w:szCs w:val="18"/>
          <w:color w:val="auto"/>
        </w:rPr>
        <w:t>On August 18, 2025, Mr. Tokich transitioned from his prior role as Senior Vice President and Chief Financial Officer of the Company to Senior Financial Advisor under the Transition Agreement. The Transition Agreement provided for a continuation of Mr. Tokich’s employment with the Company as Senior Financial Advisor until March 31, 2026 (subject to Mr. Tokich’s potential earlier termination by the Company for “Cause,” because of Mr. Tokich’s death or “Disability” (these key terms are defined in the Transition Agreement), by the Company after January 1, 2026 for any reason, or by Mr. Tokich at any time for any reason). Under the Transition Agreement, Mr. Tokich’s annual base salary rate decreased to $427,450 per year, but his other outstanding awards remained in place (including his bonus target under the MICP at his previous salary rate, subject to the terms of the MICP and the discretion of the Committee). Also under the Transition Agreement, Mr. Tokich’s outstanding but unvested equity awards granted in October 2021 and June 2022 continue to vest and remain eligible for continued “retirement” vesting and exercisability on the same terms as similar equity awards made subsequent to May 30, 2023.</w:t>
      </w:r>
    </w:p>
    <w:p>
      <w:pPr>
        <w:spacing w:after="0" w:line="166" w:lineRule="exact"/>
        <w:rPr>
          <w:sz w:val="20"/>
          <w:szCs w:val="20"/>
          <w:color w:val="auto"/>
        </w:rPr>
      </w:pPr>
    </w:p>
    <w:p>
      <w:pPr>
        <w:ind w:left="340" w:right="300"/>
        <w:spacing w:after="0" w:line="236" w:lineRule="auto"/>
        <w:rPr>
          <w:sz w:val="20"/>
          <w:szCs w:val="20"/>
          <w:color w:val="auto"/>
        </w:rPr>
      </w:pPr>
      <w:r>
        <w:rPr>
          <w:rFonts w:ascii="Arial" w:cs="Arial" w:eastAsia="Arial" w:hAnsi="Arial"/>
          <w:sz w:val="19"/>
          <w:szCs w:val="19"/>
          <w:color w:val="auto"/>
        </w:rPr>
        <w:t>Under the Transition Agreement, Mr. Tokich remained eligible for benefits under the Company’s health and dental plans as well as life insurance, vacation, disability and other employee benefit plans or programs, but not severance plan benefits (other than, for a termination of Mr. Tokich’s employment by the Company without “Cause” (as defined in the Transition Agreement), the remainder of his salary though March 31, 2026 (subject to the execution of a mutually satisfactory release agreement), his fiscal year 2026 MICP bonus and a continuation of benefits through March 31, 2026).</w:t>
      </w:r>
    </w:p>
    <w:p>
      <w:pPr>
        <w:spacing w:after="0" w:line="169" w:lineRule="exact"/>
        <w:rPr>
          <w:sz w:val="20"/>
          <w:szCs w:val="20"/>
          <w:color w:val="auto"/>
        </w:rPr>
      </w:pPr>
    </w:p>
    <w:p>
      <w:pPr>
        <w:ind w:left="340" w:right="200"/>
        <w:spacing w:after="0" w:line="235" w:lineRule="auto"/>
        <w:rPr>
          <w:sz w:val="20"/>
          <w:szCs w:val="20"/>
          <w:color w:val="auto"/>
        </w:rPr>
      </w:pPr>
      <w:r>
        <w:rPr>
          <w:rFonts w:ascii="Arial" w:cs="Arial" w:eastAsia="Arial" w:hAnsi="Arial"/>
          <w:sz w:val="19"/>
          <w:szCs w:val="19"/>
          <w:color w:val="auto"/>
        </w:rPr>
        <w:t>Effective April 1, 2026, the Company and Mr. Tokich amended the Transition Agreement to extend, on a part-time basis, Mr. Tokich’s service as Senior Financial Advisor from April 1, 2026 to March 31, 2027, and to reduce Mr. Tokich’s annual base salary rate during such extended period to $60,000 per year. Under the amendment, Mr. Tokich remains eligible for a cash bonus at the discretion of the CEO, subject to the approval of the Committee, and Mr. Tokich will no longer be entitled to benefits under the Company’s health and dental plans as well as any life insurance, vacation, disability or other employee benefit plans or programs.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TABLES OF PAYMENT ESTIMATES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Introduction</w:t>
      </w:r>
    </w:p>
    <w:p>
      <w:pPr>
        <w:spacing w:after="0" w:line="92" w:lineRule="exact"/>
        <w:rPr>
          <w:sz w:val="20"/>
          <w:szCs w:val="20"/>
          <w:color w:val="auto"/>
        </w:rPr>
      </w:pPr>
    </w:p>
    <w:p>
      <w:pPr>
        <w:ind w:left="340" w:right="40"/>
        <w:spacing w:after="0" w:line="234" w:lineRule="auto"/>
        <w:rPr>
          <w:sz w:val="20"/>
          <w:szCs w:val="20"/>
          <w:color w:val="auto"/>
        </w:rPr>
      </w:pPr>
      <w:r>
        <w:rPr>
          <w:rFonts w:ascii="Arial" w:cs="Arial" w:eastAsia="Arial" w:hAnsi="Arial"/>
          <w:sz w:val="19"/>
          <w:szCs w:val="19"/>
          <w:color w:val="auto"/>
        </w:rPr>
        <w:t>The tables that follow estimate and summarize the potential payments and benefits under compensation and benefit plans and contractual agreements to which the named executive officers are a party or a participant that may be realizable by each of the named executive officers in the event of a termination of employment and/or change in control under the circumstances described in the footnotes and column headings to the tables, as supplemented by the narrative descriptions of agreements and/or plans addressing or containing provisions relating to change in control and/or termination payments and benefits. These narrative descriptions are found under “Potential Payments to Named Executive Officers Upon Termination of Employment or Change in Control.”</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Excluded Amounts</w:t>
      </w:r>
    </w:p>
    <w:p>
      <w:pPr>
        <w:spacing w:after="0" w:line="92" w:lineRule="exact"/>
        <w:rPr>
          <w:sz w:val="20"/>
          <w:szCs w:val="20"/>
          <w:color w:val="auto"/>
        </w:rPr>
      </w:pPr>
    </w:p>
    <w:p>
      <w:pPr>
        <w:ind w:left="340" w:right="80"/>
        <w:spacing w:after="0" w:line="244" w:lineRule="auto"/>
        <w:rPr>
          <w:sz w:val="20"/>
          <w:szCs w:val="20"/>
          <w:color w:val="auto"/>
        </w:rPr>
      </w:pPr>
      <w:r>
        <w:rPr>
          <w:rFonts w:ascii="Arial" w:cs="Arial" w:eastAsia="Arial" w:hAnsi="Arial"/>
          <w:sz w:val="19"/>
          <w:szCs w:val="19"/>
          <w:color w:val="auto"/>
        </w:rPr>
        <w:t>The amounts shown in the tables that follow do not include payments and benefits to the extent they are provided on a non-discriminatory basis to salaried employees generally upon termination of employment. These include accrued salary and vacation pay, and distributions of plan balances under our 401(k) plan.</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77</w:t>
      </w:r>
    </w:p>
    <w:p>
      <w:pPr>
        <w:sectPr>
          <w:pgSz w:w="11900" w:h="16838" w:orient="portrait"/>
          <w:cols w:equalWidth="0" w:num="1">
            <w:col w:w="10900"/>
          </w:cols>
          <w:pgMar w:left="320" w:top="469" w:right="6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780" w:type="dxa"/>
            <w:vAlign w:val="bottom"/>
            <w:vMerge w:val="restart"/>
          </w:tcPr>
          <w:p>
            <w:pPr>
              <w:spacing w:after="0"/>
              <w:rPr>
                <w:sz w:val="20"/>
                <w:szCs w:val="20"/>
                <w:color w:val="auto"/>
              </w:rPr>
            </w:pPr>
            <w:r>
              <w:rPr>
                <w:rFonts w:ascii="Arial" w:cs="Arial" w:eastAsia="Arial" w:hAnsi="Arial"/>
                <w:sz w:val="17"/>
                <w:szCs w:val="17"/>
                <w:b w:val="1"/>
                <w:bCs w:val="1"/>
                <w:color w:val="auto"/>
              </w:rPr>
              <w:t> </w:t>
            </w:r>
          </w:p>
        </w:tc>
        <w:tc>
          <w:tcPr>
            <w:tcW w:w="9780" w:type="dxa"/>
            <w:vAlign w:val="bottom"/>
          </w:tcPr>
          <w:p>
            <w:pPr>
              <w:jc w:val="right"/>
              <w:spacing w:after="0"/>
              <w:rPr>
                <w:sz w:val="20"/>
                <w:szCs w:val="20"/>
                <w:color w:val="auto"/>
              </w:rPr>
            </w:pPr>
            <w:r>
              <w:rPr>
                <w:rFonts w:ascii="Arial" w:cs="Arial" w:eastAsia="Arial" w:hAnsi="Arial"/>
                <w:sz w:val="16"/>
                <w:szCs w:val="16"/>
                <w:b w:val="1"/>
                <w:bCs w:val="1"/>
                <w:color w:val="3E8EDE"/>
              </w:rPr>
              <w:t xml:space="preserve">Executive Compensation: </w:t>
            </w:r>
            <w:r>
              <w:rPr>
                <w:rFonts w:ascii="Arial" w:cs="Arial" w:eastAsia="Arial" w:hAnsi="Arial"/>
                <w:sz w:val="16"/>
                <w:szCs w:val="16"/>
                <w:b w:val="1"/>
                <w:bCs w:val="1"/>
                <w:color w:val="000000"/>
              </w:rPr>
              <w:t>Potential Payments to Named Executive Officers Upon Termination of Employment or Change in</w:t>
            </w:r>
          </w:p>
        </w:tc>
        <w:tc>
          <w:tcPr>
            <w:tcW w:w="0" w:type="dxa"/>
            <w:vAlign w:val="bottom"/>
          </w:tcPr>
          <w:p>
            <w:pPr>
              <w:spacing w:after="0"/>
              <w:rPr>
                <w:sz w:val="1"/>
                <w:szCs w:val="1"/>
                <w:color w:val="auto"/>
              </w:rPr>
            </w:pPr>
          </w:p>
        </w:tc>
      </w:tr>
      <w:tr>
        <w:trPr>
          <w:trHeight w:val="221"/>
        </w:trPr>
        <w:tc>
          <w:tcPr>
            <w:tcW w:w="780" w:type="dxa"/>
            <w:vAlign w:val="bottom"/>
            <w:vMerge w:val="continue"/>
          </w:tcPr>
          <w:p>
            <w:pPr>
              <w:spacing w:after="0"/>
              <w:rPr>
                <w:sz w:val="19"/>
                <w:szCs w:val="19"/>
                <w:color w:val="auto"/>
              </w:rPr>
            </w:pPr>
          </w:p>
        </w:tc>
        <w:tc>
          <w:tcPr>
            <w:tcW w:w="9780" w:type="dxa"/>
            <w:vAlign w:val="bottom"/>
          </w:tcPr>
          <w:p>
            <w:pPr>
              <w:jc w:val="right"/>
              <w:spacing w:after="0"/>
              <w:rPr>
                <w:sz w:val="20"/>
                <w:szCs w:val="20"/>
                <w:color w:val="auto"/>
              </w:rPr>
            </w:pPr>
            <w:r>
              <w:rPr>
                <w:rFonts w:ascii="Arial" w:cs="Arial" w:eastAsia="Arial" w:hAnsi="Arial"/>
                <w:sz w:val="16"/>
                <w:szCs w:val="16"/>
                <w:b w:val="1"/>
                <w:bCs w:val="1"/>
                <w:color w:val="auto"/>
              </w:rPr>
              <w:t>Control</w:t>
            </w:r>
          </w:p>
        </w:tc>
        <w:tc>
          <w:tcPr>
            <w:tcW w:w="0" w:type="dxa"/>
            <w:vAlign w:val="bottom"/>
          </w:tcPr>
          <w:p>
            <w:pPr>
              <w:spacing w:after="0"/>
              <w:rPr>
                <w:sz w:val="1"/>
                <w:szCs w:val="1"/>
                <w:color w:val="auto"/>
              </w:rPr>
            </w:pPr>
          </w:p>
        </w:tc>
      </w:tr>
      <w:tr>
        <w:trPr>
          <w:trHeight w:val="27"/>
        </w:trPr>
        <w:tc>
          <w:tcPr>
            <w:tcW w:w="780" w:type="dxa"/>
            <w:vAlign w:val="bottom"/>
            <w:tcBorders>
              <w:bottom w:val="single" w:sz="8" w:color="3E8EDE"/>
            </w:tcBorders>
          </w:tcPr>
          <w:p>
            <w:pPr>
              <w:spacing w:after="0"/>
              <w:rPr>
                <w:sz w:val="2"/>
                <w:szCs w:val="2"/>
                <w:color w:val="auto"/>
              </w:rPr>
            </w:pPr>
          </w:p>
        </w:tc>
        <w:tc>
          <w:tcPr>
            <w:tcW w:w="9780" w:type="dxa"/>
            <w:vAlign w:val="bottom"/>
            <w:tcBorders>
              <w:bottom w:val="single" w:sz="8" w:color="3E8ED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40" w:right="860"/>
        <w:spacing w:after="0" w:line="297" w:lineRule="auto"/>
        <w:rPr>
          <w:sz w:val="20"/>
          <w:szCs w:val="20"/>
          <w:color w:val="auto"/>
        </w:rPr>
      </w:pPr>
      <w:r>
        <w:rPr>
          <w:rFonts w:ascii="Arial" w:cs="Arial" w:eastAsia="Arial" w:hAnsi="Arial"/>
          <w:sz w:val="24"/>
          <w:szCs w:val="24"/>
          <w:b w:val="1"/>
          <w:bCs w:val="1"/>
          <w:color w:val="auto"/>
        </w:rPr>
        <w:t>POTENTIAL PAYMENTS TO NAMED EXECUTIVE OFFICERS UPON TERMINATION OF EMPLOYMENT OR CHANGE OF CONTROL</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Daniel A. Carestio</w:t>
      </w:r>
      <w:r>
        <w:rPr>
          <w:rFonts w:ascii="Arial" w:cs="Arial" w:eastAsia="Arial" w:hAnsi="Arial"/>
          <w:sz w:val="36"/>
          <w:szCs w:val="36"/>
          <w:b w:val="1"/>
          <w:bCs w:val="1"/>
          <w:color w:val="auto"/>
          <w:vertAlign w:val="superscript"/>
        </w:rPr>
        <w:t>(1)</w:t>
      </w:r>
    </w:p>
    <w:p>
      <w:pPr>
        <w:spacing w:after="0" w:line="89" w:lineRule="exact"/>
        <w:rPr>
          <w:sz w:val="20"/>
          <w:szCs w:val="20"/>
          <w:color w:val="auto"/>
        </w:rPr>
      </w:pPr>
    </w:p>
    <w:p>
      <w:pPr>
        <w:ind w:left="340" w:right="420"/>
        <w:spacing w:after="0" w:line="239" w:lineRule="auto"/>
        <w:rPr>
          <w:sz w:val="20"/>
          <w:szCs w:val="20"/>
          <w:color w:val="auto"/>
        </w:rPr>
      </w:pPr>
      <w:r>
        <w:rPr>
          <w:rFonts w:ascii="Arial" w:cs="Arial" w:eastAsia="Arial" w:hAnsi="Arial"/>
          <w:sz w:val="19"/>
          <w:szCs w:val="19"/>
          <w:color w:val="auto"/>
        </w:rPr>
        <w:t>The table below describes those benefits to which Mr. Carestio would have been entitled under the Company’s Senior Executive Severance Plan (“Senior Executive Severance Plan”) and his equity awards under various scenarios, including change in control scenarios,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135890</wp:posOffset>
            </wp:positionV>
            <wp:extent cx="6710045" cy="8718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10045" cy="871855"/>
                    </a:xfrm>
                    <a:prstGeom prst="rect">
                      <a:avLst/>
                    </a:prstGeom>
                    <a:noFill/>
                  </pic:spPr>
                </pic:pic>
              </a:graphicData>
            </a:graphic>
          </wp:anchor>
        </w:drawing>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4560" w:type="dxa"/>
            <w:vAlign w:val="bottom"/>
            <w:shd w:val="clear" w:color="auto" w:fill="3E8EDE"/>
          </w:tcPr>
          <w:p>
            <w:pPr>
              <w:spacing w:after="0"/>
              <w:rPr>
                <w:sz w:val="14"/>
                <w:szCs w:val="14"/>
                <w:color w:val="auto"/>
              </w:rPr>
            </w:pPr>
          </w:p>
        </w:tc>
        <w:tc>
          <w:tcPr>
            <w:tcW w:w="160" w:type="dxa"/>
            <w:vAlign w:val="bottom"/>
            <w:shd w:val="clear" w:color="auto" w:fill="3E8EDE"/>
          </w:tcPr>
          <w:p>
            <w:pPr>
              <w:spacing w:after="0"/>
              <w:rPr>
                <w:sz w:val="14"/>
                <w:szCs w:val="14"/>
                <w:color w:val="auto"/>
              </w:rPr>
            </w:pPr>
          </w:p>
        </w:tc>
        <w:tc>
          <w:tcPr>
            <w:tcW w:w="540" w:type="dxa"/>
            <w:vAlign w:val="bottom"/>
            <w:shd w:val="clear" w:color="auto" w:fill="3E8EDE"/>
          </w:tcPr>
          <w:p>
            <w:pPr>
              <w:spacing w:after="0"/>
              <w:rPr>
                <w:sz w:val="14"/>
                <w:szCs w:val="14"/>
                <w:color w:val="auto"/>
              </w:rPr>
            </w:pPr>
          </w:p>
        </w:tc>
        <w:tc>
          <w:tcPr>
            <w:tcW w:w="820" w:type="dxa"/>
            <w:vAlign w:val="bottom"/>
            <w:shd w:val="clear" w:color="auto" w:fill="3E8EDE"/>
          </w:tcPr>
          <w:p>
            <w:pPr>
              <w:spacing w:after="0"/>
              <w:rPr>
                <w:sz w:val="14"/>
                <w:szCs w:val="14"/>
                <w:color w:val="auto"/>
              </w:rPr>
            </w:pPr>
          </w:p>
        </w:tc>
        <w:tc>
          <w:tcPr>
            <w:tcW w:w="620" w:type="dxa"/>
            <w:vAlign w:val="bottom"/>
            <w:shd w:val="clear" w:color="auto" w:fill="3E8EDE"/>
          </w:tcPr>
          <w:p>
            <w:pPr>
              <w:spacing w:after="0"/>
              <w:rPr>
                <w:sz w:val="14"/>
                <w:szCs w:val="14"/>
                <w:color w:val="auto"/>
              </w:rPr>
            </w:pPr>
          </w:p>
        </w:tc>
        <w:tc>
          <w:tcPr>
            <w:tcW w:w="820" w:type="dxa"/>
            <w:vAlign w:val="bottom"/>
            <w:shd w:val="clear" w:color="auto" w:fill="3E8EDE"/>
          </w:tcPr>
          <w:p>
            <w:pPr>
              <w:spacing w:after="0"/>
              <w:rPr>
                <w:sz w:val="14"/>
                <w:szCs w:val="14"/>
                <w:color w:val="auto"/>
              </w:rPr>
            </w:pPr>
          </w:p>
        </w:tc>
        <w:tc>
          <w:tcPr>
            <w:tcW w:w="1400" w:type="dxa"/>
            <w:vAlign w:val="bottom"/>
            <w:shd w:val="clear" w:color="auto" w:fill="3E8EDE"/>
          </w:tcPr>
          <w:p>
            <w:pPr>
              <w:spacing w:after="0"/>
              <w:rPr>
                <w:sz w:val="14"/>
                <w:szCs w:val="14"/>
                <w:color w:val="auto"/>
              </w:rPr>
            </w:pPr>
          </w:p>
        </w:tc>
        <w:tc>
          <w:tcPr>
            <w:tcW w:w="300" w:type="dxa"/>
            <w:vAlign w:val="bottom"/>
            <w:shd w:val="clear" w:color="auto" w:fill="3E8EDE"/>
          </w:tcPr>
          <w:p>
            <w:pPr>
              <w:spacing w:after="0"/>
              <w:rPr>
                <w:sz w:val="14"/>
                <w:szCs w:val="14"/>
                <w:color w:val="auto"/>
              </w:rPr>
            </w:pPr>
          </w:p>
        </w:tc>
        <w:tc>
          <w:tcPr>
            <w:tcW w:w="1340" w:type="dxa"/>
            <w:vAlign w:val="bottom"/>
            <w:gridSpan w:val="2"/>
            <w:shd w:val="clear" w:color="auto" w:fill="3E8EDE"/>
          </w:tcPr>
          <w:p>
            <w:pPr>
              <w:jc w:val="center"/>
              <w:spacing w:after="0"/>
              <w:rPr>
                <w:sz w:val="20"/>
                <w:szCs w:val="20"/>
                <w:color w:val="auto"/>
              </w:rPr>
            </w:pPr>
            <w:r>
              <w:rPr>
                <w:rFonts w:ascii="Arial" w:cs="Arial" w:eastAsia="Arial" w:hAnsi="Arial"/>
                <w:sz w:val="14"/>
                <w:szCs w:val="14"/>
                <w:b w:val="1"/>
                <w:bCs w:val="1"/>
                <w:color w:val="FFFFFF"/>
                <w:w w:val="97"/>
              </w:rPr>
              <w:t>Change in</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540" w:type="dxa"/>
            <w:vAlign w:val="bottom"/>
            <w:shd w:val="clear" w:color="auto" w:fill="3E8EDE"/>
          </w:tcPr>
          <w:p>
            <w:pPr>
              <w:spacing w:after="0"/>
              <w:rPr>
                <w:sz w:val="13"/>
                <w:szCs w:val="13"/>
                <w:color w:val="auto"/>
              </w:rPr>
            </w:pPr>
          </w:p>
        </w:tc>
        <w:tc>
          <w:tcPr>
            <w:tcW w:w="820" w:type="dxa"/>
            <w:vAlign w:val="bottom"/>
            <w:shd w:val="clear" w:color="auto" w:fill="3E8EDE"/>
          </w:tcPr>
          <w:p>
            <w:pPr>
              <w:spacing w:after="0"/>
              <w:rPr>
                <w:sz w:val="13"/>
                <w:szCs w:val="13"/>
                <w:color w:val="auto"/>
              </w:rPr>
            </w:pPr>
          </w:p>
        </w:tc>
        <w:tc>
          <w:tcPr>
            <w:tcW w:w="14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rPr>
              <w:t>Change in</w:t>
            </w:r>
          </w:p>
        </w:tc>
        <w:tc>
          <w:tcPr>
            <w:tcW w:w="1400" w:type="dxa"/>
            <w:vAlign w:val="bottom"/>
            <w:shd w:val="clear" w:color="auto" w:fill="3E8EDE"/>
          </w:tcPr>
          <w:p>
            <w:pPr>
              <w:spacing w:after="0"/>
              <w:rPr>
                <w:sz w:val="13"/>
                <w:szCs w:val="13"/>
                <w:color w:val="auto"/>
              </w:rPr>
            </w:pPr>
          </w:p>
        </w:tc>
        <w:tc>
          <w:tcPr>
            <w:tcW w:w="300" w:type="dxa"/>
            <w:vAlign w:val="bottom"/>
            <w:shd w:val="clear" w:color="auto" w:fill="3E8EDE"/>
          </w:tcPr>
          <w:p>
            <w:pPr>
              <w:spacing w:after="0"/>
              <w:rPr>
                <w:sz w:val="13"/>
                <w:szCs w:val="13"/>
                <w:color w:val="auto"/>
              </w:rPr>
            </w:pPr>
          </w:p>
        </w:tc>
        <w:tc>
          <w:tcPr>
            <w:tcW w:w="13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9"/>
              </w:rPr>
              <w:t>Control and</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60" w:type="dxa"/>
            <w:vAlign w:val="bottom"/>
            <w:gridSpan w:val="2"/>
            <w:shd w:val="clear" w:color="auto" w:fill="3E8EDE"/>
          </w:tcPr>
          <w:p>
            <w:pPr>
              <w:jc w:val="center"/>
              <w:ind w:right="54"/>
              <w:spacing w:after="0" w:line="155" w:lineRule="exact"/>
              <w:rPr>
                <w:sz w:val="20"/>
                <w:szCs w:val="20"/>
                <w:color w:val="auto"/>
              </w:rPr>
            </w:pPr>
            <w:r>
              <w:rPr>
                <w:rFonts w:ascii="Arial" w:cs="Arial" w:eastAsia="Arial" w:hAnsi="Arial"/>
                <w:sz w:val="14"/>
                <w:szCs w:val="14"/>
                <w:b w:val="1"/>
                <w:bCs w:val="1"/>
                <w:color w:val="FFFFFF"/>
                <w:w w:val="97"/>
              </w:rPr>
              <w:t>Termination by</w:t>
            </w:r>
          </w:p>
        </w:tc>
        <w:tc>
          <w:tcPr>
            <w:tcW w:w="14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6"/>
              </w:rPr>
              <w:t>Control</w:t>
            </w:r>
          </w:p>
        </w:tc>
        <w:tc>
          <w:tcPr>
            <w:tcW w:w="1400" w:type="dxa"/>
            <w:vAlign w:val="bottom"/>
            <w:shd w:val="clear" w:color="auto" w:fill="3E8EDE"/>
          </w:tcPr>
          <w:p>
            <w:pPr>
              <w:ind w:left="40"/>
              <w:spacing w:after="0" w:line="155" w:lineRule="exact"/>
              <w:rPr>
                <w:sz w:val="20"/>
                <w:szCs w:val="20"/>
                <w:color w:val="auto"/>
              </w:rPr>
            </w:pPr>
            <w:r>
              <w:rPr>
                <w:rFonts w:ascii="Arial" w:cs="Arial" w:eastAsia="Arial" w:hAnsi="Arial"/>
                <w:sz w:val="14"/>
                <w:szCs w:val="14"/>
                <w:b w:val="1"/>
                <w:bCs w:val="1"/>
                <w:color w:val="FFFFFF"/>
                <w:w w:val="93"/>
              </w:rPr>
              <w:t>   Change in Control</w:t>
            </w:r>
          </w:p>
        </w:tc>
        <w:tc>
          <w:tcPr>
            <w:tcW w:w="300" w:type="dxa"/>
            <w:vAlign w:val="bottom"/>
            <w:shd w:val="clear" w:color="auto" w:fill="3E8EDE"/>
          </w:tcPr>
          <w:p>
            <w:pPr>
              <w:spacing w:after="0"/>
              <w:rPr>
                <w:sz w:val="13"/>
                <w:szCs w:val="13"/>
                <w:color w:val="auto"/>
              </w:rPr>
            </w:pPr>
          </w:p>
        </w:tc>
        <w:tc>
          <w:tcPr>
            <w:tcW w:w="13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7"/>
              </w:rPr>
              <w:t>Termination by</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60" w:type="dxa"/>
            <w:vAlign w:val="bottom"/>
            <w:gridSpan w:val="2"/>
            <w:shd w:val="clear" w:color="auto" w:fill="3E8EDE"/>
          </w:tcPr>
          <w:p>
            <w:pPr>
              <w:jc w:val="center"/>
              <w:ind w:right="34"/>
              <w:spacing w:after="0" w:line="155" w:lineRule="exact"/>
              <w:rPr>
                <w:sz w:val="20"/>
                <w:szCs w:val="20"/>
                <w:color w:val="auto"/>
              </w:rPr>
            </w:pPr>
            <w:r>
              <w:rPr>
                <w:rFonts w:ascii="Arial" w:cs="Arial" w:eastAsia="Arial" w:hAnsi="Arial"/>
                <w:sz w:val="14"/>
                <w:szCs w:val="14"/>
                <w:b w:val="1"/>
                <w:bCs w:val="1"/>
                <w:color w:val="FFFFFF"/>
                <w:w w:val="99"/>
              </w:rPr>
              <w:t>the Company</w:t>
            </w:r>
          </w:p>
        </w:tc>
        <w:tc>
          <w:tcPr>
            <w:tcW w:w="14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6"/>
              </w:rPr>
              <w:t>without</w:t>
            </w:r>
          </w:p>
        </w:tc>
        <w:tc>
          <w:tcPr>
            <w:tcW w:w="1400" w:type="dxa"/>
            <w:vAlign w:val="bottom"/>
            <w:shd w:val="clear" w:color="auto" w:fill="3E8EDE"/>
          </w:tcPr>
          <w:p>
            <w:pPr>
              <w:jc w:val="center"/>
              <w:ind w:left="82"/>
              <w:spacing w:after="0" w:line="155" w:lineRule="exact"/>
              <w:rPr>
                <w:sz w:val="20"/>
                <w:szCs w:val="20"/>
                <w:color w:val="auto"/>
              </w:rPr>
            </w:pPr>
            <w:r>
              <w:rPr>
                <w:rFonts w:ascii="Arial" w:cs="Arial" w:eastAsia="Arial" w:hAnsi="Arial"/>
                <w:sz w:val="14"/>
                <w:szCs w:val="14"/>
                <w:b w:val="1"/>
                <w:bCs w:val="1"/>
                <w:color w:val="FFFFFF"/>
                <w:w w:val="96"/>
              </w:rPr>
              <w:t>without</w:t>
            </w:r>
          </w:p>
        </w:tc>
        <w:tc>
          <w:tcPr>
            <w:tcW w:w="300" w:type="dxa"/>
            <w:vAlign w:val="bottom"/>
            <w:shd w:val="clear" w:color="auto" w:fill="3E8EDE"/>
          </w:tcPr>
          <w:p>
            <w:pPr>
              <w:spacing w:after="0"/>
              <w:rPr>
                <w:sz w:val="13"/>
                <w:szCs w:val="13"/>
                <w:color w:val="auto"/>
              </w:rPr>
            </w:pPr>
          </w:p>
        </w:tc>
        <w:tc>
          <w:tcPr>
            <w:tcW w:w="13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6"/>
              </w:rPr>
              <w:t>the Company</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ind w:left="80"/>
              <w:spacing w:after="0"/>
              <w:rPr>
                <w:sz w:val="20"/>
                <w:szCs w:val="20"/>
                <w:color w:val="auto"/>
              </w:rPr>
            </w:pPr>
            <w:r>
              <w:rPr>
                <w:rFonts w:ascii="Arial" w:cs="Arial" w:eastAsia="Arial" w:hAnsi="Arial"/>
                <w:sz w:val="8"/>
                <w:szCs w:val="8"/>
                <w:b w:val="1"/>
                <w:bCs w:val="1"/>
                <w:color w:val="FFFFFF"/>
                <w:w w:val="74"/>
              </w:rPr>
              <w:t> </w:t>
            </w:r>
          </w:p>
        </w:tc>
        <w:tc>
          <w:tcPr>
            <w:tcW w:w="1360" w:type="dxa"/>
            <w:vAlign w:val="bottom"/>
            <w:gridSpan w:val="2"/>
            <w:shd w:val="clear" w:color="auto" w:fill="3E8EDE"/>
          </w:tcPr>
          <w:p>
            <w:pPr>
              <w:jc w:val="center"/>
              <w:ind w:right="34"/>
              <w:spacing w:after="0" w:line="155" w:lineRule="exact"/>
              <w:rPr>
                <w:sz w:val="20"/>
                <w:szCs w:val="20"/>
                <w:color w:val="auto"/>
              </w:rPr>
            </w:pPr>
            <w:r>
              <w:rPr>
                <w:rFonts w:ascii="Arial" w:cs="Arial" w:eastAsia="Arial" w:hAnsi="Arial"/>
                <w:sz w:val="14"/>
                <w:szCs w:val="14"/>
                <w:b w:val="1"/>
                <w:bCs w:val="1"/>
                <w:color w:val="FFFFFF"/>
                <w:w w:val="98"/>
              </w:rPr>
              <w:t>without Cause or</w:t>
            </w:r>
          </w:p>
        </w:tc>
        <w:tc>
          <w:tcPr>
            <w:tcW w:w="1440" w:type="dxa"/>
            <w:vAlign w:val="bottom"/>
            <w:gridSpan w:val="2"/>
            <w:shd w:val="clear" w:color="auto" w:fill="3E8EDE"/>
          </w:tcPr>
          <w:p>
            <w:pPr>
              <w:ind w:left="40"/>
              <w:spacing w:after="0" w:line="155" w:lineRule="exact"/>
              <w:rPr>
                <w:sz w:val="20"/>
                <w:szCs w:val="20"/>
                <w:color w:val="auto"/>
              </w:rPr>
            </w:pPr>
            <w:r>
              <w:rPr>
                <w:rFonts w:ascii="Arial" w:cs="Arial" w:eastAsia="Arial" w:hAnsi="Arial"/>
                <w:sz w:val="14"/>
                <w:szCs w:val="14"/>
                <w:b w:val="1"/>
                <w:bCs w:val="1"/>
                <w:color w:val="FFFFFF"/>
              </w:rPr>
              <w:t>   Termination and</w:t>
            </w:r>
          </w:p>
        </w:tc>
        <w:tc>
          <w:tcPr>
            <w:tcW w:w="1400" w:type="dxa"/>
            <w:vAlign w:val="bottom"/>
            <w:shd w:val="clear" w:color="auto" w:fill="3E8EDE"/>
          </w:tcPr>
          <w:p>
            <w:pPr>
              <w:jc w:val="center"/>
              <w:ind w:left="82"/>
              <w:spacing w:after="0" w:line="155" w:lineRule="exact"/>
              <w:rPr>
                <w:sz w:val="20"/>
                <w:szCs w:val="20"/>
                <w:color w:val="auto"/>
              </w:rPr>
            </w:pPr>
            <w:r>
              <w:rPr>
                <w:rFonts w:ascii="Arial" w:cs="Arial" w:eastAsia="Arial" w:hAnsi="Arial"/>
                <w:sz w:val="14"/>
                <w:szCs w:val="14"/>
                <w:b w:val="1"/>
                <w:bCs w:val="1"/>
                <w:color w:val="FFFFFF"/>
                <w:w w:val="98"/>
              </w:rPr>
              <w:t>Termination but</w:t>
            </w:r>
          </w:p>
        </w:tc>
        <w:tc>
          <w:tcPr>
            <w:tcW w:w="300" w:type="dxa"/>
            <w:vAlign w:val="bottom"/>
            <w:shd w:val="clear" w:color="auto" w:fill="3E8EDE"/>
          </w:tcPr>
          <w:p>
            <w:pPr>
              <w:spacing w:after="0"/>
              <w:rPr>
                <w:sz w:val="13"/>
                <w:szCs w:val="13"/>
                <w:color w:val="auto"/>
              </w:rPr>
            </w:pPr>
          </w:p>
        </w:tc>
        <w:tc>
          <w:tcPr>
            <w:tcW w:w="13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without Cause</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60" w:type="dxa"/>
            <w:vAlign w:val="bottom"/>
            <w:gridSpan w:val="2"/>
            <w:shd w:val="clear" w:color="auto" w:fill="3E8EDE"/>
          </w:tcPr>
          <w:p>
            <w:pPr>
              <w:jc w:val="center"/>
              <w:ind w:right="54"/>
              <w:spacing w:after="0" w:line="155" w:lineRule="exact"/>
              <w:rPr>
                <w:sz w:val="20"/>
                <w:szCs w:val="20"/>
                <w:color w:val="auto"/>
              </w:rPr>
            </w:pPr>
            <w:r>
              <w:rPr>
                <w:rFonts w:ascii="Arial" w:cs="Arial" w:eastAsia="Arial" w:hAnsi="Arial"/>
                <w:sz w:val="14"/>
                <w:szCs w:val="14"/>
                <w:b w:val="1"/>
                <w:bCs w:val="1"/>
                <w:color w:val="FFFFFF"/>
                <w:w w:val="97"/>
              </w:rPr>
              <w:t>Termination by</w:t>
            </w:r>
          </w:p>
        </w:tc>
        <w:tc>
          <w:tcPr>
            <w:tcW w:w="14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no Qualifying</w:t>
            </w:r>
          </w:p>
        </w:tc>
        <w:tc>
          <w:tcPr>
            <w:tcW w:w="1400" w:type="dxa"/>
            <w:vAlign w:val="bottom"/>
            <w:shd w:val="clear" w:color="auto" w:fill="3E8EDE"/>
          </w:tcPr>
          <w:p>
            <w:pPr>
              <w:jc w:val="center"/>
              <w:ind w:left="82"/>
              <w:spacing w:after="0" w:line="155" w:lineRule="exact"/>
              <w:rPr>
                <w:sz w:val="20"/>
                <w:szCs w:val="20"/>
                <w:color w:val="auto"/>
              </w:rPr>
            </w:pPr>
            <w:r>
              <w:rPr>
                <w:rFonts w:ascii="Arial" w:cs="Arial" w:eastAsia="Arial" w:hAnsi="Arial"/>
                <w:sz w:val="14"/>
                <w:szCs w:val="14"/>
                <w:b w:val="1"/>
                <w:bCs w:val="1"/>
                <w:color w:val="FFFFFF"/>
                <w:w w:val="99"/>
              </w:rPr>
              <w:t>with Qualifying</w:t>
            </w:r>
          </w:p>
        </w:tc>
        <w:tc>
          <w:tcPr>
            <w:tcW w:w="300" w:type="dxa"/>
            <w:vAlign w:val="bottom"/>
            <w:shd w:val="clear" w:color="auto" w:fill="3E8EDE"/>
          </w:tcPr>
          <w:p>
            <w:pPr>
              <w:jc w:val="right"/>
              <w:spacing w:after="0" w:line="155" w:lineRule="exact"/>
              <w:rPr>
                <w:sz w:val="20"/>
                <w:szCs w:val="20"/>
                <w:color w:val="auto"/>
              </w:rPr>
            </w:pPr>
            <w:r>
              <w:rPr>
                <w:rFonts w:ascii="Arial" w:cs="Arial" w:eastAsia="Arial" w:hAnsi="Arial"/>
                <w:sz w:val="14"/>
                <w:szCs w:val="14"/>
                <w:b w:val="1"/>
                <w:bCs w:val="1"/>
                <w:color w:val="FFFFFF"/>
              </w:rPr>
              <w:t> </w:t>
            </w:r>
          </w:p>
        </w:tc>
        <w:tc>
          <w:tcPr>
            <w:tcW w:w="13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6"/>
              </w:rPr>
              <w:t>or Termination by</w:t>
            </w:r>
          </w:p>
        </w:tc>
      </w:tr>
      <w:tr>
        <w:trPr>
          <w:trHeight w:val="152"/>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60" w:type="dxa"/>
            <w:vAlign w:val="bottom"/>
            <w:gridSpan w:val="2"/>
            <w:shd w:val="clear" w:color="auto" w:fill="3E8EDE"/>
          </w:tcPr>
          <w:p>
            <w:pPr>
              <w:jc w:val="center"/>
              <w:ind w:right="54"/>
              <w:spacing w:after="0" w:line="152" w:lineRule="exact"/>
              <w:rPr>
                <w:sz w:val="20"/>
                <w:szCs w:val="20"/>
                <w:color w:val="auto"/>
              </w:rPr>
            </w:pPr>
            <w:r>
              <w:rPr>
                <w:rFonts w:ascii="Arial" w:cs="Arial" w:eastAsia="Arial" w:hAnsi="Arial"/>
                <w:sz w:val="14"/>
                <w:szCs w:val="14"/>
                <w:b w:val="1"/>
                <w:bCs w:val="1"/>
                <w:color w:val="FFFFFF"/>
                <w:w w:val="98"/>
              </w:rPr>
              <w:t>the employee for</w:t>
            </w:r>
          </w:p>
        </w:tc>
        <w:tc>
          <w:tcPr>
            <w:tcW w:w="1440" w:type="dxa"/>
            <w:vAlign w:val="bottom"/>
            <w:gridSpan w:val="2"/>
            <w:shd w:val="clear" w:color="auto" w:fill="3E8EDE"/>
          </w:tcPr>
          <w:p>
            <w:pPr>
              <w:jc w:val="center"/>
              <w:spacing w:after="0" w:line="152" w:lineRule="exact"/>
              <w:rPr>
                <w:sz w:val="20"/>
                <w:szCs w:val="20"/>
                <w:color w:val="auto"/>
              </w:rPr>
            </w:pPr>
            <w:r>
              <w:rPr>
                <w:rFonts w:ascii="Arial" w:cs="Arial" w:eastAsia="Arial" w:hAnsi="Arial"/>
                <w:sz w:val="14"/>
                <w:szCs w:val="14"/>
                <w:b w:val="1"/>
                <w:bCs w:val="1"/>
                <w:color w:val="FFFFFF"/>
                <w:w w:val="98"/>
              </w:rPr>
              <w:t>Replacement</w:t>
            </w:r>
          </w:p>
        </w:tc>
        <w:tc>
          <w:tcPr>
            <w:tcW w:w="1400" w:type="dxa"/>
            <w:vAlign w:val="bottom"/>
            <w:shd w:val="clear" w:color="auto" w:fill="3E8EDE"/>
          </w:tcPr>
          <w:p>
            <w:pPr>
              <w:jc w:val="center"/>
              <w:ind w:left="102"/>
              <w:spacing w:after="0" w:line="152" w:lineRule="exact"/>
              <w:rPr>
                <w:sz w:val="20"/>
                <w:szCs w:val="20"/>
                <w:color w:val="auto"/>
              </w:rPr>
            </w:pPr>
            <w:r>
              <w:rPr>
                <w:rFonts w:ascii="Arial" w:cs="Arial" w:eastAsia="Arial" w:hAnsi="Arial"/>
                <w:sz w:val="14"/>
                <w:szCs w:val="14"/>
                <w:b w:val="1"/>
                <w:bCs w:val="1"/>
                <w:color w:val="FFFFFF"/>
                <w:w w:val="98"/>
              </w:rPr>
              <w:t>Replacement</w:t>
            </w:r>
          </w:p>
        </w:tc>
        <w:tc>
          <w:tcPr>
            <w:tcW w:w="300" w:type="dxa"/>
            <w:vAlign w:val="bottom"/>
            <w:shd w:val="clear" w:color="auto" w:fill="3E8EDE"/>
          </w:tcPr>
          <w:p>
            <w:pPr>
              <w:spacing w:after="0"/>
              <w:rPr>
                <w:sz w:val="13"/>
                <w:szCs w:val="13"/>
                <w:color w:val="auto"/>
              </w:rPr>
            </w:pPr>
          </w:p>
        </w:tc>
        <w:tc>
          <w:tcPr>
            <w:tcW w:w="1340" w:type="dxa"/>
            <w:vAlign w:val="bottom"/>
            <w:gridSpan w:val="2"/>
            <w:shd w:val="clear" w:color="auto" w:fill="3E8EDE"/>
          </w:tcPr>
          <w:p>
            <w:pPr>
              <w:jc w:val="center"/>
              <w:spacing w:after="0" w:line="152" w:lineRule="exact"/>
              <w:rPr>
                <w:sz w:val="20"/>
                <w:szCs w:val="20"/>
                <w:color w:val="auto"/>
              </w:rPr>
            </w:pPr>
            <w:r>
              <w:rPr>
                <w:rFonts w:ascii="Arial" w:cs="Arial" w:eastAsia="Arial" w:hAnsi="Arial"/>
                <w:sz w:val="14"/>
                <w:szCs w:val="14"/>
                <w:b w:val="1"/>
                <w:bCs w:val="1"/>
                <w:color w:val="FFFFFF"/>
                <w:w w:val="98"/>
              </w:rPr>
              <w:t>the employee for</w:t>
            </w:r>
          </w:p>
        </w:tc>
      </w:tr>
      <w:tr>
        <w:trPr>
          <w:trHeight w:val="259"/>
        </w:trPr>
        <w:tc>
          <w:tcPr>
            <w:tcW w:w="4560" w:type="dxa"/>
            <w:vAlign w:val="bottom"/>
            <w:shd w:val="clear" w:color="auto" w:fill="3E8EDE"/>
          </w:tcPr>
          <w:p>
            <w:pPr>
              <w:spacing w:after="0"/>
              <w:rPr>
                <w:sz w:val="22"/>
                <w:szCs w:val="22"/>
                <w:color w:val="auto"/>
              </w:rPr>
            </w:pPr>
          </w:p>
        </w:tc>
        <w:tc>
          <w:tcPr>
            <w:tcW w:w="160" w:type="dxa"/>
            <w:vAlign w:val="bottom"/>
            <w:shd w:val="clear" w:color="auto" w:fill="3E8EDE"/>
          </w:tcPr>
          <w:p>
            <w:pPr>
              <w:spacing w:after="0"/>
              <w:rPr>
                <w:sz w:val="22"/>
                <w:szCs w:val="22"/>
                <w:color w:val="auto"/>
              </w:rPr>
            </w:pPr>
          </w:p>
        </w:tc>
        <w:tc>
          <w:tcPr>
            <w:tcW w:w="1360" w:type="dxa"/>
            <w:vAlign w:val="bottom"/>
            <w:gridSpan w:val="2"/>
            <w:shd w:val="clear" w:color="auto" w:fill="3E8EDE"/>
          </w:tcPr>
          <w:p>
            <w:pPr>
              <w:jc w:val="center"/>
              <w:ind w:right="54"/>
              <w:spacing w:after="0"/>
              <w:rPr>
                <w:sz w:val="20"/>
                <w:szCs w:val="20"/>
                <w:color w:val="auto"/>
              </w:rPr>
            </w:pPr>
            <w:r>
              <w:rPr>
                <w:rFonts w:ascii="Arial" w:cs="Arial" w:eastAsia="Arial" w:hAnsi="Arial"/>
                <w:sz w:val="14"/>
                <w:szCs w:val="14"/>
                <w:b w:val="1"/>
                <w:bCs w:val="1"/>
                <w:color w:val="FFFFFF"/>
                <w:w w:val="95"/>
              </w:rPr>
              <w:t>Good Reason</w:t>
            </w:r>
            <w:r>
              <w:rPr>
                <w:rFonts w:ascii="Arial" w:cs="Arial" w:eastAsia="Arial" w:hAnsi="Arial"/>
                <w:sz w:val="20"/>
                <w:szCs w:val="20"/>
                <w:b w:val="1"/>
                <w:bCs w:val="1"/>
                <w:color w:val="FFFFFF"/>
                <w:w w:val="95"/>
                <w:vertAlign w:val="superscript"/>
              </w:rPr>
              <w:t>(2)</w:t>
            </w:r>
          </w:p>
        </w:tc>
        <w:tc>
          <w:tcPr>
            <w:tcW w:w="1440" w:type="dxa"/>
            <w:vAlign w:val="bottom"/>
            <w:gridSpan w:val="2"/>
            <w:shd w:val="clear" w:color="auto" w:fill="3E8EDE"/>
          </w:tcPr>
          <w:p>
            <w:pPr>
              <w:ind w:left="500"/>
              <w:spacing w:after="0"/>
              <w:rPr>
                <w:sz w:val="20"/>
                <w:szCs w:val="20"/>
                <w:color w:val="auto"/>
              </w:rPr>
            </w:pPr>
            <w:r>
              <w:rPr>
                <w:rFonts w:ascii="Arial" w:cs="Arial" w:eastAsia="Arial" w:hAnsi="Arial"/>
                <w:sz w:val="14"/>
                <w:szCs w:val="14"/>
                <w:b w:val="1"/>
                <w:bCs w:val="1"/>
                <w:color w:val="FFFFFF"/>
              </w:rPr>
              <w:t>Award</w:t>
            </w:r>
          </w:p>
        </w:tc>
        <w:tc>
          <w:tcPr>
            <w:tcW w:w="1400" w:type="dxa"/>
            <w:vAlign w:val="bottom"/>
            <w:shd w:val="clear" w:color="auto" w:fill="3E8EDE"/>
          </w:tcPr>
          <w:p>
            <w:pPr>
              <w:jc w:val="center"/>
              <w:ind w:left="102"/>
              <w:spacing w:after="0"/>
              <w:rPr>
                <w:sz w:val="20"/>
                <w:szCs w:val="20"/>
                <w:color w:val="auto"/>
              </w:rPr>
            </w:pPr>
            <w:r>
              <w:rPr>
                <w:rFonts w:ascii="Arial" w:cs="Arial" w:eastAsia="Arial" w:hAnsi="Arial"/>
                <w:sz w:val="14"/>
                <w:szCs w:val="14"/>
                <w:b w:val="1"/>
                <w:bCs w:val="1"/>
                <w:color w:val="FFFFFF"/>
                <w:w w:val="98"/>
              </w:rPr>
              <w:t>Award</w:t>
            </w:r>
          </w:p>
        </w:tc>
        <w:tc>
          <w:tcPr>
            <w:tcW w:w="300" w:type="dxa"/>
            <w:vAlign w:val="bottom"/>
            <w:shd w:val="clear" w:color="auto" w:fill="3E8EDE"/>
          </w:tcPr>
          <w:p>
            <w:pPr>
              <w:spacing w:after="0"/>
              <w:rPr>
                <w:sz w:val="22"/>
                <w:szCs w:val="22"/>
                <w:color w:val="auto"/>
              </w:rPr>
            </w:pPr>
          </w:p>
        </w:tc>
        <w:tc>
          <w:tcPr>
            <w:tcW w:w="1340" w:type="dxa"/>
            <w:vAlign w:val="bottom"/>
            <w:gridSpan w:val="2"/>
            <w:shd w:val="clear" w:color="auto" w:fill="3E8EDE"/>
          </w:tcPr>
          <w:p>
            <w:pPr>
              <w:jc w:val="center"/>
              <w:spacing w:after="0"/>
              <w:rPr>
                <w:sz w:val="20"/>
                <w:szCs w:val="20"/>
                <w:color w:val="auto"/>
              </w:rPr>
            </w:pPr>
            <w:r>
              <w:rPr>
                <w:rFonts w:ascii="Arial" w:cs="Arial" w:eastAsia="Arial" w:hAnsi="Arial"/>
                <w:sz w:val="14"/>
                <w:szCs w:val="14"/>
                <w:b w:val="1"/>
                <w:bCs w:val="1"/>
                <w:color w:val="FFFFFF"/>
                <w:w w:val="95"/>
              </w:rPr>
              <w:t>Good Reason</w:t>
            </w:r>
            <w:r>
              <w:rPr>
                <w:rFonts w:ascii="Arial" w:cs="Arial" w:eastAsia="Arial" w:hAnsi="Arial"/>
                <w:sz w:val="20"/>
                <w:szCs w:val="20"/>
                <w:b w:val="1"/>
                <w:bCs w:val="1"/>
                <w:color w:val="FFFFFF"/>
                <w:w w:val="95"/>
                <w:vertAlign w:val="superscript"/>
              </w:rPr>
              <w:t>(4)</w:t>
            </w:r>
          </w:p>
        </w:tc>
      </w:tr>
      <w:tr>
        <w:trPr>
          <w:trHeight w:val="272"/>
        </w:trPr>
        <w:tc>
          <w:tcPr>
            <w:tcW w:w="4560" w:type="dxa"/>
            <w:vAlign w:val="bottom"/>
            <w:shd w:val="clear" w:color="auto" w:fill="E2EEFA"/>
          </w:tcPr>
          <w:p>
            <w:pPr>
              <w:ind w:left="60"/>
              <w:spacing w:after="0"/>
              <w:rPr>
                <w:sz w:val="20"/>
                <w:szCs w:val="20"/>
                <w:color w:val="auto"/>
              </w:rPr>
            </w:pPr>
            <w:r>
              <w:rPr>
                <w:rFonts w:ascii="Arial" w:cs="Arial" w:eastAsia="Arial" w:hAnsi="Arial"/>
                <w:sz w:val="17"/>
                <w:szCs w:val="17"/>
                <w:color w:val="auto"/>
              </w:rPr>
              <w:t>Severance Payment</w:t>
            </w:r>
          </w:p>
        </w:tc>
        <w:tc>
          <w:tcPr>
            <w:tcW w:w="160" w:type="dxa"/>
            <w:vAlign w:val="bottom"/>
            <w:shd w:val="clear" w:color="auto" w:fill="E2EEFA"/>
          </w:tcPr>
          <w:p>
            <w:pPr>
              <w:spacing w:after="0"/>
              <w:rPr>
                <w:sz w:val="23"/>
                <w:szCs w:val="23"/>
                <w:color w:val="auto"/>
              </w:rPr>
            </w:pPr>
          </w:p>
        </w:tc>
        <w:tc>
          <w:tcPr>
            <w:tcW w:w="5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1,103,122</w:t>
            </w:r>
          </w:p>
        </w:tc>
        <w:tc>
          <w:tcPr>
            <w:tcW w:w="620" w:type="dxa"/>
            <w:vAlign w:val="bottom"/>
            <w:shd w:val="clear" w:color="auto" w:fill="E2EEFA"/>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1400" w:type="dxa"/>
            <w:vAlign w:val="bottom"/>
            <w:shd w:val="clear" w:color="auto" w:fill="E2EEFA"/>
          </w:tcPr>
          <w:p>
            <w:pPr>
              <w:ind w:left="640"/>
              <w:spacing w:after="0"/>
              <w:rPr>
                <w:sz w:val="20"/>
                <w:szCs w:val="20"/>
                <w:color w:val="auto"/>
              </w:rPr>
            </w:pPr>
            <w:r>
              <w:rPr>
                <w:rFonts w:ascii="Arial" w:cs="Arial" w:eastAsia="Arial" w:hAnsi="Arial"/>
                <w:sz w:val="17"/>
                <w:szCs w:val="17"/>
                <w:color w:val="auto"/>
              </w:rPr>
              <w:t xml:space="preserve">$          </w:t>
            </w:r>
          </w:p>
        </w:tc>
        <w:tc>
          <w:tcPr>
            <w:tcW w:w="300" w:type="dxa"/>
            <w:vAlign w:val="bottom"/>
            <w:shd w:val="clear" w:color="auto" w:fill="E2EEFA"/>
          </w:tcPr>
          <w:p>
            <w:pPr>
              <w:jc w:val="right"/>
              <w:ind w:right="76"/>
              <w:spacing w:after="0"/>
              <w:rPr>
                <w:sz w:val="20"/>
                <w:szCs w:val="20"/>
                <w:color w:val="auto"/>
              </w:rPr>
            </w:pPr>
            <w:r>
              <w:rPr>
                <w:rFonts w:ascii="Arial" w:cs="Arial" w:eastAsia="Arial" w:hAnsi="Arial"/>
                <w:sz w:val="17"/>
                <w:szCs w:val="17"/>
                <w:color w:val="auto"/>
              </w:rPr>
              <w:t>0</w:t>
            </w:r>
          </w:p>
        </w:tc>
        <w:tc>
          <w:tcPr>
            <w:tcW w:w="5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2,206,244</w:t>
            </w:r>
          </w:p>
        </w:tc>
      </w:tr>
      <w:tr>
        <w:trPr>
          <w:trHeight w:val="304"/>
        </w:trPr>
        <w:tc>
          <w:tcPr>
            <w:tcW w:w="4720" w:type="dxa"/>
            <w:vAlign w:val="bottom"/>
            <w:tcBorders>
              <w:bottom w:val="single" w:sz="8" w:color="E2EEFA"/>
            </w:tcBorders>
            <w:gridSpan w:val="2"/>
          </w:tcPr>
          <w:p>
            <w:pPr>
              <w:ind w:left="60"/>
              <w:spacing w:after="0" w:line="272" w:lineRule="exact"/>
              <w:rPr>
                <w:sz w:val="20"/>
                <w:szCs w:val="20"/>
                <w:color w:val="auto"/>
              </w:rPr>
            </w:pPr>
            <w:r>
              <w:rPr>
                <w:rFonts w:ascii="Arial" w:cs="Arial" w:eastAsia="Arial" w:hAnsi="Arial"/>
                <w:sz w:val="17"/>
                <w:szCs w:val="17"/>
                <w:color w:val="auto"/>
              </w:rPr>
              <w:t>Stock Options</w:t>
            </w:r>
            <w:r>
              <w:rPr>
                <w:rFonts w:ascii="Arial" w:cs="Arial" w:eastAsia="Arial" w:hAnsi="Arial"/>
                <w:sz w:val="25"/>
                <w:szCs w:val="25"/>
                <w:color w:val="auto"/>
                <w:vertAlign w:val="superscript"/>
              </w:rPr>
              <w:t>(3)</w:t>
            </w:r>
          </w:p>
        </w:tc>
        <w:tc>
          <w:tcPr>
            <w:tcW w:w="540" w:type="dxa"/>
            <w:vAlign w:val="bottom"/>
            <w:tcBorders>
              <w:bottom w:val="single" w:sz="8" w:color="E2EEFA"/>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E2EEFA"/>
            </w:tcBorders>
          </w:tcPr>
          <w:p>
            <w:pPr>
              <w:jc w:val="right"/>
              <w:spacing w:after="0"/>
              <w:rPr>
                <w:sz w:val="20"/>
                <w:szCs w:val="20"/>
                <w:color w:val="auto"/>
              </w:rPr>
            </w:pPr>
            <w:r>
              <w:rPr>
                <w:rFonts w:ascii="Arial" w:cs="Arial" w:eastAsia="Arial" w:hAnsi="Arial"/>
                <w:sz w:val="17"/>
                <w:szCs w:val="17"/>
                <w:color w:val="auto"/>
              </w:rPr>
              <w:t>0</w:t>
            </w:r>
          </w:p>
        </w:tc>
        <w:tc>
          <w:tcPr>
            <w:tcW w:w="620" w:type="dxa"/>
            <w:vAlign w:val="bottom"/>
            <w:tcBorders>
              <w:bottom w:val="single" w:sz="8" w:color="E2EEFA"/>
            </w:tcBorders>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E2EEFA"/>
            </w:tcBorders>
          </w:tcPr>
          <w:p>
            <w:pPr>
              <w:jc w:val="right"/>
              <w:spacing w:after="0"/>
              <w:rPr>
                <w:sz w:val="20"/>
                <w:szCs w:val="20"/>
                <w:color w:val="auto"/>
              </w:rPr>
            </w:pPr>
            <w:r>
              <w:rPr>
                <w:rFonts w:ascii="Arial" w:cs="Arial" w:eastAsia="Arial" w:hAnsi="Arial"/>
                <w:sz w:val="17"/>
                <w:szCs w:val="17"/>
                <w:color w:val="auto"/>
              </w:rPr>
              <w:t>52,089</w:t>
            </w:r>
          </w:p>
        </w:tc>
        <w:tc>
          <w:tcPr>
            <w:tcW w:w="1400" w:type="dxa"/>
            <w:vAlign w:val="bottom"/>
            <w:tcBorders>
              <w:bottom w:val="single" w:sz="8" w:color="E2EEFA"/>
            </w:tcBorders>
          </w:tcPr>
          <w:p>
            <w:pPr>
              <w:ind w:left="64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E2EEFA"/>
            </w:tcBorders>
          </w:tcPr>
          <w:p>
            <w:pPr>
              <w:jc w:val="right"/>
              <w:ind w:right="76"/>
              <w:spacing w:after="0"/>
              <w:rPr>
                <w:sz w:val="20"/>
                <w:szCs w:val="20"/>
                <w:color w:val="auto"/>
              </w:rPr>
            </w:pPr>
            <w:r>
              <w:rPr>
                <w:rFonts w:ascii="Arial" w:cs="Arial" w:eastAsia="Arial" w:hAnsi="Arial"/>
                <w:sz w:val="17"/>
                <w:szCs w:val="17"/>
                <w:color w:val="auto"/>
              </w:rPr>
              <w:t>0</w:t>
            </w:r>
          </w:p>
        </w:tc>
        <w:tc>
          <w:tcPr>
            <w:tcW w:w="500" w:type="dxa"/>
            <w:vAlign w:val="bottom"/>
            <w:tcBorders>
              <w:bottom w:val="single" w:sz="8" w:color="E2EEFA"/>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E2EEFA"/>
            </w:tcBorders>
          </w:tcPr>
          <w:p>
            <w:pPr>
              <w:jc w:val="right"/>
              <w:spacing w:after="0"/>
              <w:rPr>
                <w:sz w:val="20"/>
                <w:szCs w:val="20"/>
                <w:color w:val="auto"/>
              </w:rPr>
            </w:pPr>
            <w:r>
              <w:rPr>
                <w:rFonts w:ascii="Arial" w:cs="Arial" w:eastAsia="Arial" w:hAnsi="Arial"/>
                <w:sz w:val="17"/>
                <w:szCs w:val="17"/>
                <w:color w:val="auto"/>
              </w:rPr>
              <w:t>52,089</w:t>
            </w:r>
          </w:p>
        </w:tc>
      </w:tr>
      <w:tr>
        <w:trPr>
          <w:trHeight w:val="220"/>
        </w:trPr>
        <w:tc>
          <w:tcPr>
            <w:tcW w:w="4560" w:type="dxa"/>
            <w:vAlign w:val="bottom"/>
            <w:shd w:val="clear" w:color="auto" w:fill="E2EEFA"/>
          </w:tcPr>
          <w:p>
            <w:pPr>
              <w:ind w:left="60"/>
              <w:spacing w:after="0" w:line="220" w:lineRule="exact"/>
              <w:rPr>
                <w:sz w:val="20"/>
                <w:szCs w:val="20"/>
                <w:color w:val="auto"/>
              </w:rPr>
            </w:pPr>
            <w:r>
              <w:rPr>
                <w:rFonts w:ascii="Arial" w:cs="Arial" w:eastAsia="Arial" w:hAnsi="Arial"/>
                <w:sz w:val="17"/>
                <w:szCs w:val="17"/>
                <w:color w:val="auto"/>
              </w:rPr>
              <w:t>Restricted Stock</w:t>
            </w:r>
            <w:r>
              <w:rPr>
                <w:rFonts w:ascii="Arial" w:cs="Arial" w:eastAsia="Arial" w:hAnsi="Arial"/>
                <w:sz w:val="25"/>
                <w:szCs w:val="25"/>
                <w:color w:val="auto"/>
                <w:vertAlign w:val="superscript"/>
              </w:rPr>
              <w:t>(3)</w:t>
            </w:r>
          </w:p>
        </w:tc>
        <w:tc>
          <w:tcPr>
            <w:tcW w:w="160" w:type="dxa"/>
            <w:vAlign w:val="bottom"/>
            <w:shd w:val="clear" w:color="auto" w:fill="E2EEFA"/>
          </w:tcPr>
          <w:p>
            <w:pPr>
              <w:spacing w:after="0"/>
              <w:rPr>
                <w:sz w:val="19"/>
                <w:szCs w:val="19"/>
                <w:color w:val="auto"/>
              </w:rPr>
            </w:pPr>
          </w:p>
        </w:tc>
        <w:tc>
          <w:tcPr>
            <w:tcW w:w="5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620" w:type="dxa"/>
            <w:vAlign w:val="bottom"/>
            <w:shd w:val="clear" w:color="auto" w:fill="E2EEFA"/>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7,309,231</w:t>
            </w:r>
          </w:p>
        </w:tc>
        <w:tc>
          <w:tcPr>
            <w:tcW w:w="1400" w:type="dxa"/>
            <w:vAlign w:val="bottom"/>
            <w:shd w:val="clear" w:color="auto" w:fill="E2EEFA"/>
          </w:tcPr>
          <w:p>
            <w:pPr>
              <w:ind w:left="640"/>
              <w:spacing w:after="0"/>
              <w:rPr>
                <w:sz w:val="20"/>
                <w:szCs w:val="20"/>
                <w:color w:val="auto"/>
              </w:rPr>
            </w:pPr>
            <w:r>
              <w:rPr>
                <w:rFonts w:ascii="Arial" w:cs="Arial" w:eastAsia="Arial" w:hAnsi="Arial"/>
                <w:sz w:val="17"/>
                <w:szCs w:val="17"/>
                <w:color w:val="auto"/>
              </w:rPr>
              <w:t>$</w:t>
            </w:r>
          </w:p>
        </w:tc>
        <w:tc>
          <w:tcPr>
            <w:tcW w:w="300" w:type="dxa"/>
            <w:vAlign w:val="bottom"/>
            <w:shd w:val="clear" w:color="auto" w:fill="E2EEFA"/>
          </w:tcPr>
          <w:p>
            <w:pPr>
              <w:jc w:val="right"/>
              <w:ind w:right="76"/>
              <w:spacing w:after="0"/>
              <w:rPr>
                <w:sz w:val="20"/>
                <w:szCs w:val="20"/>
                <w:color w:val="auto"/>
              </w:rPr>
            </w:pPr>
            <w:r>
              <w:rPr>
                <w:rFonts w:ascii="Arial" w:cs="Arial" w:eastAsia="Arial" w:hAnsi="Arial"/>
                <w:sz w:val="17"/>
                <w:szCs w:val="17"/>
                <w:color w:val="auto"/>
              </w:rPr>
              <w:t>0</w:t>
            </w:r>
          </w:p>
        </w:tc>
        <w:tc>
          <w:tcPr>
            <w:tcW w:w="5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7,309,231</w:t>
            </w:r>
          </w:p>
        </w:tc>
      </w:tr>
      <w:tr>
        <w:trPr>
          <w:trHeight w:val="304"/>
        </w:trPr>
        <w:tc>
          <w:tcPr>
            <w:tcW w:w="4720" w:type="dxa"/>
            <w:vAlign w:val="bottom"/>
            <w:tcBorders>
              <w:bottom w:val="single" w:sz="8" w:color="E2EEFA"/>
            </w:tcBorders>
            <w:gridSpan w:val="2"/>
          </w:tcPr>
          <w:p>
            <w:pPr>
              <w:ind w:left="60"/>
              <w:spacing w:after="0"/>
              <w:rPr>
                <w:sz w:val="20"/>
                <w:szCs w:val="20"/>
                <w:color w:val="auto"/>
              </w:rPr>
            </w:pPr>
            <w:r>
              <w:rPr>
                <w:rFonts w:ascii="Arial" w:cs="Arial" w:eastAsia="Arial" w:hAnsi="Arial"/>
                <w:sz w:val="17"/>
                <w:szCs w:val="17"/>
                <w:color w:val="auto"/>
              </w:rPr>
              <w:t>Pro-Rata Bonus Payment</w:t>
            </w:r>
          </w:p>
        </w:tc>
        <w:tc>
          <w:tcPr>
            <w:tcW w:w="540" w:type="dxa"/>
            <w:vAlign w:val="bottom"/>
            <w:tcBorders>
              <w:bottom w:val="single" w:sz="8" w:color="E2EEFA"/>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E2EEFA"/>
            </w:tcBorders>
          </w:tcPr>
          <w:p>
            <w:pPr>
              <w:jc w:val="right"/>
              <w:spacing w:after="0"/>
              <w:rPr>
                <w:sz w:val="20"/>
                <w:szCs w:val="20"/>
                <w:color w:val="auto"/>
              </w:rPr>
            </w:pPr>
            <w:r>
              <w:rPr>
                <w:rFonts w:ascii="Arial" w:cs="Arial" w:eastAsia="Arial" w:hAnsi="Arial"/>
                <w:sz w:val="17"/>
                <w:szCs w:val="17"/>
                <w:color w:val="auto"/>
              </w:rPr>
              <w:t>1,725,007</w:t>
            </w:r>
          </w:p>
        </w:tc>
        <w:tc>
          <w:tcPr>
            <w:tcW w:w="620" w:type="dxa"/>
            <w:vAlign w:val="bottom"/>
            <w:tcBorders>
              <w:bottom w:val="single" w:sz="8" w:color="E2EEFA"/>
            </w:tcBorders>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E2EEFA"/>
            </w:tcBorders>
          </w:tcPr>
          <w:p>
            <w:pPr>
              <w:jc w:val="right"/>
              <w:spacing w:after="0"/>
              <w:rPr>
                <w:sz w:val="20"/>
                <w:szCs w:val="20"/>
                <w:color w:val="auto"/>
              </w:rPr>
            </w:pPr>
            <w:r>
              <w:rPr>
                <w:rFonts w:ascii="Arial" w:cs="Arial" w:eastAsia="Arial" w:hAnsi="Arial"/>
                <w:sz w:val="17"/>
                <w:szCs w:val="17"/>
                <w:color w:val="auto"/>
              </w:rPr>
              <w:t>0</w:t>
            </w:r>
          </w:p>
        </w:tc>
        <w:tc>
          <w:tcPr>
            <w:tcW w:w="1400" w:type="dxa"/>
            <w:vAlign w:val="bottom"/>
            <w:tcBorders>
              <w:bottom w:val="single" w:sz="8" w:color="E2EEFA"/>
            </w:tcBorders>
          </w:tcPr>
          <w:p>
            <w:pPr>
              <w:ind w:left="64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E2EEFA"/>
            </w:tcBorders>
          </w:tcPr>
          <w:p>
            <w:pPr>
              <w:jc w:val="right"/>
              <w:ind w:right="76"/>
              <w:spacing w:after="0"/>
              <w:rPr>
                <w:sz w:val="20"/>
                <w:szCs w:val="20"/>
                <w:color w:val="auto"/>
              </w:rPr>
            </w:pPr>
            <w:r>
              <w:rPr>
                <w:rFonts w:ascii="Arial" w:cs="Arial" w:eastAsia="Arial" w:hAnsi="Arial"/>
                <w:sz w:val="17"/>
                <w:szCs w:val="17"/>
                <w:color w:val="auto"/>
              </w:rPr>
              <w:t>0</w:t>
            </w:r>
          </w:p>
        </w:tc>
        <w:tc>
          <w:tcPr>
            <w:tcW w:w="500" w:type="dxa"/>
            <w:vAlign w:val="bottom"/>
            <w:tcBorders>
              <w:bottom w:val="single" w:sz="8" w:color="E2EEFA"/>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E2EEFA"/>
            </w:tcBorders>
          </w:tcPr>
          <w:p>
            <w:pPr>
              <w:jc w:val="right"/>
              <w:spacing w:after="0"/>
              <w:rPr>
                <w:sz w:val="20"/>
                <w:szCs w:val="20"/>
                <w:color w:val="auto"/>
              </w:rPr>
            </w:pPr>
            <w:r>
              <w:rPr>
                <w:rFonts w:ascii="Arial" w:cs="Arial" w:eastAsia="Arial" w:hAnsi="Arial"/>
                <w:sz w:val="17"/>
                <w:szCs w:val="17"/>
                <w:color w:val="auto"/>
              </w:rPr>
              <w:t>1,725,007</w:t>
            </w:r>
          </w:p>
        </w:tc>
      </w:tr>
      <w:tr>
        <w:trPr>
          <w:trHeight w:val="220"/>
        </w:trPr>
        <w:tc>
          <w:tcPr>
            <w:tcW w:w="4560" w:type="dxa"/>
            <w:vAlign w:val="bottom"/>
            <w:tcBorders>
              <w:bottom w:val="single" w:sz="8" w:color="3E8EDE"/>
            </w:tcBorders>
            <w:shd w:val="clear" w:color="auto" w:fill="E2EEFA"/>
          </w:tcPr>
          <w:p>
            <w:pPr>
              <w:ind w:left="60"/>
              <w:spacing w:after="0"/>
              <w:rPr>
                <w:sz w:val="20"/>
                <w:szCs w:val="20"/>
                <w:color w:val="auto"/>
              </w:rPr>
            </w:pPr>
            <w:r>
              <w:rPr>
                <w:rFonts w:ascii="Arial" w:cs="Arial" w:eastAsia="Arial" w:hAnsi="Arial"/>
                <w:sz w:val="17"/>
                <w:szCs w:val="17"/>
                <w:color w:val="auto"/>
              </w:rPr>
              <w:t>Medical and Dental Benefits</w:t>
            </w:r>
          </w:p>
        </w:tc>
        <w:tc>
          <w:tcPr>
            <w:tcW w:w="160" w:type="dxa"/>
            <w:vAlign w:val="bottom"/>
            <w:tcBorders>
              <w:bottom w:val="single" w:sz="8" w:color="3E8EDE"/>
            </w:tcBorders>
            <w:shd w:val="clear" w:color="auto" w:fill="E2EEFA"/>
          </w:tcPr>
          <w:p>
            <w:pPr>
              <w:spacing w:after="0"/>
              <w:rPr>
                <w:sz w:val="19"/>
                <w:szCs w:val="19"/>
                <w:color w:val="auto"/>
              </w:rPr>
            </w:pPr>
          </w:p>
        </w:tc>
        <w:tc>
          <w:tcPr>
            <w:tcW w:w="54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31,707</w:t>
            </w:r>
          </w:p>
        </w:tc>
        <w:tc>
          <w:tcPr>
            <w:tcW w:w="620" w:type="dxa"/>
            <w:vAlign w:val="bottom"/>
            <w:tcBorders>
              <w:bottom w:val="single" w:sz="8" w:color="3E8EDE"/>
            </w:tcBorders>
            <w:shd w:val="clear" w:color="auto" w:fill="E2EEFA"/>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1400" w:type="dxa"/>
            <w:vAlign w:val="bottom"/>
            <w:tcBorders>
              <w:bottom w:val="single" w:sz="8" w:color="3E8EDE"/>
            </w:tcBorders>
            <w:shd w:val="clear" w:color="auto" w:fill="E2EEFA"/>
          </w:tcPr>
          <w:p>
            <w:pPr>
              <w:ind w:left="64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3E8EDE"/>
            </w:tcBorders>
            <w:shd w:val="clear" w:color="auto" w:fill="E2EEFA"/>
          </w:tcPr>
          <w:p>
            <w:pPr>
              <w:jc w:val="right"/>
              <w:ind w:right="76"/>
              <w:spacing w:after="0"/>
              <w:rPr>
                <w:sz w:val="20"/>
                <w:szCs w:val="20"/>
                <w:color w:val="auto"/>
              </w:rPr>
            </w:pPr>
            <w:r>
              <w:rPr>
                <w:rFonts w:ascii="Arial" w:cs="Arial" w:eastAsia="Arial" w:hAnsi="Arial"/>
                <w:sz w:val="17"/>
                <w:szCs w:val="17"/>
                <w:color w:val="auto"/>
              </w:rPr>
              <w:t>0</w:t>
            </w:r>
          </w:p>
        </w:tc>
        <w:tc>
          <w:tcPr>
            <w:tcW w:w="50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31,707</w:t>
            </w:r>
          </w:p>
        </w:tc>
      </w:tr>
      <w:tr>
        <w:trPr>
          <w:trHeight w:val="252"/>
        </w:trPr>
        <w:tc>
          <w:tcPr>
            <w:tcW w:w="4720" w:type="dxa"/>
            <w:vAlign w:val="bottom"/>
            <w:tcBorders>
              <w:bottom w:val="single" w:sz="8" w:color="3E8EDE"/>
            </w:tcBorders>
            <w:gridSpan w:val="2"/>
          </w:tcPr>
          <w:p>
            <w:pPr>
              <w:ind w:left="60"/>
              <w:spacing w:after="0" w:line="252" w:lineRule="exact"/>
              <w:rPr>
                <w:sz w:val="20"/>
                <w:szCs w:val="20"/>
                <w:color w:val="auto"/>
              </w:rPr>
            </w:pPr>
            <w:r>
              <w:rPr>
                <w:rFonts w:ascii="Arial" w:cs="Arial" w:eastAsia="Arial" w:hAnsi="Arial"/>
                <w:sz w:val="17"/>
                <w:szCs w:val="17"/>
                <w:color w:val="auto"/>
              </w:rPr>
              <w:t>Totals</w:t>
            </w:r>
            <w:r>
              <w:rPr>
                <w:rFonts w:ascii="Arial" w:cs="Arial" w:eastAsia="Arial" w:hAnsi="Arial"/>
                <w:sz w:val="25"/>
                <w:szCs w:val="25"/>
                <w:color w:val="auto"/>
                <w:vertAlign w:val="superscript"/>
              </w:rPr>
              <w:t>(5)</w:t>
            </w:r>
          </w:p>
        </w:tc>
        <w:tc>
          <w:tcPr>
            <w:tcW w:w="54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2,859,836</w:t>
            </w:r>
          </w:p>
        </w:tc>
        <w:tc>
          <w:tcPr>
            <w:tcW w:w="620" w:type="dxa"/>
            <w:vAlign w:val="bottom"/>
            <w:tcBorders>
              <w:bottom w:val="single" w:sz="8" w:color="3E8EDE"/>
            </w:tcBorders>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7,361,320</w:t>
            </w:r>
          </w:p>
        </w:tc>
        <w:tc>
          <w:tcPr>
            <w:tcW w:w="1400" w:type="dxa"/>
            <w:vAlign w:val="bottom"/>
            <w:tcBorders>
              <w:bottom w:val="single" w:sz="8" w:color="3E8EDE"/>
            </w:tcBorders>
          </w:tcPr>
          <w:p>
            <w:pPr>
              <w:ind w:left="64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3E8EDE"/>
            </w:tcBorders>
          </w:tcPr>
          <w:p>
            <w:pPr>
              <w:jc w:val="right"/>
              <w:ind w:right="76"/>
              <w:spacing w:after="0"/>
              <w:rPr>
                <w:sz w:val="20"/>
                <w:szCs w:val="20"/>
                <w:color w:val="auto"/>
              </w:rPr>
            </w:pPr>
            <w:r>
              <w:rPr>
                <w:rFonts w:ascii="Arial" w:cs="Arial" w:eastAsia="Arial" w:hAnsi="Arial"/>
                <w:sz w:val="17"/>
                <w:szCs w:val="17"/>
                <w:color w:val="auto"/>
              </w:rPr>
              <w:t>0</w:t>
            </w:r>
          </w:p>
        </w:tc>
        <w:tc>
          <w:tcPr>
            <w:tcW w:w="50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w w:val="96"/>
              </w:rPr>
              <w:t>11,324,278</w:t>
            </w:r>
          </w:p>
        </w:tc>
      </w:tr>
    </w:tbl>
    <w:p>
      <w:pPr>
        <w:spacing w:after="0" w:line="100" w:lineRule="exact"/>
        <w:rPr>
          <w:sz w:val="20"/>
          <w:szCs w:val="20"/>
          <w:color w:val="auto"/>
        </w:rPr>
      </w:pPr>
    </w:p>
    <w:p>
      <w:pPr>
        <w:ind w:left="860" w:right="280" w:hanging="520"/>
        <w:spacing w:after="0" w:line="276" w:lineRule="auto"/>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purposes of this disclosure, the Change in Control date and all termination events are assumed to occur on March 31, 2026. The stock price used is the closing price of $221.13 on March 31, 2026, the assumed Termination and Change in Control date.</w:t>
      </w:r>
    </w:p>
    <w:p>
      <w:pPr>
        <w:spacing w:after="0" w:line="55" w:lineRule="exact"/>
        <w:rPr>
          <w:rFonts w:ascii="Arial" w:cs="Arial" w:eastAsia="Arial" w:hAnsi="Arial"/>
          <w:sz w:val="17"/>
          <w:szCs w:val="17"/>
          <w:color w:val="auto"/>
        </w:rPr>
      </w:pPr>
    </w:p>
    <w:p>
      <w:pPr>
        <w:ind w:left="860" w:hanging="520"/>
        <w:spacing w:after="0" w:line="246" w:lineRule="auto"/>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Pursuant to the Senior Executive Severance Plan, in the event of a “qualifying termination” in circumstances not involving a Change in Control, Mr. Carestio will be entitled to 12 months of severance payments based on his then current base salary, a pro-rata portion of his actual bonus, and 12 months of medical and dental benefits. A “qualifying termination” is any separation of service other than by the Company for Cause (as defined) or by executive without Good Reason (as defined). Good Reason includes death or Disability (as defined). Mr. Carestio’s actual bonus for fiscal 2026 is $1,725,007. The proration is 100% because the assumed termination date is the fiscal year end.</w:t>
      </w:r>
    </w:p>
    <w:p>
      <w:pPr>
        <w:spacing w:after="0" w:line="79" w:lineRule="exact"/>
        <w:rPr>
          <w:rFonts w:ascii="Arial" w:cs="Arial" w:eastAsia="Arial" w:hAnsi="Arial"/>
          <w:sz w:val="17"/>
          <w:szCs w:val="17"/>
          <w:color w:val="auto"/>
        </w:rPr>
      </w:pPr>
    </w:p>
    <w:p>
      <w:pPr>
        <w:ind w:left="860" w:right="60" w:hanging="520"/>
        <w:spacing w:after="0" w:line="251" w:lineRule="auto"/>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 unvested outstanding stock options and restricted awards provide for double trigger vesting in Change in Control situations, meaning that if a change in control occurs and the employee receives a qualifying replacement award, there will be no accelerated vesting unless the employee’s employment terminates under specified circumstances. If the employee’s employment terminates on account of death, the employee also will be entitled to accelerated award vesting.</w:t>
      </w:r>
    </w:p>
    <w:p>
      <w:pPr>
        <w:spacing w:after="0" w:line="75" w:lineRule="exact"/>
        <w:rPr>
          <w:rFonts w:ascii="Arial" w:cs="Arial" w:eastAsia="Arial" w:hAnsi="Arial"/>
          <w:sz w:val="17"/>
          <w:szCs w:val="17"/>
          <w:color w:val="auto"/>
        </w:rPr>
      </w:pPr>
    </w:p>
    <w:p>
      <w:pPr>
        <w:ind w:left="860" w:right="20" w:hanging="520"/>
        <w:spacing w:after="0" w:line="246" w:lineRule="auto"/>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Pursuant to the Senior Executive Severance Plan, in the event of a “qualifying termination” within one (1) year following a change in control, Mr. Carestio will be entitled to 12 months of severance payments based on a multiple of two (2) times his then current base salary, a pro-rata portion of his actual bonus, and 12 months of medical and dental benefits. A “qualifying termination” is any separation from service other than by the Company for Cause (as defined) or by executive without Good Reason (as defined). Good Reason includes death or Disability (as defined). Mr. Carestio’s actual bonus for fiscal 2026 is $1,725,007. The proration is 100% because the assumed termination date is the fiscal year end.</w:t>
      </w:r>
    </w:p>
    <w:p>
      <w:pPr>
        <w:spacing w:after="0" w:line="79" w:lineRule="exact"/>
        <w:rPr>
          <w:rFonts w:ascii="Arial" w:cs="Arial" w:eastAsia="Arial" w:hAnsi="Arial"/>
          <w:sz w:val="17"/>
          <w:szCs w:val="17"/>
          <w:color w:val="auto"/>
        </w:rPr>
      </w:pPr>
    </w:p>
    <w:p>
      <w:pPr>
        <w:ind w:left="860" w:right="100" w:hanging="520"/>
        <w:spacing w:after="0" w:line="276" w:lineRule="auto"/>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Amounts payable to the executive in the event of a Change in Control may be subject to reduction due to the operation of Sections 280G and 4999 of the Internal Revenue Code as provided for under the Senior Executive Severance Plan.</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780" w:type="dxa"/>
            <w:vAlign w:val="bottom"/>
            <w:vMerge w:val="restart"/>
          </w:tcPr>
          <w:p>
            <w:pPr>
              <w:spacing w:after="0"/>
              <w:rPr>
                <w:sz w:val="20"/>
                <w:szCs w:val="20"/>
                <w:color w:val="auto"/>
              </w:rPr>
            </w:pPr>
            <w:r>
              <w:rPr>
                <w:rFonts w:ascii="Arial" w:cs="Arial" w:eastAsia="Arial" w:hAnsi="Arial"/>
                <w:sz w:val="17"/>
                <w:szCs w:val="17"/>
                <w:b w:val="1"/>
                <w:bCs w:val="1"/>
                <w:color w:val="auto"/>
              </w:rPr>
              <w:t> </w:t>
            </w:r>
          </w:p>
        </w:tc>
        <w:tc>
          <w:tcPr>
            <w:tcW w:w="9780" w:type="dxa"/>
            <w:vAlign w:val="bottom"/>
          </w:tcPr>
          <w:p>
            <w:pPr>
              <w:jc w:val="right"/>
              <w:spacing w:after="0"/>
              <w:rPr>
                <w:sz w:val="20"/>
                <w:szCs w:val="20"/>
                <w:color w:val="auto"/>
              </w:rPr>
            </w:pPr>
            <w:r>
              <w:rPr>
                <w:rFonts w:ascii="Arial" w:cs="Arial" w:eastAsia="Arial" w:hAnsi="Arial"/>
                <w:sz w:val="16"/>
                <w:szCs w:val="16"/>
                <w:b w:val="1"/>
                <w:bCs w:val="1"/>
                <w:color w:val="3E8EDE"/>
              </w:rPr>
              <w:t xml:space="preserve">Executive Compensation: </w:t>
            </w:r>
            <w:r>
              <w:rPr>
                <w:rFonts w:ascii="Arial" w:cs="Arial" w:eastAsia="Arial" w:hAnsi="Arial"/>
                <w:sz w:val="16"/>
                <w:szCs w:val="16"/>
                <w:b w:val="1"/>
                <w:bCs w:val="1"/>
                <w:color w:val="000000"/>
              </w:rPr>
              <w:t>Potential Payments to Named Executive Officers Upon Termination of Employment or Change in</w:t>
            </w:r>
          </w:p>
        </w:tc>
        <w:tc>
          <w:tcPr>
            <w:tcW w:w="0" w:type="dxa"/>
            <w:vAlign w:val="bottom"/>
          </w:tcPr>
          <w:p>
            <w:pPr>
              <w:spacing w:after="0"/>
              <w:rPr>
                <w:sz w:val="1"/>
                <w:szCs w:val="1"/>
                <w:color w:val="auto"/>
              </w:rPr>
            </w:pPr>
          </w:p>
        </w:tc>
      </w:tr>
      <w:tr>
        <w:trPr>
          <w:trHeight w:val="221"/>
        </w:trPr>
        <w:tc>
          <w:tcPr>
            <w:tcW w:w="780" w:type="dxa"/>
            <w:vAlign w:val="bottom"/>
            <w:vMerge w:val="continue"/>
          </w:tcPr>
          <w:p>
            <w:pPr>
              <w:spacing w:after="0"/>
              <w:rPr>
                <w:sz w:val="19"/>
                <w:szCs w:val="19"/>
                <w:color w:val="auto"/>
              </w:rPr>
            </w:pPr>
          </w:p>
        </w:tc>
        <w:tc>
          <w:tcPr>
            <w:tcW w:w="9780" w:type="dxa"/>
            <w:vAlign w:val="bottom"/>
          </w:tcPr>
          <w:p>
            <w:pPr>
              <w:jc w:val="right"/>
              <w:spacing w:after="0"/>
              <w:rPr>
                <w:sz w:val="20"/>
                <w:szCs w:val="20"/>
                <w:color w:val="auto"/>
              </w:rPr>
            </w:pPr>
            <w:r>
              <w:rPr>
                <w:rFonts w:ascii="Arial" w:cs="Arial" w:eastAsia="Arial" w:hAnsi="Arial"/>
                <w:sz w:val="16"/>
                <w:szCs w:val="16"/>
                <w:b w:val="1"/>
                <w:bCs w:val="1"/>
                <w:color w:val="auto"/>
              </w:rPr>
              <w:t>Control</w:t>
            </w:r>
          </w:p>
        </w:tc>
        <w:tc>
          <w:tcPr>
            <w:tcW w:w="0" w:type="dxa"/>
            <w:vAlign w:val="bottom"/>
          </w:tcPr>
          <w:p>
            <w:pPr>
              <w:spacing w:after="0"/>
              <w:rPr>
                <w:sz w:val="1"/>
                <w:szCs w:val="1"/>
                <w:color w:val="auto"/>
              </w:rPr>
            </w:pPr>
          </w:p>
        </w:tc>
      </w:tr>
      <w:tr>
        <w:trPr>
          <w:trHeight w:val="27"/>
        </w:trPr>
        <w:tc>
          <w:tcPr>
            <w:tcW w:w="780" w:type="dxa"/>
            <w:vAlign w:val="bottom"/>
            <w:tcBorders>
              <w:bottom w:val="single" w:sz="8" w:color="3E8EDE"/>
            </w:tcBorders>
          </w:tcPr>
          <w:p>
            <w:pPr>
              <w:spacing w:after="0"/>
              <w:rPr>
                <w:sz w:val="2"/>
                <w:szCs w:val="2"/>
                <w:color w:val="auto"/>
              </w:rPr>
            </w:pPr>
          </w:p>
        </w:tc>
        <w:tc>
          <w:tcPr>
            <w:tcW w:w="9780" w:type="dxa"/>
            <w:vAlign w:val="bottom"/>
            <w:tcBorders>
              <w:bottom w:val="single" w:sz="8" w:color="3E8ED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Karen L. Burton</w:t>
      </w:r>
      <w:r>
        <w:rPr>
          <w:rFonts w:ascii="Arial" w:cs="Arial" w:eastAsia="Arial" w:hAnsi="Arial"/>
          <w:sz w:val="36"/>
          <w:szCs w:val="36"/>
          <w:b w:val="1"/>
          <w:bCs w:val="1"/>
          <w:color w:val="auto"/>
          <w:vertAlign w:val="superscript"/>
        </w:rPr>
        <w:t>(1)</w:t>
      </w:r>
    </w:p>
    <w:p>
      <w:pPr>
        <w:spacing w:after="0" w:line="89" w:lineRule="exact"/>
        <w:rPr>
          <w:sz w:val="20"/>
          <w:szCs w:val="20"/>
          <w:color w:val="auto"/>
        </w:rPr>
      </w:pPr>
    </w:p>
    <w:p>
      <w:pPr>
        <w:ind w:left="340" w:right="620"/>
        <w:spacing w:after="0" w:line="239" w:lineRule="auto"/>
        <w:rPr>
          <w:sz w:val="20"/>
          <w:szCs w:val="20"/>
          <w:color w:val="auto"/>
        </w:rPr>
      </w:pPr>
      <w:r>
        <w:rPr>
          <w:rFonts w:ascii="Arial" w:cs="Arial" w:eastAsia="Arial" w:hAnsi="Arial"/>
          <w:sz w:val="19"/>
          <w:szCs w:val="19"/>
          <w:color w:val="auto"/>
        </w:rPr>
        <w:t>The table below describes those benefits to which Ms. Burton would have been entitled under the Company’s Senior Executive Severance Plan and her equity awards under various scenarios, including change in control scenarios,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135890</wp:posOffset>
            </wp:positionV>
            <wp:extent cx="6710045" cy="8718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10045" cy="871855"/>
                    </a:xfrm>
                    <a:prstGeom prst="rect">
                      <a:avLst/>
                    </a:prstGeom>
                    <a:noFill/>
                  </pic:spPr>
                </pic:pic>
              </a:graphicData>
            </a:graphic>
          </wp:anchor>
        </w:drawing>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4560" w:type="dxa"/>
            <w:vAlign w:val="bottom"/>
            <w:shd w:val="clear" w:color="auto" w:fill="3E8EDE"/>
          </w:tcPr>
          <w:p>
            <w:pPr>
              <w:spacing w:after="0"/>
              <w:rPr>
                <w:sz w:val="14"/>
                <w:szCs w:val="14"/>
                <w:color w:val="auto"/>
              </w:rPr>
            </w:pPr>
          </w:p>
        </w:tc>
        <w:tc>
          <w:tcPr>
            <w:tcW w:w="160" w:type="dxa"/>
            <w:vAlign w:val="bottom"/>
            <w:shd w:val="clear" w:color="auto" w:fill="3E8EDE"/>
          </w:tcPr>
          <w:p>
            <w:pPr>
              <w:spacing w:after="0"/>
              <w:rPr>
                <w:sz w:val="14"/>
                <w:szCs w:val="14"/>
                <w:color w:val="auto"/>
              </w:rPr>
            </w:pPr>
          </w:p>
        </w:tc>
        <w:tc>
          <w:tcPr>
            <w:tcW w:w="540" w:type="dxa"/>
            <w:vAlign w:val="bottom"/>
            <w:shd w:val="clear" w:color="auto" w:fill="3E8EDE"/>
          </w:tcPr>
          <w:p>
            <w:pPr>
              <w:spacing w:after="0"/>
              <w:rPr>
                <w:sz w:val="14"/>
                <w:szCs w:val="14"/>
                <w:color w:val="auto"/>
              </w:rPr>
            </w:pPr>
          </w:p>
        </w:tc>
        <w:tc>
          <w:tcPr>
            <w:tcW w:w="820" w:type="dxa"/>
            <w:vAlign w:val="bottom"/>
            <w:shd w:val="clear" w:color="auto" w:fill="3E8EDE"/>
          </w:tcPr>
          <w:p>
            <w:pPr>
              <w:spacing w:after="0"/>
              <w:rPr>
                <w:sz w:val="14"/>
                <w:szCs w:val="14"/>
                <w:color w:val="auto"/>
              </w:rPr>
            </w:pPr>
          </w:p>
        </w:tc>
        <w:tc>
          <w:tcPr>
            <w:tcW w:w="620" w:type="dxa"/>
            <w:vAlign w:val="bottom"/>
            <w:shd w:val="clear" w:color="auto" w:fill="3E8EDE"/>
          </w:tcPr>
          <w:p>
            <w:pPr>
              <w:spacing w:after="0"/>
              <w:rPr>
                <w:sz w:val="14"/>
                <w:szCs w:val="14"/>
                <w:color w:val="auto"/>
              </w:rPr>
            </w:pPr>
          </w:p>
        </w:tc>
        <w:tc>
          <w:tcPr>
            <w:tcW w:w="820" w:type="dxa"/>
            <w:vAlign w:val="bottom"/>
            <w:shd w:val="clear" w:color="auto" w:fill="3E8EDE"/>
          </w:tcPr>
          <w:p>
            <w:pPr>
              <w:spacing w:after="0"/>
              <w:rPr>
                <w:sz w:val="14"/>
                <w:szCs w:val="14"/>
                <w:color w:val="auto"/>
              </w:rPr>
            </w:pPr>
          </w:p>
        </w:tc>
        <w:tc>
          <w:tcPr>
            <w:tcW w:w="1320" w:type="dxa"/>
            <w:vAlign w:val="bottom"/>
            <w:shd w:val="clear" w:color="auto" w:fill="3E8EDE"/>
          </w:tcPr>
          <w:p>
            <w:pPr>
              <w:spacing w:after="0"/>
              <w:rPr>
                <w:sz w:val="14"/>
                <w:szCs w:val="14"/>
                <w:color w:val="auto"/>
              </w:rPr>
            </w:pPr>
          </w:p>
        </w:tc>
        <w:tc>
          <w:tcPr>
            <w:tcW w:w="200" w:type="dxa"/>
            <w:vAlign w:val="bottom"/>
            <w:shd w:val="clear" w:color="auto" w:fill="3E8EDE"/>
          </w:tcPr>
          <w:p>
            <w:pPr>
              <w:spacing w:after="0"/>
              <w:rPr>
                <w:sz w:val="14"/>
                <w:szCs w:val="14"/>
                <w:color w:val="auto"/>
              </w:rPr>
            </w:pPr>
          </w:p>
        </w:tc>
        <w:tc>
          <w:tcPr>
            <w:tcW w:w="1520" w:type="dxa"/>
            <w:vAlign w:val="bottom"/>
            <w:gridSpan w:val="2"/>
            <w:shd w:val="clear" w:color="auto" w:fill="3E8EDE"/>
          </w:tcPr>
          <w:p>
            <w:pPr>
              <w:jc w:val="center"/>
              <w:ind w:left="23"/>
              <w:spacing w:after="0"/>
              <w:rPr>
                <w:sz w:val="20"/>
                <w:szCs w:val="20"/>
                <w:color w:val="auto"/>
              </w:rPr>
            </w:pPr>
            <w:r>
              <w:rPr>
                <w:rFonts w:ascii="Arial" w:cs="Arial" w:eastAsia="Arial" w:hAnsi="Arial"/>
                <w:sz w:val="14"/>
                <w:szCs w:val="14"/>
                <w:b w:val="1"/>
                <w:bCs w:val="1"/>
                <w:color w:val="FFFFFF"/>
                <w:w w:val="97"/>
              </w:rPr>
              <w:t>Change in</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540" w:type="dxa"/>
            <w:vAlign w:val="bottom"/>
            <w:shd w:val="clear" w:color="auto" w:fill="3E8EDE"/>
          </w:tcPr>
          <w:p>
            <w:pPr>
              <w:spacing w:after="0"/>
              <w:rPr>
                <w:sz w:val="13"/>
                <w:szCs w:val="13"/>
                <w:color w:val="auto"/>
              </w:rPr>
            </w:pPr>
          </w:p>
        </w:tc>
        <w:tc>
          <w:tcPr>
            <w:tcW w:w="820" w:type="dxa"/>
            <w:vAlign w:val="bottom"/>
            <w:shd w:val="clear" w:color="auto" w:fill="3E8EDE"/>
          </w:tcPr>
          <w:p>
            <w:pPr>
              <w:spacing w:after="0"/>
              <w:rPr>
                <w:sz w:val="13"/>
                <w:szCs w:val="13"/>
                <w:color w:val="auto"/>
              </w:rPr>
            </w:pPr>
          </w:p>
        </w:tc>
        <w:tc>
          <w:tcPr>
            <w:tcW w:w="620" w:type="dxa"/>
            <w:vAlign w:val="bottom"/>
            <w:shd w:val="clear" w:color="auto" w:fill="3E8EDE"/>
          </w:tcPr>
          <w:p>
            <w:pPr>
              <w:spacing w:after="0"/>
              <w:rPr>
                <w:sz w:val="13"/>
                <w:szCs w:val="13"/>
                <w:color w:val="auto"/>
              </w:rPr>
            </w:pPr>
          </w:p>
        </w:tc>
        <w:tc>
          <w:tcPr>
            <w:tcW w:w="820" w:type="dxa"/>
            <w:vAlign w:val="bottom"/>
            <w:shd w:val="clear" w:color="auto" w:fill="3E8EDE"/>
          </w:tcPr>
          <w:p>
            <w:pPr>
              <w:spacing w:after="0"/>
              <w:rPr>
                <w:sz w:val="13"/>
                <w:szCs w:val="13"/>
                <w:color w:val="auto"/>
              </w:rPr>
            </w:pPr>
          </w:p>
        </w:tc>
        <w:tc>
          <w:tcPr>
            <w:tcW w:w="1320" w:type="dxa"/>
            <w:vAlign w:val="bottom"/>
            <w:shd w:val="clear" w:color="auto" w:fill="3E8EDE"/>
          </w:tcPr>
          <w:p>
            <w:pPr>
              <w:spacing w:after="0"/>
              <w:rPr>
                <w:sz w:val="13"/>
                <w:szCs w:val="13"/>
                <w:color w:val="auto"/>
              </w:rPr>
            </w:pP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center"/>
              <w:ind w:left="23"/>
              <w:spacing w:after="0" w:line="155" w:lineRule="exact"/>
              <w:rPr>
                <w:sz w:val="20"/>
                <w:szCs w:val="20"/>
                <w:color w:val="auto"/>
              </w:rPr>
            </w:pPr>
            <w:r>
              <w:rPr>
                <w:rFonts w:ascii="Arial" w:cs="Arial" w:eastAsia="Arial" w:hAnsi="Arial"/>
                <w:sz w:val="14"/>
                <w:szCs w:val="14"/>
                <w:b w:val="1"/>
                <w:bCs w:val="1"/>
                <w:color w:val="FFFFFF"/>
                <w:w w:val="99"/>
              </w:rPr>
              <w:t>Control and</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60" w:type="dxa"/>
            <w:vAlign w:val="bottom"/>
            <w:gridSpan w:val="2"/>
            <w:shd w:val="clear" w:color="auto" w:fill="3E8EDE"/>
          </w:tcPr>
          <w:p>
            <w:pPr>
              <w:jc w:val="center"/>
              <w:ind w:right="54"/>
              <w:spacing w:after="0" w:line="155" w:lineRule="exact"/>
              <w:rPr>
                <w:sz w:val="20"/>
                <w:szCs w:val="20"/>
                <w:color w:val="auto"/>
              </w:rPr>
            </w:pPr>
            <w:r>
              <w:rPr>
                <w:rFonts w:ascii="Arial" w:cs="Arial" w:eastAsia="Arial" w:hAnsi="Arial"/>
                <w:sz w:val="14"/>
                <w:szCs w:val="14"/>
                <w:b w:val="1"/>
                <w:bCs w:val="1"/>
                <w:color w:val="FFFFFF"/>
                <w:w w:val="97"/>
              </w:rPr>
              <w:t>Termination by</w:t>
            </w:r>
          </w:p>
        </w:tc>
        <w:tc>
          <w:tcPr>
            <w:tcW w:w="14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rPr>
              <w:t>Change in</w:t>
            </w:r>
          </w:p>
        </w:tc>
        <w:tc>
          <w:tcPr>
            <w:tcW w:w="1520" w:type="dxa"/>
            <w:vAlign w:val="bottom"/>
            <w:gridSpan w:val="2"/>
            <w:shd w:val="clear" w:color="auto" w:fill="3E8EDE"/>
          </w:tcPr>
          <w:p>
            <w:pPr>
              <w:ind w:left="40"/>
              <w:spacing w:after="0" w:line="155" w:lineRule="exact"/>
              <w:rPr>
                <w:sz w:val="20"/>
                <w:szCs w:val="20"/>
                <w:color w:val="auto"/>
              </w:rPr>
            </w:pPr>
            <w:r>
              <w:rPr>
                <w:rFonts w:ascii="Arial" w:cs="Arial" w:eastAsia="Arial" w:hAnsi="Arial"/>
                <w:sz w:val="14"/>
                <w:szCs w:val="14"/>
                <w:b w:val="1"/>
                <w:bCs w:val="1"/>
                <w:color w:val="FFFFFF"/>
              </w:rPr>
              <w:t>   Change in Control</w:t>
            </w:r>
          </w:p>
        </w:tc>
        <w:tc>
          <w:tcPr>
            <w:tcW w:w="1520" w:type="dxa"/>
            <w:vAlign w:val="bottom"/>
            <w:gridSpan w:val="2"/>
            <w:shd w:val="clear" w:color="auto" w:fill="3E8EDE"/>
          </w:tcPr>
          <w:p>
            <w:pPr>
              <w:jc w:val="center"/>
              <w:ind w:left="23"/>
              <w:spacing w:after="0" w:line="155" w:lineRule="exact"/>
              <w:rPr>
                <w:sz w:val="20"/>
                <w:szCs w:val="20"/>
                <w:color w:val="auto"/>
              </w:rPr>
            </w:pPr>
            <w:r>
              <w:rPr>
                <w:rFonts w:ascii="Arial" w:cs="Arial" w:eastAsia="Arial" w:hAnsi="Arial"/>
                <w:sz w:val="14"/>
                <w:szCs w:val="14"/>
                <w:b w:val="1"/>
                <w:bCs w:val="1"/>
                <w:color w:val="FFFFFF"/>
                <w:w w:val="97"/>
              </w:rPr>
              <w:t>Termination by</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60" w:type="dxa"/>
            <w:vAlign w:val="bottom"/>
            <w:gridSpan w:val="2"/>
            <w:shd w:val="clear" w:color="auto" w:fill="3E8EDE"/>
          </w:tcPr>
          <w:p>
            <w:pPr>
              <w:jc w:val="center"/>
              <w:ind w:right="34"/>
              <w:spacing w:after="0" w:line="155" w:lineRule="exact"/>
              <w:rPr>
                <w:sz w:val="20"/>
                <w:szCs w:val="20"/>
                <w:color w:val="auto"/>
              </w:rPr>
            </w:pPr>
            <w:r>
              <w:rPr>
                <w:rFonts w:ascii="Arial" w:cs="Arial" w:eastAsia="Arial" w:hAnsi="Arial"/>
                <w:sz w:val="14"/>
                <w:szCs w:val="14"/>
                <w:b w:val="1"/>
                <w:bCs w:val="1"/>
                <w:color w:val="FFFFFF"/>
                <w:w w:val="99"/>
              </w:rPr>
              <w:t>the Company</w:t>
            </w:r>
          </w:p>
        </w:tc>
        <w:tc>
          <w:tcPr>
            <w:tcW w:w="14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Control without</w:t>
            </w:r>
          </w:p>
        </w:tc>
        <w:tc>
          <w:tcPr>
            <w:tcW w:w="1320" w:type="dxa"/>
            <w:vAlign w:val="bottom"/>
            <w:shd w:val="clear" w:color="auto" w:fill="3E8EDE"/>
          </w:tcPr>
          <w:p>
            <w:pPr>
              <w:jc w:val="center"/>
              <w:ind w:left="162"/>
              <w:spacing w:after="0" w:line="155" w:lineRule="exact"/>
              <w:rPr>
                <w:sz w:val="20"/>
                <w:szCs w:val="20"/>
                <w:color w:val="auto"/>
              </w:rPr>
            </w:pPr>
            <w:r>
              <w:rPr>
                <w:rFonts w:ascii="Arial" w:cs="Arial" w:eastAsia="Arial" w:hAnsi="Arial"/>
                <w:sz w:val="14"/>
                <w:szCs w:val="14"/>
                <w:b w:val="1"/>
                <w:bCs w:val="1"/>
                <w:color w:val="FFFFFF"/>
                <w:w w:val="96"/>
              </w:rPr>
              <w:t>without</w:t>
            </w: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center"/>
              <w:ind w:left="23"/>
              <w:spacing w:after="0" w:line="155" w:lineRule="exact"/>
              <w:rPr>
                <w:sz w:val="20"/>
                <w:szCs w:val="20"/>
                <w:color w:val="auto"/>
              </w:rPr>
            </w:pPr>
            <w:r>
              <w:rPr>
                <w:rFonts w:ascii="Arial" w:cs="Arial" w:eastAsia="Arial" w:hAnsi="Arial"/>
                <w:sz w:val="14"/>
                <w:szCs w:val="14"/>
                <w:b w:val="1"/>
                <w:bCs w:val="1"/>
                <w:color w:val="FFFFFF"/>
                <w:w w:val="96"/>
              </w:rPr>
              <w:t>the Company</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ind w:left="80"/>
              <w:spacing w:after="0"/>
              <w:rPr>
                <w:sz w:val="20"/>
                <w:szCs w:val="20"/>
                <w:color w:val="auto"/>
              </w:rPr>
            </w:pPr>
            <w:r>
              <w:rPr>
                <w:rFonts w:ascii="Arial" w:cs="Arial" w:eastAsia="Arial" w:hAnsi="Arial"/>
                <w:sz w:val="8"/>
                <w:szCs w:val="8"/>
                <w:b w:val="1"/>
                <w:bCs w:val="1"/>
                <w:color w:val="FFFFFF"/>
                <w:w w:val="74"/>
              </w:rPr>
              <w:t> </w:t>
            </w:r>
          </w:p>
        </w:tc>
        <w:tc>
          <w:tcPr>
            <w:tcW w:w="1360" w:type="dxa"/>
            <w:vAlign w:val="bottom"/>
            <w:gridSpan w:val="2"/>
            <w:shd w:val="clear" w:color="auto" w:fill="3E8EDE"/>
          </w:tcPr>
          <w:p>
            <w:pPr>
              <w:jc w:val="center"/>
              <w:ind w:right="34"/>
              <w:spacing w:after="0" w:line="155" w:lineRule="exact"/>
              <w:rPr>
                <w:sz w:val="20"/>
                <w:szCs w:val="20"/>
                <w:color w:val="auto"/>
              </w:rPr>
            </w:pPr>
            <w:r>
              <w:rPr>
                <w:rFonts w:ascii="Arial" w:cs="Arial" w:eastAsia="Arial" w:hAnsi="Arial"/>
                <w:sz w:val="14"/>
                <w:szCs w:val="14"/>
                <w:b w:val="1"/>
                <w:bCs w:val="1"/>
                <w:color w:val="FFFFFF"/>
                <w:w w:val="98"/>
              </w:rPr>
              <w:t>without Cause or</w:t>
            </w:r>
          </w:p>
        </w:tc>
        <w:tc>
          <w:tcPr>
            <w:tcW w:w="1440" w:type="dxa"/>
            <w:vAlign w:val="bottom"/>
            <w:gridSpan w:val="2"/>
            <w:shd w:val="clear" w:color="auto" w:fill="3E8EDE"/>
          </w:tcPr>
          <w:p>
            <w:pPr>
              <w:ind w:left="40"/>
              <w:spacing w:after="0" w:line="155" w:lineRule="exact"/>
              <w:rPr>
                <w:sz w:val="20"/>
                <w:szCs w:val="20"/>
                <w:color w:val="auto"/>
              </w:rPr>
            </w:pPr>
            <w:r>
              <w:rPr>
                <w:rFonts w:ascii="Arial" w:cs="Arial" w:eastAsia="Arial" w:hAnsi="Arial"/>
                <w:sz w:val="14"/>
                <w:szCs w:val="14"/>
                <w:b w:val="1"/>
                <w:bCs w:val="1"/>
                <w:color w:val="FFFFFF"/>
              </w:rPr>
              <w:t>   Termination and</w:t>
            </w:r>
          </w:p>
        </w:tc>
        <w:tc>
          <w:tcPr>
            <w:tcW w:w="1320" w:type="dxa"/>
            <w:vAlign w:val="bottom"/>
            <w:shd w:val="clear" w:color="auto" w:fill="3E8EDE"/>
          </w:tcPr>
          <w:p>
            <w:pPr>
              <w:jc w:val="center"/>
              <w:ind w:left="162"/>
              <w:spacing w:after="0" w:line="155" w:lineRule="exact"/>
              <w:rPr>
                <w:sz w:val="20"/>
                <w:szCs w:val="20"/>
                <w:color w:val="auto"/>
              </w:rPr>
            </w:pPr>
            <w:r>
              <w:rPr>
                <w:rFonts w:ascii="Arial" w:cs="Arial" w:eastAsia="Arial" w:hAnsi="Arial"/>
                <w:sz w:val="14"/>
                <w:szCs w:val="14"/>
                <w:b w:val="1"/>
                <w:bCs w:val="1"/>
                <w:color w:val="FFFFFF"/>
                <w:w w:val="98"/>
              </w:rPr>
              <w:t>Termination but</w:t>
            </w: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center"/>
              <w:ind w:left="23"/>
              <w:spacing w:after="0" w:line="155" w:lineRule="exact"/>
              <w:rPr>
                <w:sz w:val="20"/>
                <w:szCs w:val="20"/>
                <w:color w:val="auto"/>
              </w:rPr>
            </w:pPr>
            <w:r>
              <w:rPr>
                <w:rFonts w:ascii="Arial" w:cs="Arial" w:eastAsia="Arial" w:hAnsi="Arial"/>
                <w:sz w:val="14"/>
                <w:szCs w:val="14"/>
                <w:b w:val="1"/>
                <w:bCs w:val="1"/>
                <w:color w:val="FFFFFF"/>
                <w:w w:val="98"/>
              </w:rPr>
              <w:t>without Cause</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60" w:type="dxa"/>
            <w:vAlign w:val="bottom"/>
            <w:gridSpan w:val="2"/>
            <w:shd w:val="clear" w:color="auto" w:fill="3E8EDE"/>
          </w:tcPr>
          <w:p>
            <w:pPr>
              <w:jc w:val="center"/>
              <w:ind w:right="54"/>
              <w:spacing w:after="0" w:line="155" w:lineRule="exact"/>
              <w:rPr>
                <w:sz w:val="20"/>
                <w:szCs w:val="20"/>
                <w:color w:val="auto"/>
              </w:rPr>
            </w:pPr>
            <w:r>
              <w:rPr>
                <w:rFonts w:ascii="Arial" w:cs="Arial" w:eastAsia="Arial" w:hAnsi="Arial"/>
                <w:sz w:val="14"/>
                <w:szCs w:val="14"/>
                <w:b w:val="1"/>
                <w:bCs w:val="1"/>
                <w:color w:val="FFFFFF"/>
                <w:w w:val="97"/>
              </w:rPr>
              <w:t>Termination by</w:t>
            </w:r>
          </w:p>
        </w:tc>
        <w:tc>
          <w:tcPr>
            <w:tcW w:w="14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no Qualifying</w:t>
            </w:r>
          </w:p>
        </w:tc>
        <w:tc>
          <w:tcPr>
            <w:tcW w:w="1320" w:type="dxa"/>
            <w:vAlign w:val="bottom"/>
            <w:shd w:val="clear" w:color="auto" w:fill="3E8EDE"/>
          </w:tcPr>
          <w:p>
            <w:pPr>
              <w:jc w:val="center"/>
              <w:ind w:left="162"/>
              <w:spacing w:after="0" w:line="155" w:lineRule="exact"/>
              <w:rPr>
                <w:sz w:val="20"/>
                <w:szCs w:val="20"/>
                <w:color w:val="auto"/>
              </w:rPr>
            </w:pPr>
            <w:r>
              <w:rPr>
                <w:rFonts w:ascii="Arial" w:cs="Arial" w:eastAsia="Arial" w:hAnsi="Arial"/>
                <w:sz w:val="14"/>
                <w:szCs w:val="14"/>
                <w:b w:val="1"/>
                <w:bCs w:val="1"/>
                <w:color w:val="FFFFFF"/>
                <w:w w:val="99"/>
              </w:rPr>
              <w:t>with Qualifying</w:t>
            </w: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right"/>
              <w:ind w:right="54"/>
              <w:spacing w:after="0" w:line="155" w:lineRule="exact"/>
              <w:rPr>
                <w:sz w:val="20"/>
                <w:szCs w:val="20"/>
                <w:color w:val="auto"/>
              </w:rPr>
            </w:pPr>
            <w:r>
              <w:rPr>
                <w:rFonts w:ascii="Arial" w:cs="Arial" w:eastAsia="Arial" w:hAnsi="Arial"/>
                <w:sz w:val="14"/>
                <w:szCs w:val="14"/>
                <w:b w:val="1"/>
                <w:bCs w:val="1"/>
                <w:color w:val="FFFFFF"/>
                <w:w w:val="97"/>
              </w:rPr>
              <w:t>   or Termination by</w:t>
            </w:r>
          </w:p>
        </w:tc>
      </w:tr>
      <w:tr>
        <w:trPr>
          <w:trHeight w:val="152"/>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60" w:type="dxa"/>
            <w:vAlign w:val="bottom"/>
            <w:gridSpan w:val="2"/>
            <w:shd w:val="clear" w:color="auto" w:fill="3E8EDE"/>
          </w:tcPr>
          <w:p>
            <w:pPr>
              <w:jc w:val="center"/>
              <w:ind w:right="54"/>
              <w:spacing w:after="0" w:line="152" w:lineRule="exact"/>
              <w:rPr>
                <w:sz w:val="20"/>
                <w:szCs w:val="20"/>
                <w:color w:val="auto"/>
              </w:rPr>
            </w:pPr>
            <w:r>
              <w:rPr>
                <w:rFonts w:ascii="Arial" w:cs="Arial" w:eastAsia="Arial" w:hAnsi="Arial"/>
                <w:sz w:val="14"/>
                <w:szCs w:val="14"/>
                <w:b w:val="1"/>
                <w:bCs w:val="1"/>
                <w:color w:val="FFFFFF"/>
                <w:w w:val="98"/>
              </w:rPr>
              <w:t>the employee for</w:t>
            </w:r>
          </w:p>
        </w:tc>
        <w:tc>
          <w:tcPr>
            <w:tcW w:w="1440" w:type="dxa"/>
            <w:vAlign w:val="bottom"/>
            <w:gridSpan w:val="2"/>
            <w:shd w:val="clear" w:color="auto" w:fill="3E8EDE"/>
          </w:tcPr>
          <w:p>
            <w:pPr>
              <w:jc w:val="center"/>
              <w:spacing w:after="0" w:line="152" w:lineRule="exact"/>
              <w:rPr>
                <w:sz w:val="20"/>
                <w:szCs w:val="20"/>
                <w:color w:val="auto"/>
              </w:rPr>
            </w:pPr>
            <w:r>
              <w:rPr>
                <w:rFonts w:ascii="Arial" w:cs="Arial" w:eastAsia="Arial" w:hAnsi="Arial"/>
                <w:sz w:val="14"/>
                <w:szCs w:val="14"/>
                <w:b w:val="1"/>
                <w:bCs w:val="1"/>
                <w:color w:val="FFFFFF"/>
                <w:w w:val="98"/>
              </w:rPr>
              <w:t>Replacement</w:t>
            </w:r>
          </w:p>
        </w:tc>
        <w:tc>
          <w:tcPr>
            <w:tcW w:w="1320" w:type="dxa"/>
            <w:vAlign w:val="bottom"/>
            <w:shd w:val="clear" w:color="auto" w:fill="3E8EDE"/>
          </w:tcPr>
          <w:p>
            <w:pPr>
              <w:jc w:val="center"/>
              <w:ind w:left="182"/>
              <w:spacing w:after="0" w:line="152" w:lineRule="exact"/>
              <w:rPr>
                <w:sz w:val="20"/>
                <w:szCs w:val="20"/>
                <w:color w:val="auto"/>
              </w:rPr>
            </w:pPr>
            <w:r>
              <w:rPr>
                <w:rFonts w:ascii="Arial" w:cs="Arial" w:eastAsia="Arial" w:hAnsi="Arial"/>
                <w:sz w:val="14"/>
                <w:szCs w:val="14"/>
                <w:b w:val="1"/>
                <w:bCs w:val="1"/>
                <w:color w:val="FFFFFF"/>
                <w:w w:val="98"/>
              </w:rPr>
              <w:t>Replacement</w:t>
            </w: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center"/>
              <w:ind w:left="23"/>
              <w:spacing w:after="0" w:line="152" w:lineRule="exact"/>
              <w:rPr>
                <w:sz w:val="20"/>
                <w:szCs w:val="20"/>
                <w:color w:val="auto"/>
              </w:rPr>
            </w:pPr>
            <w:r>
              <w:rPr>
                <w:rFonts w:ascii="Arial" w:cs="Arial" w:eastAsia="Arial" w:hAnsi="Arial"/>
                <w:sz w:val="14"/>
                <w:szCs w:val="14"/>
                <w:b w:val="1"/>
                <w:bCs w:val="1"/>
                <w:color w:val="FFFFFF"/>
                <w:w w:val="98"/>
              </w:rPr>
              <w:t>the employee for</w:t>
            </w:r>
          </w:p>
        </w:tc>
      </w:tr>
      <w:tr>
        <w:trPr>
          <w:trHeight w:val="259"/>
        </w:trPr>
        <w:tc>
          <w:tcPr>
            <w:tcW w:w="4560" w:type="dxa"/>
            <w:vAlign w:val="bottom"/>
            <w:shd w:val="clear" w:color="auto" w:fill="3E8EDE"/>
          </w:tcPr>
          <w:p>
            <w:pPr>
              <w:spacing w:after="0"/>
              <w:rPr>
                <w:sz w:val="22"/>
                <w:szCs w:val="22"/>
                <w:color w:val="auto"/>
              </w:rPr>
            </w:pPr>
          </w:p>
        </w:tc>
        <w:tc>
          <w:tcPr>
            <w:tcW w:w="160" w:type="dxa"/>
            <w:vAlign w:val="bottom"/>
            <w:shd w:val="clear" w:color="auto" w:fill="3E8EDE"/>
          </w:tcPr>
          <w:p>
            <w:pPr>
              <w:spacing w:after="0"/>
              <w:rPr>
                <w:sz w:val="22"/>
                <w:szCs w:val="22"/>
                <w:color w:val="auto"/>
              </w:rPr>
            </w:pPr>
          </w:p>
        </w:tc>
        <w:tc>
          <w:tcPr>
            <w:tcW w:w="1360" w:type="dxa"/>
            <w:vAlign w:val="bottom"/>
            <w:gridSpan w:val="2"/>
            <w:shd w:val="clear" w:color="auto" w:fill="3E8EDE"/>
          </w:tcPr>
          <w:p>
            <w:pPr>
              <w:jc w:val="center"/>
              <w:ind w:right="54"/>
              <w:spacing w:after="0"/>
              <w:rPr>
                <w:sz w:val="20"/>
                <w:szCs w:val="20"/>
                <w:color w:val="auto"/>
              </w:rPr>
            </w:pPr>
            <w:r>
              <w:rPr>
                <w:rFonts w:ascii="Arial" w:cs="Arial" w:eastAsia="Arial" w:hAnsi="Arial"/>
                <w:sz w:val="14"/>
                <w:szCs w:val="14"/>
                <w:b w:val="1"/>
                <w:bCs w:val="1"/>
                <w:color w:val="FFFFFF"/>
                <w:w w:val="95"/>
              </w:rPr>
              <w:t>Good Reason</w:t>
            </w:r>
            <w:r>
              <w:rPr>
                <w:rFonts w:ascii="Arial" w:cs="Arial" w:eastAsia="Arial" w:hAnsi="Arial"/>
                <w:sz w:val="20"/>
                <w:szCs w:val="20"/>
                <w:b w:val="1"/>
                <w:bCs w:val="1"/>
                <w:color w:val="FFFFFF"/>
                <w:w w:val="95"/>
                <w:vertAlign w:val="superscript"/>
              </w:rPr>
              <w:t>(2)</w:t>
            </w:r>
          </w:p>
        </w:tc>
        <w:tc>
          <w:tcPr>
            <w:tcW w:w="1440" w:type="dxa"/>
            <w:vAlign w:val="bottom"/>
            <w:gridSpan w:val="2"/>
            <w:shd w:val="clear" w:color="auto" w:fill="3E8EDE"/>
          </w:tcPr>
          <w:p>
            <w:pPr>
              <w:ind w:left="500"/>
              <w:spacing w:after="0"/>
              <w:rPr>
                <w:sz w:val="20"/>
                <w:szCs w:val="20"/>
                <w:color w:val="auto"/>
              </w:rPr>
            </w:pPr>
            <w:r>
              <w:rPr>
                <w:rFonts w:ascii="Arial" w:cs="Arial" w:eastAsia="Arial" w:hAnsi="Arial"/>
                <w:sz w:val="14"/>
                <w:szCs w:val="14"/>
                <w:b w:val="1"/>
                <w:bCs w:val="1"/>
                <w:color w:val="FFFFFF"/>
              </w:rPr>
              <w:t>Award</w:t>
            </w:r>
          </w:p>
        </w:tc>
        <w:tc>
          <w:tcPr>
            <w:tcW w:w="1320" w:type="dxa"/>
            <w:vAlign w:val="bottom"/>
            <w:shd w:val="clear" w:color="auto" w:fill="3E8EDE"/>
          </w:tcPr>
          <w:p>
            <w:pPr>
              <w:jc w:val="center"/>
              <w:ind w:left="182"/>
              <w:spacing w:after="0"/>
              <w:rPr>
                <w:sz w:val="20"/>
                <w:szCs w:val="20"/>
                <w:color w:val="auto"/>
              </w:rPr>
            </w:pPr>
            <w:r>
              <w:rPr>
                <w:rFonts w:ascii="Arial" w:cs="Arial" w:eastAsia="Arial" w:hAnsi="Arial"/>
                <w:sz w:val="14"/>
                <w:szCs w:val="14"/>
                <w:b w:val="1"/>
                <w:bCs w:val="1"/>
                <w:color w:val="FFFFFF"/>
                <w:w w:val="98"/>
              </w:rPr>
              <w:t>Award</w:t>
            </w:r>
          </w:p>
        </w:tc>
        <w:tc>
          <w:tcPr>
            <w:tcW w:w="200" w:type="dxa"/>
            <w:vAlign w:val="bottom"/>
            <w:shd w:val="clear" w:color="auto" w:fill="3E8EDE"/>
          </w:tcPr>
          <w:p>
            <w:pPr>
              <w:spacing w:after="0"/>
              <w:rPr>
                <w:sz w:val="22"/>
                <w:szCs w:val="22"/>
                <w:color w:val="auto"/>
              </w:rPr>
            </w:pPr>
          </w:p>
        </w:tc>
        <w:tc>
          <w:tcPr>
            <w:tcW w:w="1520" w:type="dxa"/>
            <w:vAlign w:val="bottom"/>
            <w:gridSpan w:val="2"/>
            <w:shd w:val="clear" w:color="auto" w:fill="3E8EDE"/>
          </w:tcPr>
          <w:p>
            <w:pPr>
              <w:jc w:val="center"/>
              <w:ind w:left="23"/>
              <w:spacing w:after="0"/>
              <w:rPr>
                <w:sz w:val="20"/>
                <w:szCs w:val="20"/>
                <w:color w:val="auto"/>
              </w:rPr>
            </w:pPr>
            <w:r>
              <w:rPr>
                <w:rFonts w:ascii="Arial" w:cs="Arial" w:eastAsia="Arial" w:hAnsi="Arial"/>
                <w:sz w:val="14"/>
                <w:szCs w:val="14"/>
                <w:b w:val="1"/>
                <w:bCs w:val="1"/>
                <w:color w:val="FFFFFF"/>
                <w:w w:val="95"/>
              </w:rPr>
              <w:t>Good Reason</w:t>
            </w:r>
            <w:r>
              <w:rPr>
                <w:rFonts w:ascii="Arial" w:cs="Arial" w:eastAsia="Arial" w:hAnsi="Arial"/>
                <w:sz w:val="20"/>
                <w:szCs w:val="20"/>
                <w:b w:val="1"/>
                <w:bCs w:val="1"/>
                <w:color w:val="FFFFFF"/>
                <w:w w:val="95"/>
                <w:vertAlign w:val="superscript"/>
              </w:rPr>
              <w:t>(4)</w:t>
            </w:r>
          </w:p>
        </w:tc>
      </w:tr>
      <w:tr>
        <w:trPr>
          <w:trHeight w:val="272"/>
        </w:trPr>
        <w:tc>
          <w:tcPr>
            <w:tcW w:w="4560" w:type="dxa"/>
            <w:vAlign w:val="bottom"/>
            <w:shd w:val="clear" w:color="auto" w:fill="E2EEFA"/>
          </w:tcPr>
          <w:p>
            <w:pPr>
              <w:ind w:left="60"/>
              <w:spacing w:after="0"/>
              <w:rPr>
                <w:sz w:val="20"/>
                <w:szCs w:val="20"/>
                <w:color w:val="auto"/>
              </w:rPr>
            </w:pPr>
            <w:r>
              <w:rPr>
                <w:rFonts w:ascii="Arial" w:cs="Arial" w:eastAsia="Arial" w:hAnsi="Arial"/>
                <w:sz w:val="17"/>
                <w:szCs w:val="17"/>
                <w:color w:val="auto"/>
              </w:rPr>
              <w:t>Severance Payment</w:t>
            </w:r>
          </w:p>
        </w:tc>
        <w:tc>
          <w:tcPr>
            <w:tcW w:w="160" w:type="dxa"/>
            <w:vAlign w:val="bottom"/>
            <w:shd w:val="clear" w:color="auto" w:fill="E2EEFA"/>
          </w:tcPr>
          <w:p>
            <w:pPr>
              <w:spacing w:after="0"/>
              <w:rPr>
                <w:sz w:val="23"/>
                <w:szCs w:val="23"/>
                <w:color w:val="auto"/>
              </w:rPr>
            </w:pPr>
          </w:p>
        </w:tc>
        <w:tc>
          <w:tcPr>
            <w:tcW w:w="5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600,000</w:t>
            </w:r>
          </w:p>
        </w:tc>
        <w:tc>
          <w:tcPr>
            <w:tcW w:w="620" w:type="dxa"/>
            <w:vAlign w:val="bottom"/>
            <w:shd w:val="clear" w:color="auto" w:fill="E2EEFA"/>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1320" w:type="dxa"/>
            <w:vAlign w:val="bottom"/>
            <w:shd w:val="clear" w:color="auto" w:fill="E2EEFA"/>
          </w:tcPr>
          <w:p>
            <w:pPr>
              <w:ind w:left="540"/>
              <w:spacing w:after="0"/>
              <w:rPr>
                <w:sz w:val="20"/>
                <w:szCs w:val="20"/>
                <w:color w:val="auto"/>
              </w:rPr>
            </w:pPr>
            <w:r>
              <w:rPr>
                <w:rFonts w:ascii="Arial" w:cs="Arial" w:eastAsia="Arial" w:hAnsi="Arial"/>
                <w:sz w:val="17"/>
                <w:szCs w:val="17"/>
                <w:color w:val="auto"/>
              </w:rPr>
              <w:t xml:space="preserve">$          </w:t>
            </w:r>
          </w:p>
        </w:tc>
        <w:tc>
          <w:tcPr>
            <w:tcW w:w="2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7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1,200,000</w:t>
            </w:r>
          </w:p>
        </w:tc>
      </w:tr>
      <w:tr>
        <w:trPr>
          <w:trHeight w:val="272"/>
        </w:trPr>
        <w:tc>
          <w:tcPr>
            <w:tcW w:w="4720" w:type="dxa"/>
            <w:vAlign w:val="bottom"/>
            <w:gridSpan w:val="2"/>
          </w:tcPr>
          <w:p>
            <w:pPr>
              <w:ind w:left="60"/>
              <w:spacing w:after="0" w:line="272" w:lineRule="exact"/>
              <w:rPr>
                <w:sz w:val="20"/>
                <w:szCs w:val="20"/>
                <w:color w:val="auto"/>
              </w:rPr>
            </w:pPr>
            <w:r>
              <w:rPr>
                <w:rFonts w:ascii="Arial" w:cs="Arial" w:eastAsia="Arial" w:hAnsi="Arial"/>
                <w:sz w:val="17"/>
                <w:szCs w:val="17"/>
                <w:color w:val="auto"/>
              </w:rPr>
              <w:t>Stock Options</w:t>
            </w:r>
            <w:r>
              <w:rPr>
                <w:rFonts w:ascii="Arial" w:cs="Arial" w:eastAsia="Arial" w:hAnsi="Arial"/>
                <w:sz w:val="25"/>
                <w:szCs w:val="25"/>
                <w:color w:val="auto"/>
                <w:vertAlign w:val="superscript"/>
              </w:rPr>
              <w:t>(3)</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w:t>
            </w:r>
          </w:p>
        </w:tc>
        <w:tc>
          <w:tcPr>
            <w:tcW w:w="620" w:type="dxa"/>
            <w:vAlign w:val="bottom"/>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2,216</w:t>
            </w:r>
          </w:p>
        </w:tc>
        <w:tc>
          <w:tcPr>
            <w:tcW w:w="1320" w:type="dxa"/>
            <w:vAlign w:val="bottom"/>
          </w:tcPr>
          <w:p>
            <w:pPr>
              <w:ind w:left="54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2,216</w:t>
            </w:r>
          </w:p>
        </w:tc>
      </w:tr>
      <w:tr>
        <w:trPr>
          <w:trHeight w:val="272"/>
        </w:trPr>
        <w:tc>
          <w:tcPr>
            <w:tcW w:w="4560" w:type="dxa"/>
            <w:vAlign w:val="bottom"/>
            <w:shd w:val="clear" w:color="auto" w:fill="E2EEFA"/>
          </w:tcPr>
          <w:p>
            <w:pPr>
              <w:ind w:left="60"/>
              <w:spacing w:after="0" w:line="272" w:lineRule="exact"/>
              <w:rPr>
                <w:sz w:val="20"/>
                <w:szCs w:val="20"/>
                <w:color w:val="auto"/>
              </w:rPr>
            </w:pPr>
            <w:r>
              <w:rPr>
                <w:rFonts w:ascii="Arial" w:cs="Arial" w:eastAsia="Arial" w:hAnsi="Arial"/>
                <w:sz w:val="17"/>
                <w:szCs w:val="17"/>
                <w:color w:val="auto"/>
              </w:rPr>
              <w:t>Restricted Stock</w:t>
            </w:r>
            <w:r>
              <w:rPr>
                <w:rFonts w:ascii="Arial" w:cs="Arial" w:eastAsia="Arial" w:hAnsi="Arial"/>
                <w:sz w:val="25"/>
                <w:szCs w:val="25"/>
                <w:color w:val="auto"/>
                <w:vertAlign w:val="superscript"/>
              </w:rPr>
              <w:t>(3)</w:t>
            </w:r>
          </w:p>
        </w:tc>
        <w:tc>
          <w:tcPr>
            <w:tcW w:w="160" w:type="dxa"/>
            <w:vAlign w:val="bottom"/>
            <w:shd w:val="clear" w:color="auto" w:fill="E2EEFA"/>
          </w:tcPr>
          <w:p>
            <w:pPr>
              <w:spacing w:after="0"/>
              <w:rPr>
                <w:sz w:val="23"/>
                <w:szCs w:val="23"/>
                <w:color w:val="auto"/>
              </w:rPr>
            </w:pPr>
          </w:p>
        </w:tc>
        <w:tc>
          <w:tcPr>
            <w:tcW w:w="5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620" w:type="dxa"/>
            <w:vAlign w:val="bottom"/>
            <w:shd w:val="clear" w:color="auto" w:fill="E2EEFA"/>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1,211,571</w:t>
            </w:r>
          </w:p>
        </w:tc>
        <w:tc>
          <w:tcPr>
            <w:tcW w:w="1320" w:type="dxa"/>
            <w:vAlign w:val="bottom"/>
            <w:shd w:val="clear" w:color="auto" w:fill="E2EEFA"/>
          </w:tcPr>
          <w:p>
            <w:pPr>
              <w:ind w:left="540"/>
              <w:spacing w:after="0"/>
              <w:rPr>
                <w:sz w:val="20"/>
                <w:szCs w:val="20"/>
                <w:color w:val="auto"/>
              </w:rPr>
            </w:pPr>
            <w:r>
              <w:rPr>
                <w:rFonts w:ascii="Arial" w:cs="Arial" w:eastAsia="Arial" w:hAnsi="Arial"/>
                <w:sz w:val="17"/>
                <w:szCs w:val="17"/>
                <w:color w:val="auto"/>
              </w:rPr>
              <w:t>$</w:t>
            </w:r>
          </w:p>
        </w:tc>
        <w:tc>
          <w:tcPr>
            <w:tcW w:w="2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7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1,211,571</w:t>
            </w:r>
          </w:p>
        </w:tc>
      </w:tr>
      <w:tr>
        <w:trPr>
          <w:trHeight w:val="267"/>
        </w:trPr>
        <w:tc>
          <w:tcPr>
            <w:tcW w:w="4720" w:type="dxa"/>
            <w:vAlign w:val="bottom"/>
            <w:gridSpan w:val="2"/>
          </w:tcPr>
          <w:p>
            <w:pPr>
              <w:ind w:left="60"/>
              <w:spacing w:after="0"/>
              <w:rPr>
                <w:sz w:val="20"/>
                <w:szCs w:val="20"/>
                <w:color w:val="auto"/>
              </w:rPr>
            </w:pPr>
            <w:r>
              <w:rPr>
                <w:rFonts w:ascii="Arial" w:cs="Arial" w:eastAsia="Arial" w:hAnsi="Arial"/>
                <w:sz w:val="17"/>
                <w:szCs w:val="17"/>
                <w:color w:val="auto"/>
              </w:rPr>
              <w:t>Pro-Rata Bonus Payment</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491,493</w:t>
            </w:r>
          </w:p>
        </w:tc>
        <w:tc>
          <w:tcPr>
            <w:tcW w:w="620" w:type="dxa"/>
            <w:vAlign w:val="bottom"/>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w:t>
            </w:r>
          </w:p>
        </w:tc>
        <w:tc>
          <w:tcPr>
            <w:tcW w:w="1320" w:type="dxa"/>
            <w:vAlign w:val="bottom"/>
          </w:tcPr>
          <w:p>
            <w:pPr>
              <w:ind w:left="54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491,493</w:t>
            </w:r>
          </w:p>
        </w:tc>
      </w:tr>
      <w:tr>
        <w:trPr>
          <w:trHeight w:val="277"/>
        </w:trPr>
        <w:tc>
          <w:tcPr>
            <w:tcW w:w="4560" w:type="dxa"/>
            <w:vAlign w:val="bottom"/>
            <w:shd w:val="clear" w:color="auto" w:fill="E2EEFA"/>
          </w:tcPr>
          <w:p>
            <w:pPr>
              <w:ind w:left="60"/>
              <w:spacing w:after="0"/>
              <w:rPr>
                <w:sz w:val="20"/>
                <w:szCs w:val="20"/>
                <w:color w:val="auto"/>
              </w:rPr>
            </w:pPr>
            <w:r>
              <w:rPr>
                <w:rFonts w:ascii="Arial" w:cs="Arial" w:eastAsia="Arial" w:hAnsi="Arial"/>
                <w:sz w:val="17"/>
                <w:szCs w:val="17"/>
                <w:color w:val="auto"/>
              </w:rPr>
              <w:t>Medical and Dental Benefits</w:t>
            </w:r>
          </w:p>
        </w:tc>
        <w:tc>
          <w:tcPr>
            <w:tcW w:w="160" w:type="dxa"/>
            <w:vAlign w:val="bottom"/>
            <w:shd w:val="clear" w:color="auto" w:fill="E2EEFA"/>
          </w:tcPr>
          <w:p>
            <w:pPr>
              <w:spacing w:after="0"/>
              <w:rPr>
                <w:sz w:val="24"/>
                <w:szCs w:val="24"/>
                <w:color w:val="auto"/>
              </w:rPr>
            </w:pPr>
          </w:p>
        </w:tc>
        <w:tc>
          <w:tcPr>
            <w:tcW w:w="5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21,439</w:t>
            </w:r>
          </w:p>
        </w:tc>
        <w:tc>
          <w:tcPr>
            <w:tcW w:w="620" w:type="dxa"/>
            <w:vAlign w:val="bottom"/>
            <w:shd w:val="clear" w:color="auto" w:fill="E2EEFA"/>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1320" w:type="dxa"/>
            <w:vAlign w:val="bottom"/>
            <w:shd w:val="clear" w:color="auto" w:fill="E2EEFA"/>
          </w:tcPr>
          <w:p>
            <w:pPr>
              <w:ind w:left="540"/>
              <w:spacing w:after="0"/>
              <w:rPr>
                <w:sz w:val="20"/>
                <w:szCs w:val="20"/>
                <w:color w:val="auto"/>
              </w:rPr>
            </w:pPr>
            <w:r>
              <w:rPr>
                <w:rFonts w:ascii="Arial" w:cs="Arial" w:eastAsia="Arial" w:hAnsi="Arial"/>
                <w:sz w:val="17"/>
                <w:szCs w:val="17"/>
                <w:color w:val="auto"/>
              </w:rPr>
              <w:t>$</w:t>
            </w:r>
          </w:p>
        </w:tc>
        <w:tc>
          <w:tcPr>
            <w:tcW w:w="2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7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21,439</w:t>
            </w:r>
          </w:p>
        </w:tc>
      </w:tr>
      <w:tr>
        <w:trPr>
          <w:trHeight w:val="267"/>
        </w:trPr>
        <w:tc>
          <w:tcPr>
            <w:tcW w:w="4720" w:type="dxa"/>
            <w:vAlign w:val="bottom"/>
            <w:tcBorders>
              <w:bottom w:val="single" w:sz="8" w:color="3E8EDE"/>
            </w:tcBorders>
            <w:gridSpan w:val="2"/>
          </w:tcPr>
          <w:p>
            <w:pPr>
              <w:ind w:left="60"/>
              <w:spacing w:after="0"/>
              <w:rPr>
                <w:sz w:val="20"/>
                <w:szCs w:val="20"/>
                <w:color w:val="auto"/>
              </w:rPr>
            </w:pPr>
            <w:r>
              <w:rPr>
                <w:rFonts w:ascii="Arial" w:cs="Arial" w:eastAsia="Arial" w:hAnsi="Arial"/>
                <w:sz w:val="17"/>
                <w:szCs w:val="17"/>
                <w:color w:val="auto"/>
              </w:rPr>
              <w:t>Deferred Compensation Plan</w:t>
            </w:r>
          </w:p>
        </w:tc>
        <w:tc>
          <w:tcPr>
            <w:tcW w:w="54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0</w:t>
            </w:r>
          </w:p>
        </w:tc>
        <w:tc>
          <w:tcPr>
            <w:tcW w:w="620" w:type="dxa"/>
            <w:vAlign w:val="bottom"/>
            <w:tcBorders>
              <w:bottom w:val="single" w:sz="8" w:color="3E8EDE"/>
            </w:tcBorders>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14,685</w:t>
            </w:r>
          </w:p>
        </w:tc>
        <w:tc>
          <w:tcPr>
            <w:tcW w:w="1320" w:type="dxa"/>
            <w:vAlign w:val="bottom"/>
            <w:tcBorders>
              <w:bottom w:val="single" w:sz="8" w:color="3E8EDE"/>
            </w:tcBorders>
          </w:tcPr>
          <w:p>
            <w:pPr>
              <w:ind w:left="5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0</w:t>
            </w:r>
          </w:p>
        </w:tc>
        <w:tc>
          <w:tcPr>
            <w:tcW w:w="72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14,685</w:t>
            </w:r>
          </w:p>
        </w:tc>
      </w:tr>
      <w:tr>
        <w:trPr>
          <w:trHeight w:val="257"/>
        </w:trPr>
        <w:tc>
          <w:tcPr>
            <w:tcW w:w="4560" w:type="dxa"/>
            <w:vAlign w:val="bottom"/>
            <w:tcBorders>
              <w:bottom w:val="single" w:sz="8" w:color="3E8EDE"/>
            </w:tcBorders>
            <w:shd w:val="clear" w:color="auto" w:fill="E2EEFA"/>
          </w:tcPr>
          <w:p>
            <w:pPr>
              <w:ind w:left="60"/>
              <w:spacing w:after="0" w:line="257" w:lineRule="exact"/>
              <w:rPr>
                <w:sz w:val="20"/>
                <w:szCs w:val="20"/>
                <w:color w:val="auto"/>
              </w:rPr>
            </w:pPr>
            <w:r>
              <w:rPr>
                <w:rFonts w:ascii="Arial" w:cs="Arial" w:eastAsia="Arial" w:hAnsi="Arial"/>
                <w:sz w:val="17"/>
                <w:szCs w:val="17"/>
                <w:color w:val="auto"/>
              </w:rPr>
              <w:t>Totals</w:t>
            </w:r>
            <w:r>
              <w:rPr>
                <w:rFonts w:ascii="Arial" w:cs="Arial" w:eastAsia="Arial" w:hAnsi="Arial"/>
                <w:sz w:val="25"/>
                <w:szCs w:val="25"/>
                <w:color w:val="auto"/>
                <w:vertAlign w:val="superscript"/>
              </w:rPr>
              <w:t>(5)</w:t>
            </w:r>
          </w:p>
        </w:tc>
        <w:tc>
          <w:tcPr>
            <w:tcW w:w="160" w:type="dxa"/>
            <w:vAlign w:val="bottom"/>
            <w:tcBorders>
              <w:bottom w:val="single" w:sz="8" w:color="3E8EDE"/>
            </w:tcBorders>
            <w:shd w:val="clear" w:color="auto" w:fill="E2EEFA"/>
          </w:tcPr>
          <w:p>
            <w:pPr>
              <w:spacing w:after="0"/>
              <w:rPr>
                <w:sz w:val="22"/>
                <w:szCs w:val="22"/>
                <w:color w:val="auto"/>
              </w:rPr>
            </w:pPr>
          </w:p>
        </w:tc>
        <w:tc>
          <w:tcPr>
            <w:tcW w:w="54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w w:val="97"/>
              </w:rPr>
              <w:t>1,112,950</w:t>
            </w:r>
          </w:p>
        </w:tc>
        <w:tc>
          <w:tcPr>
            <w:tcW w:w="620" w:type="dxa"/>
            <w:vAlign w:val="bottom"/>
            <w:tcBorders>
              <w:bottom w:val="single" w:sz="8" w:color="3E8EDE"/>
            </w:tcBorders>
            <w:shd w:val="clear" w:color="auto" w:fill="E2EEFA"/>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1,228,472</w:t>
            </w:r>
          </w:p>
        </w:tc>
        <w:tc>
          <w:tcPr>
            <w:tcW w:w="1320" w:type="dxa"/>
            <w:vAlign w:val="bottom"/>
            <w:tcBorders>
              <w:bottom w:val="single" w:sz="8" w:color="3E8EDE"/>
            </w:tcBorders>
            <w:shd w:val="clear" w:color="auto" w:fill="E2EEFA"/>
          </w:tcPr>
          <w:p>
            <w:pPr>
              <w:ind w:left="5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7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2,941,404</w:t>
            </w:r>
          </w:p>
        </w:tc>
      </w:tr>
    </w:tbl>
    <w:p>
      <w:pPr>
        <w:spacing w:after="0" w:line="100" w:lineRule="exact"/>
        <w:rPr>
          <w:sz w:val="20"/>
          <w:szCs w:val="20"/>
          <w:color w:val="auto"/>
        </w:rPr>
      </w:pPr>
    </w:p>
    <w:p>
      <w:pPr>
        <w:ind w:left="860" w:right="280" w:hanging="520"/>
        <w:spacing w:after="0" w:line="276" w:lineRule="auto"/>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For purposes of this disclosure, the Change in Control date and all termination events are assumed to occur on March 31, 2026. The stock price used is the closing price of $221.13 on March 31, 2026, the assumed Termination and Change in Control date.</w:t>
      </w:r>
    </w:p>
    <w:p>
      <w:pPr>
        <w:spacing w:after="0" w:line="55" w:lineRule="exact"/>
        <w:rPr>
          <w:rFonts w:ascii="Arial" w:cs="Arial" w:eastAsia="Arial" w:hAnsi="Arial"/>
          <w:sz w:val="17"/>
          <w:szCs w:val="17"/>
          <w:color w:val="auto"/>
        </w:rPr>
      </w:pPr>
    </w:p>
    <w:p>
      <w:pPr>
        <w:ind w:left="860" w:hanging="520"/>
        <w:spacing w:after="0" w:line="246" w:lineRule="auto"/>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Pursuant to the Senior Executive Severance Plan, in the event of a “qualifying termination” in circumstances not involving a Change in Control, Ms. Burton will be entitled to 12 months of severance payments based on her then current base salary, a pro-rata portion of her actual bonus, and 12 months of medical and dental benefits. A “qualifying termination” is any separation of service other than by the Company for Cause (as defined) or by executive without Good Reason (as defined). Good Reason includes death or Disability (as defined). Ms. Burton’s actual bonus for fiscal 2026 is $491,493. The proration is 100% because the assumed termination date is the fiscal year end.</w:t>
      </w:r>
    </w:p>
    <w:p>
      <w:pPr>
        <w:spacing w:after="0" w:line="79" w:lineRule="exact"/>
        <w:rPr>
          <w:rFonts w:ascii="Arial" w:cs="Arial" w:eastAsia="Arial" w:hAnsi="Arial"/>
          <w:sz w:val="17"/>
          <w:szCs w:val="17"/>
          <w:color w:val="auto"/>
        </w:rPr>
      </w:pPr>
    </w:p>
    <w:p>
      <w:pPr>
        <w:ind w:left="860" w:right="60" w:hanging="520"/>
        <w:spacing w:after="0" w:line="251" w:lineRule="auto"/>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unvested outstanding stock options and restricted awards provide for double trigger vesting in Change in Control situations, meaning that if a change in control occurs and the employee receives a qualifying replacement award, there will be no accelerated vesting unless the employee’s employment terminates under specified circumstances. If the employee’s employment terminates on account of death, the employee also will be entitled to accelerated award vesting.</w:t>
      </w:r>
    </w:p>
    <w:p>
      <w:pPr>
        <w:spacing w:after="0" w:line="75" w:lineRule="exact"/>
        <w:rPr>
          <w:rFonts w:ascii="Arial" w:cs="Arial" w:eastAsia="Arial" w:hAnsi="Arial"/>
          <w:sz w:val="17"/>
          <w:szCs w:val="17"/>
          <w:color w:val="auto"/>
        </w:rPr>
      </w:pPr>
    </w:p>
    <w:p>
      <w:pPr>
        <w:ind w:left="860" w:right="20" w:hanging="520"/>
        <w:spacing w:after="0" w:line="246" w:lineRule="auto"/>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Pursuant to the Senior Executive Severance Plan, in the event of a “qualifying termination” within one (1) year following a change in control, Ms. Burton will be entitled to 12 months of severance payments based on a multiple of two (2) times her then current base salary, a pro-rata portion of her actual bonus, and 12 months of medical and dental benefits. A “qualifying termination” is any separation from service other than by the Company for Cause (as defined) or by executive without Good Reason (as defined). Good Reason includes death or Disability (as defined). Ms. Burton’s actual bonus for fiscal 2026 is $491,493. The proration is 100% because the assumed termination date is the fiscal year end.</w:t>
      </w:r>
    </w:p>
    <w:p>
      <w:pPr>
        <w:spacing w:after="0" w:line="79" w:lineRule="exact"/>
        <w:rPr>
          <w:rFonts w:ascii="Arial" w:cs="Arial" w:eastAsia="Arial" w:hAnsi="Arial"/>
          <w:sz w:val="17"/>
          <w:szCs w:val="17"/>
          <w:color w:val="auto"/>
        </w:rPr>
      </w:pPr>
    </w:p>
    <w:p>
      <w:pPr>
        <w:ind w:left="860" w:right="800" w:hanging="520"/>
        <w:spacing w:after="0" w:line="276" w:lineRule="auto"/>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Amounts payable to the executive in the event of a Change in Control may be subject to reduction due to the operation of Sections 280G and 4999 of the Internal Revenue Code as provided for under the Senior Executive Severance Plan.</w:t>
      </w:r>
    </w:p>
    <w:p>
      <w:pPr>
        <w:spacing w:after="0" w:line="84"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3E8EDE"/>
        </w:rPr>
        <w:t xml:space="preserve">Notice of Annual Meeting of Shareholders </w:t>
      </w:r>
      <w:r>
        <w:rPr>
          <w:rFonts w:ascii="Arial" w:cs="Arial" w:eastAsia="Arial" w:hAnsi="Arial"/>
          <w:sz w:val="14"/>
          <w:szCs w:val="14"/>
          <w:color w:val="000000"/>
        </w:rPr>
        <w:t>and 2026 Proxy Statement   79</w:t>
      </w:r>
    </w:p>
    <w:p>
      <w:pPr>
        <w:sectPr>
          <w:pgSz w:w="11900" w:h="16838" w:orient="portrait"/>
          <w:cols w:equalWidth="0" w:num="1">
            <w:col w:w="10900"/>
          </w:cols>
          <w:pgMar w:left="320" w:top="469" w:right="6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780" w:type="dxa"/>
            <w:vAlign w:val="bottom"/>
            <w:vMerge w:val="restart"/>
          </w:tcPr>
          <w:p>
            <w:pPr>
              <w:spacing w:after="0"/>
              <w:rPr>
                <w:sz w:val="20"/>
                <w:szCs w:val="20"/>
                <w:color w:val="auto"/>
              </w:rPr>
            </w:pPr>
            <w:r>
              <w:rPr>
                <w:rFonts w:ascii="Arial" w:cs="Arial" w:eastAsia="Arial" w:hAnsi="Arial"/>
                <w:sz w:val="17"/>
                <w:szCs w:val="17"/>
                <w:b w:val="1"/>
                <w:bCs w:val="1"/>
                <w:color w:val="auto"/>
              </w:rPr>
              <w:t> </w:t>
            </w:r>
          </w:p>
        </w:tc>
        <w:tc>
          <w:tcPr>
            <w:tcW w:w="9780" w:type="dxa"/>
            <w:vAlign w:val="bottom"/>
          </w:tcPr>
          <w:p>
            <w:pPr>
              <w:jc w:val="right"/>
              <w:spacing w:after="0"/>
              <w:rPr>
                <w:sz w:val="20"/>
                <w:szCs w:val="20"/>
                <w:color w:val="auto"/>
              </w:rPr>
            </w:pPr>
            <w:r>
              <w:rPr>
                <w:rFonts w:ascii="Arial" w:cs="Arial" w:eastAsia="Arial" w:hAnsi="Arial"/>
                <w:sz w:val="16"/>
                <w:szCs w:val="16"/>
                <w:b w:val="1"/>
                <w:bCs w:val="1"/>
                <w:color w:val="3E8EDE"/>
              </w:rPr>
              <w:t xml:space="preserve">Executive Compensation: </w:t>
            </w:r>
            <w:r>
              <w:rPr>
                <w:rFonts w:ascii="Arial" w:cs="Arial" w:eastAsia="Arial" w:hAnsi="Arial"/>
                <w:sz w:val="16"/>
                <w:szCs w:val="16"/>
                <w:b w:val="1"/>
                <w:bCs w:val="1"/>
                <w:color w:val="000000"/>
              </w:rPr>
              <w:t>Potential Payments to Named Executive Officers Upon Termination of Employment or Change in</w:t>
            </w:r>
          </w:p>
        </w:tc>
        <w:tc>
          <w:tcPr>
            <w:tcW w:w="0" w:type="dxa"/>
            <w:vAlign w:val="bottom"/>
          </w:tcPr>
          <w:p>
            <w:pPr>
              <w:spacing w:after="0"/>
              <w:rPr>
                <w:sz w:val="1"/>
                <w:szCs w:val="1"/>
                <w:color w:val="auto"/>
              </w:rPr>
            </w:pPr>
          </w:p>
        </w:tc>
      </w:tr>
      <w:tr>
        <w:trPr>
          <w:trHeight w:val="221"/>
        </w:trPr>
        <w:tc>
          <w:tcPr>
            <w:tcW w:w="780" w:type="dxa"/>
            <w:vAlign w:val="bottom"/>
            <w:vMerge w:val="continue"/>
          </w:tcPr>
          <w:p>
            <w:pPr>
              <w:spacing w:after="0"/>
              <w:rPr>
                <w:sz w:val="19"/>
                <w:szCs w:val="19"/>
                <w:color w:val="auto"/>
              </w:rPr>
            </w:pPr>
          </w:p>
        </w:tc>
        <w:tc>
          <w:tcPr>
            <w:tcW w:w="9780" w:type="dxa"/>
            <w:vAlign w:val="bottom"/>
          </w:tcPr>
          <w:p>
            <w:pPr>
              <w:jc w:val="right"/>
              <w:spacing w:after="0"/>
              <w:rPr>
                <w:sz w:val="20"/>
                <w:szCs w:val="20"/>
                <w:color w:val="auto"/>
              </w:rPr>
            </w:pPr>
            <w:r>
              <w:rPr>
                <w:rFonts w:ascii="Arial" w:cs="Arial" w:eastAsia="Arial" w:hAnsi="Arial"/>
                <w:sz w:val="16"/>
                <w:szCs w:val="16"/>
                <w:b w:val="1"/>
                <w:bCs w:val="1"/>
                <w:color w:val="auto"/>
              </w:rPr>
              <w:t>Control</w:t>
            </w:r>
          </w:p>
        </w:tc>
        <w:tc>
          <w:tcPr>
            <w:tcW w:w="0" w:type="dxa"/>
            <w:vAlign w:val="bottom"/>
          </w:tcPr>
          <w:p>
            <w:pPr>
              <w:spacing w:after="0"/>
              <w:rPr>
                <w:sz w:val="1"/>
                <w:szCs w:val="1"/>
                <w:color w:val="auto"/>
              </w:rPr>
            </w:pPr>
          </w:p>
        </w:tc>
      </w:tr>
      <w:tr>
        <w:trPr>
          <w:trHeight w:val="27"/>
        </w:trPr>
        <w:tc>
          <w:tcPr>
            <w:tcW w:w="780" w:type="dxa"/>
            <w:vAlign w:val="bottom"/>
            <w:tcBorders>
              <w:bottom w:val="single" w:sz="8" w:color="3E8EDE"/>
            </w:tcBorders>
          </w:tcPr>
          <w:p>
            <w:pPr>
              <w:spacing w:after="0"/>
              <w:rPr>
                <w:sz w:val="2"/>
                <w:szCs w:val="2"/>
                <w:color w:val="auto"/>
              </w:rPr>
            </w:pPr>
          </w:p>
        </w:tc>
        <w:tc>
          <w:tcPr>
            <w:tcW w:w="9780" w:type="dxa"/>
            <w:vAlign w:val="bottom"/>
            <w:tcBorders>
              <w:bottom w:val="single" w:sz="8" w:color="3E8ED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Michael J. Tokich</w:t>
      </w:r>
      <w:r>
        <w:rPr>
          <w:rFonts w:ascii="Arial" w:cs="Arial" w:eastAsia="Arial" w:hAnsi="Arial"/>
          <w:sz w:val="36"/>
          <w:szCs w:val="36"/>
          <w:b w:val="1"/>
          <w:bCs w:val="1"/>
          <w:color w:val="auto"/>
          <w:vertAlign w:val="superscript"/>
        </w:rPr>
        <w:t>(1)</w:t>
      </w:r>
    </w:p>
    <w:p>
      <w:pPr>
        <w:spacing w:after="0" w:line="89" w:lineRule="exact"/>
        <w:rPr>
          <w:sz w:val="20"/>
          <w:szCs w:val="20"/>
          <w:color w:val="auto"/>
        </w:rPr>
      </w:pPr>
    </w:p>
    <w:p>
      <w:pPr>
        <w:ind w:left="340" w:right="240"/>
        <w:spacing w:after="0" w:line="251" w:lineRule="auto"/>
        <w:rPr>
          <w:sz w:val="20"/>
          <w:szCs w:val="20"/>
          <w:color w:val="auto"/>
        </w:rPr>
      </w:pPr>
      <w:r>
        <w:rPr>
          <w:rFonts w:ascii="Arial" w:cs="Arial" w:eastAsia="Arial" w:hAnsi="Arial"/>
          <w:sz w:val="19"/>
          <w:szCs w:val="19"/>
          <w:color w:val="auto"/>
        </w:rPr>
        <w:t>The table below describes those benefits to which Mr. Tokich would have been entitled under the Transition Agreement and his equity awards under various scenarios, including change in control scenarios,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128270</wp:posOffset>
            </wp:positionV>
            <wp:extent cx="6710045" cy="8718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10045" cy="871855"/>
                    </a:xfrm>
                    <a:prstGeom prst="rect">
                      <a:avLst/>
                    </a:prstGeom>
                    <a:noFill/>
                  </pic:spPr>
                </pic:pic>
              </a:graphicData>
            </a:graphic>
          </wp:anchor>
        </w:drawing>
      </w:r>
    </w:p>
    <w:p>
      <w:pPr>
        <w:spacing w:after="0" w:line="182"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4560" w:type="dxa"/>
            <w:vAlign w:val="bottom"/>
            <w:shd w:val="clear" w:color="auto" w:fill="3E8EDE"/>
          </w:tcPr>
          <w:p>
            <w:pPr>
              <w:spacing w:after="0"/>
              <w:rPr>
                <w:sz w:val="14"/>
                <w:szCs w:val="14"/>
                <w:color w:val="auto"/>
              </w:rPr>
            </w:pPr>
          </w:p>
        </w:tc>
        <w:tc>
          <w:tcPr>
            <w:tcW w:w="160" w:type="dxa"/>
            <w:vAlign w:val="bottom"/>
            <w:shd w:val="clear" w:color="auto" w:fill="3E8EDE"/>
          </w:tcPr>
          <w:p>
            <w:pPr>
              <w:spacing w:after="0"/>
              <w:rPr>
                <w:sz w:val="14"/>
                <w:szCs w:val="14"/>
                <w:color w:val="auto"/>
              </w:rPr>
            </w:pPr>
          </w:p>
        </w:tc>
        <w:tc>
          <w:tcPr>
            <w:tcW w:w="560" w:type="dxa"/>
            <w:vAlign w:val="bottom"/>
            <w:shd w:val="clear" w:color="auto" w:fill="3E8EDE"/>
          </w:tcPr>
          <w:p>
            <w:pPr>
              <w:spacing w:after="0"/>
              <w:rPr>
                <w:sz w:val="14"/>
                <w:szCs w:val="14"/>
                <w:color w:val="auto"/>
              </w:rPr>
            </w:pPr>
          </w:p>
        </w:tc>
        <w:tc>
          <w:tcPr>
            <w:tcW w:w="740" w:type="dxa"/>
            <w:vAlign w:val="bottom"/>
            <w:shd w:val="clear" w:color="auto" w:fill="3E8EDE"/>
          </w:tcPr>
          <w:p>
            <w:pPr>
              <w:spacing w:after="0"/>
              <w:rPr>
                <w:sz w:val="14"/>
                <w:szCs w:val="14"/>
                <w:color w:val="auto"/>
              </w:rPr>
            </w:pPr>
          </w:p>
        </w:tc>
        <w:tc>
          <w:tcPr>
            <w:tcW w:w="680" w:type="dxa"/>
            <w:vAlign w:val="bottom"/>
            <w:shd w:val="clear" w:color="auto" w:fill="3E8EDE"/>
          </w:tcPr>
          <w:p>
            <w:pPr>
              <w:spacing w:after="0"/>
              <w:rPr>
                <w:sz w:val="14"/>
                <w:szCs w:val="14"/>
                <w:color w:val="auto"/>
              </w:rPr>
            </w:pPr>
          </w:p>
        </w:tc>
        <w:tc>
          <w:tcPr>
            <w:tcW w:w="820" w:type="dxa"/>
            <w:vAlign w:val="bottom"/>
            <w:shd w:val="clear" w:color="auto" w:fill="3E8EDE"/>
          </w:tcPr>
          <w:p>
            <w:pPr>
              <w:spacing w:after="0"/>
              <w:rPr>
                <w:sz w:val="14"/>
                <w:szCs w:val="14"/>
                <w:color w:val="auto"/>
              </w:rPr>
            </w:pPr>
          </w:p>
        </w:tc>
        <w:tc>
          <w:tcPr>
            <w:tcW w:w="1220" w:type="dxa"/>
            <w:vAlign w:val="bottom"/>
            <w:shd w:val="clear" w:color="auto" w:fill="3E8EDE"/>
          </w:tcPr>
          <w:p>
            <w:pPr>
              <w:spacing w:after="0"/>
              <w:rPr>
                <w:sz w:val="14"/>
                <w:szCs w:val="14"/>
                <w:color w:val="auto"/>
              </w:rPr>
            </w:pPr>
          </w:p>
        </w:tc>
        <w:tc>
          <w:tcPr>
            <w:tcW w:w="280" w:type="dxa"/>
            <w:vAlign w:val="bottom"/>
            <w:shd w:val="clear" w:color="auto" w:fill="3E8EDE"/>
          </w:tcPr>
          <w:p>
            <w:pPr>
              <w:spacing w:after="0"/>
              <w:rPr>
                <w:sz w:val="14"/>
                <w:szCs w:val="14"/>
                <w:color w:val="auto"/>
              </w:rPr>
            </w:pPr>
          </w:p>
        </w:tc>
        <w:tc>
          <w:tcPr>
            <w:tcW w:w="1540" w:type="dxa"/>
            <w:vAlign w:val="bottom"/>
            <w:gridSpan w:val="2"/>
            <w:shd w:val="clear" w:color="auto" w:fill="3E8EDE"/>
          </w:tcPr>
          <w:p>
            <w:pPr>
              <w:jc w:val="center"/>
              <w:ind w:left="44"/>
              <w:spacing w:after="0"/>
              <w:rPr>
                <w:sz w:val="20"/>
                <w:szCs w:val="20"/>
                <w:color w:val="auto"/>
              </w:rPr>
            </w:pPr>
            <w:r>
              <w:rPr>
                <w:rFonts w:ascii="Arial" w:cs="Arial" w:eastAsia="Arial" w:hAnsi="Arial"/>
                <w:sz w:val="14"/>
                <w:szCs w:val="14"/>
                <w:b w:val="1"/>
                <w:bCs w:val="1"/>
                <w:color w:val="FFFFFF"/>
                <w:w w:val="97"/>
              </w:rPr>
              <w:t>Change in</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560" w:type="dxa"/>
            <w:vAlign w:val="bottom"/>
            <w:shd w:val="clear" w:color="auto" w:fill="3E8EDE"/>
          </w:tcPr>
          <w:p>
            <w:pPr>
              <w:spacing w:after="0"/>
              <w:rPr>
                <w:sz w:val="13"/>
                <w:szCs w:val="13"/>
                <w:color w:val="auto"/>
              </w:rPr>
            </w:pPr>
          </w:p>
        </w:tc>
        <w:tc>
          <w:tcPr>
            <w:tcW w:w="740" w:type="dxa"/>
            <w:vAlign w:val="bottom"/>
            <w:shd w:val="clear" w:color="auto" w:fill="3E8EDE"/>
          </w:tcPr>
          <w:p>
            <w:pPr>
              <w:spacing w:after="0"/>
              <w:rPr>
                <w:sz w:val="13"/>
                <w:szCs w:val="13"/>
                <w:color w:val="auto"/>
              </w:rPr>
            </w:pPr>
          </w:p>
        </w:tc>
        <w:tc>
          <w:tcPr>
            <w:tcW w:w="680" w:type="dxa"/>
            <w:vAlign w:val="bottom"/>
            <w:shd w:val="clear" w:color="auto" w:fill="3E8EDE"/>
          </w:tcPr>
          <w:p>
            <w:pPr>
              <w:spacing w:after="0"/>
              <w:rPr>
                <w:sz w:val="13"/>
                <w:szCs w:val="13"/>
                <w:color w:val="auto"/>
              </w:rPr>
            </w:pPr>
          </w:p>
        </w:tc>
        <w:tc>
          <w:tcPr>
            <w:tcW w:w="820" w:type="dxa"/>
            <w:vAlign w:val="bottom"/>
            <w:shd w:val="clear" w:color="auto" w:fill="3E8EDE"/>
          </w:tcPr>
          <w:p>
            <w:pPr>
              <w:spacing w:after="0"/>
              <w:rPr>
                <w:sz w:val="13"/>
                <w:szCs w:val="13"/>
                <w:color w:val="auto"/>
              </w:rPr>
            </w:pPr>
          </w:p>
        </w:tc>
        <w:tc>
          <w:tcPr>
            <w:tcW w:w="1220" w:type="dxa"/>
            <w:vAlign w:val="bottom"/>
            <w:shd w:val="clear" w:color="auto" w:fill="3E8EDE"/>
          </w:tcPr>
          <w:p>
            <w:pPr>
              <w:spacing w:after="0"/>
              <w:rPr>
                <w:sz w:val="13"/>
                <w:szCs w:val="13"/>
                <w:color w:val="auto"/>
              </w:rPr>
            </w:pPr>
          </w:p>
        </w:tc>
        <w:tc>
          <w:tcPr>
            <w:tcW w:w="280" w:type="dxa"/>
            <w:vAlign w:val="bottom"/>
            <w:shd w:val="clear" w:color="auto" w:fill="3E8EDE"/>
          </w:tcPr>
          <w:p>
            <w:pPr>
              <w:spacing w:after="0"/>
              <w:rPr>
                <w:sz w:val="13"/>
                <w:szCs w:val="13"/>
                <w:color w:val="auto"/>
              </w:rPr>
            </w:pPr>
          </w:p>
        </w:tc>
        <w:tc>
          <w:tcPr>
            <w:tcW w:w="1540" w:type="dxa"/>
            <w:vAlign w:val="bottom"/>
            <w:gridSpan w:val="2"/>
            <w:shd w:val="clear" w:color="auto" w:fill="3E8EDE"/>
          </w:tcPr>
          <w:p>
            <w:pPr>
              <w:jc w:val="center"/>
              <w:ind w:left="44"/>
              <w:spacing w:after="0" w:line="155" w:lineRule="exact"/>
              <w:rPr>
                <w:sz w:val="20"/>
                <w:szCs w:val="20"/>
                <w:color w:val="auto"/>
              </w:rPr>
            </w:pPr>
            <w:r>
              <w:rPr>
                <w:rFonts w:ascii="Arial" w:cs="Arial" w:eastAsia="Arial" w:hAnsi="Arial"/>
                <w:sz w:val="14"/>
                <w:szCs w:val="14"/>
                <w:b w:val="1"/>
                <w:bCs w:val="1"/>
                <w:color w:val="FFFFFF"/>
                <w:w w:val="99"/>
              </w:rPr>
              <w:t>Control and</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0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7"/>
              </w:rPr>
              <w:t>Termination by</w:t>
            </w:r>
          </w:p>
        </w:tc>
        <w:tc>
          <w:tcPr>
            <w:tcW w:w="150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rPr>
              <w:t>Change in</w:t>
            </w:r>
          </w:p>
        </w:tc>
        <w:tc>
          <w:tcPr>
            <w:tcW w:w="1500" w:type="dxa"/>
            <w:vAlign w:val="bottom"/>
            <w:gridSpan w:val="2"/>
            <w:shd w:val="clear" w:color="auto" w:fill="3E8EDE"/>
          </w:tcPr>
          <w:p>
            <w:pPr>
              <w:ind w:left="40"/>
              <w:spacing w:after="0" w:line="155" w:lineRule="exact"/>
              <w:rPr>
                <w:sz w:val="20"/>
                <w:szCs w:val="20"/>
                <w:color w:val="auto"/>
              </w:rPr>
            </w:pPr>
            <w:r>
              <w:rPr>
                <w:rFonts w:ascii="Arial" w:cs="Arial" w:eastAsia="Arial" w:hAnsi="Arial"/>
                <w:sz w:val="14"/>
                <w:szCs w:val="14"/>
                <w:b w:val="1"/>
                <w:bCs w:val="1"/>
                <w:color w:val="FFFFFF"/>
              </w:rPr>
              <w:t>   Change in Control</w:t>
            </w:r>
          </w:p>
        </w:tc>
        <w:tc>
          <w:tcPr>
            <w:tcW w:w="1540" w:type="dxa"/>
            <w:vAlign w:val="bottom"/>
            <w:gridSpan w:val="2"/>
            <w:shd w:val="clear" w:color="auto" w:fill="3E8EDE"/>
          </w:tcPr>
          <w:p>
            <w:pPr>
              <w:jc w:val="center"/>
              <w:ind w:left="44"/>
              <w:spacing w:after="0" w:line="155" w:lineRule="exact"/>
              <w:rPr>
                <w:sz w:val="20"/>
                <w:szCs w:val="20"/>
                <w:color w:val="auto"/>
              </w:rPr>
            </w:pPr>
            <w:r>
              <w:rPr>
                <w:rFonts w:ascii="Arial" w:cs="Arial" w:eastAsia="Arial" w:hAnsi="Arial"/>
                <w:sz w:val="14"/>
                <w:szCs w:val="14"/>
                <w:b w:val="1"/>
                <w:bCs w:val="1"/>
                <w:color w:val="FFFFFF"/>
                <w:w w:val="97"/>
              </w:rPr>
              <w:t>Termination by</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0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9"/>
              </w:rPr>
              <w:t>the Company</w:t>
            </w:r>
          </w:p>
        </w:tc>
        <w:tc>
          <w:tcPr>
            <w:tcW w:w="150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Control without</w:t>
            </w:r>
          </w:p>
        </w:tc>
        <w:tc>
          <w:tcPr>
            <w:tcW w:w="1220" w:type="dxa"/>
            <w:vAlign w:val="bottom"/>
            <w:shd w:val="clear" w:color="auto" w:fill="3E8EDE"/>
          </w:tcPr>
          <w:p>
            <w:pPr>
              <w:jc w:val="center"/>
              <w:ind w:left="262"/>
              <w:spacing w:after="0" w:line="155" w:lineRule="exact"/>
              <w:rPr>
                <w:sz w:val="20"/>
                <w:szCs w:val="20"/>
                <w:color w:val="auto"/>
              </w:rPr>
            </w:pPr>
            <w:r>
              <w:rPr>
                <w:rFonts w:ascii="Arial" w:cs="Arial" w:eastAsia="Arial" w:hAnsi="Arial"/>
                <w:sz w:val="14"/>
                <w:szCs w:val="14"/>
                <w:b w:val="1"/>
                <w:bCs w:val="1"/>
                <w:color w:val="FFFFFF"/>
                <w:w w:val="96"/>
              </w:rPr>
              <w:t>without</w:t>
            </w:r>
          </w:p>
        </w:tc>
        <w:tc>
          <w:tcPr>
            <w:tcW w:w="280" w:type="dxa"/>
            <w:vAlign w:val="bottom"/>
            <w:shd w:val="clear" w:color="auto" w:fill="3E8EDE"/>
          </w:tcPr>
          <w:p>
            <w:pPr>
              <w:spacing w:after="0"/>
              <w:rPr>
                <w:sz w:val="13"/>
                <w:szCs w:val="13"/>
                <w:color w:val="auto"/>
              </w:rPr>
            </w:pPr>
          </w:p>
        </w:tc>
        <w:tc>
          <w:tcPr>
            <w:tcW w:w="1540" w:type="dxa"/>
            <w:vAlign w:val="bottom"/>
            <w:gridSpan w:val="2"/>
            <w:shd w:val="clear" w:color="auto" w:fill="3E8EDE"/>
          </w:tcPr>
          <w:p>
            <w:pPr>
              <w:jc w:val="center"/>
              <w:ind w:left="44"/>
              <w:spacing w:after="0" w:line="155" w:lineRule="exact"/>
              <w:rPr>
                <w:sz w:val="20"/>
                <w:szCs w:val="20"/>
                <w:color w:val="auto"/>
              </w:rPr>
            </w:pPr>
            <w:r>
              <w:rPr>
                <w:rFonts w:ascii="Arial" w:cs="Arial" w:eastAsia="Arial" w:hAnsi="Arial"/>
                <w:sz w:val="14"/>
                <w:szCs w:val="14"/>
                <w:b w:val="1"/>
                <w:bCs w:val="1"/>
                <w:color w:val="FFFFFF"/>
                <w:w w:val="96"/>
              </w:rPr>
              <w:t>the Company</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ind w:left="80"/>
              <w:spacing w:after="0"/>
              <w:rPr>
                <w:sz w:val="20"/>
                <w:szCs w:val="20"/>
                <w:color w:val="auto"/>
              </w:rPr>
            </w:pPr>
            <w:r>
              <w:rPr>
                <w:rFonts w:ascii="Arial" w:cs="Arial" w:eastAsia="Arial" w:hAnsi="Arial"/>
                <w:sz w:val="8"/>
                <w:szCs w:val="8"/>
                <w:b w:val="1"/>
                <w:bCs w:val="1"/>
                <w:color w:val="FFFFFF"/>
                <w:w w:val="74"/>
              </w:rPr>
              <w:t> </w:t>
            </w:r>
          </w:p>
        </w:tc>
        <w:tc>
          <w:tcPr>
            <w:tcW w:w="130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without Cause or</w:t>
            </w:r>
          </w:p>
        </w:tc>
        <w:tc>
          <w:tcPr>
            <w:tcW w:w="1500" w:type="dxa"/>
            <w:vAlign w:val="bottom"/>
            <w:gridSpan w:val="2"/>
            <w:shd w:val="clear" w:color="auto" w:fill="3E8EDE"/>
          </w:tcPr>
          <w:p>
            <w:pPr>
              <w:ind w:left="100"/>
              <w:spacing w:after="0" w:line="155" w:lineRule="exact"/>
              <w:rPr>
                <w:sz w:val="20"/>
                <w:szCs w:val="20"/>
                <w:color w:val="auto"/>
              </w:rPr>
            </w:pPr>
            <w:r>
              <w:rPr>
                <w:rFonts w:ascii="Arial" w:cs="Arial" w:eastAsia="Arial" w:hAnsi="Arial"/>
                <w:sz w:val="14"/>
                <w:szCs w:val="14"/>
                <w:b w:val="1"/>
                <w:bCs w:val="1"/>
                <w:color w:val="FFFFFF"/>
              </w:rPr>
              <w:t>   Termination and</w:t>
            </w:r>
          </w:p>
        </w:tc>
        <w:tc>
          <w:tcPr>
            <w:tcW w:w="150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Termination but</w:t>
            </w:r>
          </w:p>
        </w:tc>
        <w:tc>
          <w:tcPr>
            <w:tcW w:w="1540" w:type="dxa"/>
            <w:vAlign w:val="bottom"/>
            <w:gridSpan w:val="2"/>
            <w:shd w:val="clear" w:color="auto" w:fill="3E8EDE"/>
          </w:tcPr>
          <w:p>
            <w:pPr>
              <w:jc w:val="center"/>
              <w:ind w:left="44"/>
              <w:spacing w:after="0" w:line="155" w:lineRule="exact"/>
              <w:rPr>
                <w:sz w:val="20"/>
                <w:szCs w:val="20"/>
                <w:color w:val="auto"/>
              </w:rPr>
            </w:pPr>
            <w:r>
              <w:rPr>
                <w:rFonts w:ascii="Arial" w:cs="Arial" w:eastAsia="Arial" w:hAnsi="Arial"/>
                <w:sz w:val="14"/>
                <w:szCs w:val="14"/>
                <w:b w:val="1"/>
                <w:bCs w:val="1"/>
                <w:color w:val="FFFFFF"/>
                <w:w w:val="98"/>
              </w:rPr>
              <w:t>without Cause</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0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7"/>
              </w:rPr>
              <w:t>Termination by</w:t>
            </w:r>
          </w:p>
        </w:tc>
        <w:tc>
          <w:tcPr>
            <w:tcW w:w="150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no Qualifying</w:t>
            </w:r>
          </w:p>
        </w:tc>
        <w:tc>
          <w:tcPr>
            <w:tcW w:w="150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9"/>
              </w:rPr>
              <w:t>with Qualifying</w:t>
            </w:r>
          </w:p>
        </w:tc>
        <w:tc>
          <w:tcPr>
            <w:tcW w:w="1540" w:type="dxa"/>
            <w:vAlign w:val="bottom"/>
            <w:gridSpan w:val="2"/>
            <w:shd w:val="clear" w:color="auto" w:fill="3E8EDE"/>
          </w:tcPr>
          <w:p>
            <w:pPr>
              <w:jc w:val="right"/>
              <w:ind w:right="54"/>
              <w:spacing w:after="0" w:line="155" w:lineRule="exact"/>
              <w:rPr>
                <w:sz w:val="20"/>
                <w:szCs w:val="20"/>
                <w:color w:val="auto"/>
              </w:rPr>
            </w:pPr>
            <w:r>
              <w:rPr>
                <w:rFonts w:ascii="Arial" w:cs="Arial" w:eastAsia="Arial" w:hAnsi="Arial"/>
                <w:sz w:val="14"/>
                <w:szCs w:val="14"/>
                <w:b w:val="1"/>
                <w:bCs w:val="1"/>
                <w:color w:val="FFFFFF"/>
                <w:w w:val="98"/>
              </w:rPr>
              <w:t>   or Termination by</w:t>
            </w:r>
          </w:p>
        </w:tc>
      </w:tr>
      <w:tr>
        <w:trPr>
          <w:trHeight w:val="152"/>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00" w:type="dxa"/>
            <w:vAlign w:val="bottom"/>
            <w:gridSpan w:val="2"/>
            <w:shd w:val="clear" w:color="auto" w:fill="3E8EDE"/>
          </w:tcPr>
          <w:p>
            <w:pPr>
              <w:jc w:val="center"/>
              <w:spacing w:after="0" w:line="152" w:lineRule="exact"/>
              <w:rPr>
                <w:sz w:val="20"/>
                <w:szCs w:val="20"/>
                <w:color w:val="auto"/>
              </w:rPr>
            </w:pPr>
            <w:r>
              <w:rPr>
                <w:rFonts w:ascii="Arial" w:cs="Arial" w:eastAsia="Arial" w:hAnsi="Arial"/>
                <w:sz w:val="14"/>
                <w:szCs w:val="14"/>
                <w:b w:val="1"/>
                <w:bCs w:val="1"/>
                <w:color w:val="FFFFFF"/>
                <w:w w:val="98"/>
              </w:rPr>
              <w:t>the employee for</w:t>
            </w:r>
          </w:p>
        </w:tc>
        <w:tc>
          <w:tcPr>
            <w:tcW w:w="1500" w:type="dxa"/>
            <w:vAlign w:val="bottom"/>
            <w:gridSpan w:val="2"/>
            <w:shd w:val="clear" w:color="auto" w:fill="3E8EDE"/>
          </w:tcPr>
          <w:p>
            <w:pPr>
              <w:jc w:val="center"/>
              <w:spacing w:after="0" w:line="152" w:lineRule="exact"/>
              <w:rPr>
                <w:sz w:val="20"/>
                <w:szCs w:val="20"/>
                <w:color w:val="auto"/>
              </w:rPr>
            </w:pPr>
            <w:r>
              <w:rPr>
                <w:rFonts w:ascii="Arial" w:cs="Arial" w:eastAsia="Arial" w:hAnsi="Arial"/>
                <w:sz w:val="14"/>
                <w:szCs w:val="14"/>
                <w:b w:val="1"/>
                <w:bCs w:val="1"/>
                <w:color w:val="FFFFFF"/>
                <w:w w:val="98"/>
              </w:rPr>
              <w:t>Replacement</w:t>
            </w:r>
          </w:p>
        </w:tc>
        <w:tc>
          <w:tcPr>
            <w:tcW w:w="1220" w:type="dxa"/>
            <w:vAlign w:val="bottom"/>
            <w:shd w:val="clear" w:color="auto" w:fill="3E8EDE"/>
          </w:tcPr>
          <w:p>
            <w:pPr>
              <w:jc w:val="center"/>
              <w:ind w:left="282"/>
              <w:spacing w:after="0" w:line="152" w:lineRule="exact"/>
              <w:rPr>
                <w:sz w:val="20"/>
                <w:szCs w:val="20"/>
                <w:color w:val="auto"/>
              </w:rPr>
            </w:pPr>
            <w:r>
              <w:rPr>
                <w:rFonts w:ascii="Arial" w:cs="Arial" w:eastAsia="Arial" w:hAnsi="Arial"/>
                <w:sz w:val="14"/>
                <w:szCs w:val="14"/>
                <w:b w:val="1"/>
                <w:bCs w:val="1"/>
                <w:color w:val="FFFFFF"/>
                <w:w w:val="98"/>
              </w:rPr>
              <w:t>Replacement</w:t>
            </w:r>
          </w:p>
        </w:tc>
        <w:tc>
          <w:tcPr>
            <w:tcW w:w="280" w:type="dxa"/>
            <w:vAlign w:val="bottom"/>
            <w:shd w:val="clear" w:color="auto" w:fill="3E8EDE"/>
          </w:tcPr>
          <w:p>
            <w:pPr>
              <w:spacing w:after="0"/>
              <w:rPr>
                <w:sz w:val="13"/>
                <w:szCs w:val="13"/>
                <w:color w:val="auto"/>
              </w:rPr>
            </w:pPr>
          </w:p>
        </w:tc>
        <w:tc>
          <w:tcPr>
            <w:tcW w:w="1540" w:type="dxa"/>
            <w:vAlign w:val="bottom"/>
            <w:gridSpan w:val="2"/>
            <w:shd w:val="clear" w:color="auto" w:fill="3E8EDE"/>
          </w:tcPr>
          <w:p>
            <w:pPr>
              <w:jc w:val="center"/>
              <w:ind w:left="44"/>
              <w:spacing w:after="0" w:line="152" w:lineRule="exact"/>
              <w:rPr>
                <w:sz w:val="20"/>
                <w:szCs w:val="20"/>
                <w:color w:val="auto"/>
              </w:rPr>
            </w:pPr>
            <w:r>
              <w:rPr>
                <w:rFonts w:ascii="Arial" w:cs="Arial" w:eastAsia="Arial" w:hAnsi="Arial"/>
                <w:sz w:val="14"/>
                <w:szCs w:val="14"/>
                <w:b w:val="1"/>
                <w:bCs w:val="1"/>
                <w:color w:val="FFFFFF"/>
                <w:w w:val="98"/>
              </w:rPr>
              <w:t>the employee for</w:t>
            </w:r>
          </w:p>
        </w:tc>
      </w:tr>
      <w:tr>
        <w:trPr>
          <w:trHeight w:val="259"/>
        </w:trPr>
        <w:tc>
          <w:tcPr>
            <w:tcW w:w="4560" w:type="dxa"/>
            <w:vAlign w:val="bottom"/>
            <w:shd w:val="clear" w:color="auto" w:fill="3E8EDE"/>
          </w:tcPr>
          <w:p>
            <w:pPr>
              <w:spacing w:after="0"/>
              <w:rPr>
                <w:sz w:val="22"/>
                <w:szCs w:val="22"/>
                <w:color w:val="auto"/>
              </w:rPr>
            </w:pPr>
          </w:p>
        </w:tc>
        <w:tc>
          <w:tcPr>
            <w:tcW w:w="160" w:type="dxa"/>
            <w:vAlign w:val="bottom"/>
            <w:shd w:val="clear" w:color="auto" w:fill="3E8EDE"/>
          </w:tcPr>
          <w:p>
            <w:pPr>
              <w:spacing w:after="0"/>
              <w:rPr>
                <w:sz w:val="22"/>
                <w:szCs w:val="22"/>
                <w:color w:val="auto"/>
              </w:rPr>
            </w:pPr>
          </w:p>
        </w:tc>
        <w:tc>
          <w:tcPr>
            <w:tcW w:w="1300" w:type="dxa"/>
            <w:vAlign w:val="bottom"/>
            <w:gridSpan w:val="2"/>
            <w:shd w:val="clear" w:color="auto" w:fill="3E8EDE"/>
          </w:tcPr>
          <w:p>
            <w:pPr>
              <w:jc w:val="center"/>
              <w:spacing w:after="0"/>
              <w:rPr>
                <w:sz w:val="20"/>
                <w:szCs w:val="20"/>
                <w:color w:val="auto"/>
              </w:rPr>
            </w:pPr>
            <w:r>
              <w:rPr>
                <w:rFonts w:ascii="Arial" w:cs="Arial" w:eastAsia="Arial" w:hAnsi="Arial"/>
                <w:sz w:val="14"/>
                <w:szCs w:val="14"/>
                <w:b w:val="1"/>
                <w:bCs w:val="1"/>
                <w:color w:val="FFFFFF"/>
                <w:w w:val="95"/>
              </w:rPr>
              <w:t>Good Reason</w:t>
            </w:r>
            <w:r>
              <w:rPr>
                <w:rFonts w:ascii="Arial" w:cs="Arial" w:eastAsia="Arial" w:hAnsi="Arial"/>
                <w:sz w:val="20"/>
                <w:szCs w:val="20"/>
                <w:b w:val="1"/>
                <w:bCs w:val="1"/>
                <w:color w:val="FFFFFF"/>
                <w:w w:val="95"/>
                <w:vertAlign w:val="superscript"/>
              </w:rPr>
              <w:t>(2)</w:t>
            </w:r>
          </w:p>
        </w:tc>
        <w:tc>
          <w:tcPr>
            <w:tcW w:w="1500" w:type="dxa"/>
            <w:vAlign w:val="bottom"/>
            <w:gridSpan w:val="2"/>
            <w:shd w:val="clear" w:color="auto" w:fill="3E8EDE"/>
          </w:tcPr>
          <w:p>
            <w:pPr>
              <w:ind w:left="560"/>
              <w:spacing w:after="0"/>
              <w:rPr>
                <w:sz w:val="20"/>
                <w:szCs w:val="20"/>
                <w:color w:val="auto"/>
              </w:rPr>
            </w:pPr>
            <w:r>
              <w:rPr>
                <w:rFonts w:ascii="Arial" w:cs="Arial" w:eastAsia="Arial" w:hAnsi="Arial"/>
                <w:sz w:val="14"/>
                <w:szCs w:val="14"/>
                <w:b w:val="1"/>
                <w:bCs w:val="1"/>
                <w:color w:val="FFFFFF"/>
              </w:rPr>
              <w:t>Award</w:t>
            </w:r>
          </w:p>
        </w:tc>
        <w:tc>
          <w:tcPr>
            <w:tcW w:w="1220" w:type="dxa"/>
            <w:vAlign w:val="bottom"/>
            <w:shd w:val="clear" w:color="auto" w:fill="3E8EDE"/>
          </w:tcPr>
          <w:p>
            <w:pPr>
              <w:jc w:val="center"/>
              <w:ind w:left="282"/>
              <w:spacing w:after="0"/>
              <w:rPr>
                <w:sz w:val="20"/>
                <w:szCs w:val="20"/>
                <w:color w:val="auto"/>
              </w:rPr>
            </w:pPr>
            <w:r>
              <w:rPr>
                <w:rFonts w:ascii="Arial" w:cs="Arial" w:eastAsia="Arial" w:hAnsi="Arial"/>
                <w:sz w:val="14"/>
                <w:szCs w:val="14"/>
                <w:b w:val="1"/>
                <w:bCs w:val="1"/>
                <w:color w:val="FFFFFF"/>
                <w:w w:val="98"/>
              </w:rPr>
              <w:t>Award</w:t>
            </w:r>
          </w:p>
        </w:tc>
        <w:tc>
          <w:tcPr>
            <w:tcW w:w="280" w:type="dxa"/>
            <w:vAlign w:val="bottom"/>
            <w:shd w:val="clear" w:color="auto" w:fill="3E8EDE"/>
          </w:tcPr>
          <w:p>
            <w:pPr>
              <w:spacing w:after="0"/>
              <w:rPr>
                <w:sz w:val="22"/>
                <w:szCs w:val="22"/>
                <w:color w:val="auto"/>
              </w:rPr>
            </w:pPr>
          </w:p>
        </w:tc>
        <w:tc>
          <w:tcPr>
            <w:tcW w:w="1540" w:type="dxa"/>
            <w:vAlign w:val="bottom"/>
            <w:gridSpan w:val="2"/>
            <w:shd w:val="clear" w:color="auto" w:fill="3E8EDE"/>
          </w:tcPr>
          <w:p>
            <w:pPr>
              <w:jc w:val="center"/>
              <w:ind w:left="44"/>
              <w:spacing w:after="0"/>
              <w:rPr>
                <w:sz w:val="20"/>
                <w:szCs w:val="20"/>
                <w:color w:val="auto"/>
              </w:rPr>
            </w:pPr>
            <w:r>
              <w:rPr>
                <w:rFonts w:ascii="Arial" w:cs="Arial" w:eastAsia="Arial" w:hAnsi="Arial"/>
                <w:sz w:val="14"/>
                <w:szCs w:val="14"/>
                <w:b w:val="1"/>
                <w:bCs w:val="1"/>
                <w:color w:val="FFFFFF"/>
                <w:w w:val="95"/>
              </w:rPr>
              <w:t>Good Reason</w:t>
            </w:r>
            <w:r>
              <w:rPr>
                <w:rFonts w:ascii="Arial" w:cs="Arial" w:eastAsia="Arial" w:hAnsi="Arial"/>
                <w:sz w:val="20"/>
                <w:szCs w:val="20"/>
                <w:b w:val="1"/>
                <w:bCs w:val="1"/>
                <w:color w:val="FFFFFF"/>
                <w:w w:val="95"/>
                <w:vertAlign w:val="superscript"/>
              </w:rPr>
              <w:t>(4)</w:t>
            </w:r>
          </w:p>
        </w:tc>
      </w:tr>
      <w:tr>
        <w:trPr>
          <w:trHeight w:val="272"/>
        </w:trPr>
        <w:tc>
          <w:tcPr>
            <w:tcW w:w="4560" w:type="dxa"/>
            <w:vAlign w:val="bottom"/>
            <w:shd w:val="clear" w:color="auto" w:fill="E2EEFA"/>
          </w:tcPr>
          <w:p>
            <w:pPr>
              <w:ind w:left="60"/>
              <w:spacing w:after="0"/>
              <w:rPr>
                <w:sz w:val="20"/>
                <w:szCs w:val="20"/>
                <w:color w:val="auto"/>
              </w:rPr>
            </w:pPr>
            <w:r>
              <w:rPr>
                <w:rFonts w:ascii="Arial" w:cs="Arial" w:eastAsia="Arial" w:hAnsi="Arial"/>
                <w:sz w:val="17"/>
                <w:szCs w:val="17"/>
                <w:color w:val="auto"/>
              </w:rPr>
              <w:t>Severance Payment</w:t>
            </w:r>
          </w:p>
        </w:tc>
        <w:tc>
          <w:tcPr>
            <w:tcW w:w="160" w:type="dxa"/>
            <w:vAlign w:val="bottom"/>
            <w:shd w:val="clear" w:color="auto" w:fill="E2EEFA"/>
          </w:tcPr>
          <w:p>
            <w:pPr>
              <w:spacing w:after="0"/>
              <w:rPr>
                <w:sz w:val="23"/>
                <w:szCs w:val="23"/>
                <w:color w:val="auto"/>
              </w:rPr>
            </w:pPr>
          </w:p>
        </w:tc>
        <w:tc>
          <w:tcPr>
            <w:tcW w:w="56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E2EEFA"/>
          </w:tcPr>
          <w:p>
            <w:pPr>
              <w:jc w:val="right"/>
              <w:ind w:right="34"/>
              <w:spacing w:after="0"/>
              <w:rPr>
                <w:sz w:val="20"/>
                <w:szCs w:val="20"/>
                <w:color w:val="auto"/>
              </w:rPr>
            </w:pPr>
            <w:r>
              <w:rPr>
                <w:rFonts w:ascii="Arial" w:cs="Arial" w:eastAsia="Arial" w:hAnsi="Arial"/>
                <w:sz w:val="17"/>
                <w:szCs w:val="17"/>
                <w:color w:val="auto"/>
              </w:rPr>
              <w:t>0</w:t>
            </w:r>
          </w:p>
        </w:tc>
        <w:tc>
          <w:tcPr>
            <w:tcW w:w="680" w:type="dxa"/>
            <w:vAlign w:val="bottom"/>
            <w:shd w:val="clear" w:color="auto" w:fill="E2EEFA"/>
          </w:tcPr>
          <w:p>
            <w:pPr>
              <w:ind w:left="58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1220" w:type="dxa"/>
            <w:vAlign w:val="bottom"/>
            <w:shd w:val="clear" w:color="auto" w:fill="E2EEFA"/>
          </w:tcPr>
          <w:p>
            <w:pPr>
              <w:ind w:left="580"/>
              <w:spacing w:after="0"/>
              <w:rPr>
                <w:sz w:val="20"/>
                <w:szCs w:val="20"/>
                <w:color w:val="auto"/>
              </w:rPr>
            </w:pPr>
            <w:r>
              <w:rPr>
                <w:rFonts w:ascii="Arial" w:cs="Arial" w:eastAsia="Arial" w:hAnsi="Arial"/>
                <w:sz w:val="17"/>
                <w:szCs w:val="17"/>
                <w:color w:val="auto"/>
              </w:rPr>
              <w:t xml:space="preserve">$       </w:t>
            </w:r>
          </w:p>
        </w:tc>
        <w:tc>
          <w:tcPr>
            <w:tcW w:w="280" w:type="dxa"/>
            <w:vAlign w:val="bottom"/>
            <w:shd w:val="clear" w:color="auto" w:fill="E2EEFA"/>
          </w:tcPr>
          <w:p>
            <w:pPr>
              <w:jc w:val="right"/>
              <w:ind w:right="94"/>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r>
      <w:tr>
        <w:trPr>
          <w:trHeight w:val="272"/>
        </w:trPr>
        <w:tc>
          <w:tcPr>
            <w:tcW w:w="4720" w:type="dxa"/>
            <w:vAlign w:val="bottom"/>
            <w:gridSpan w:val="2"/>
          </w:tcPr>
          <w:p>
            <w:pPr>
              <w:ind w:left="60"/>
              <w:spacing w:after="0" w:line="272" w:lineRule="exact"/>
              <w:rPr>
                <w:sz w:val="20"/>
                <w:szCs w:val="20"/>
                <w:color w:val="auto"/>
              </w:rPr>
            </w:pPr>
            <w:r>
              <w:rPr>
                <w:rFonts w:ascii="Arial" w:cs="Arial" w:eastAsia="Arial" w:hAnsi="Arial"/>
                <w:sz w:val="17"/>
                <w:szCs w:val="17"/>
                <w:color w:val="auto"/>
              </w:rPr>
              <w:t>Stock Options</w:t>
            </w:r>
            <w:r>
              <w:rPr>
                <w:rFonts w:ascii="Arial" w:cs="Arial" w:eastAsia="Arial" w:hAnsi="Arial"/>
                <w:sz w:val="25"/>
                <w:szCs w:val="25"/>
                <w:color w:val="auto"/>
                <w:vertAlign w:val="superscript"/>
              </w:rPr>
              <w:t>(3)</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4"/>
              <w:spacing w:after="0"/>
              <w:rPr>
                <w:sz w:val="20"/>
                <w:szCs w:val="20"/>
                <w:color w:val="auto"/>
              </w:rPr>
            </w:pPr>
            <w:r>
              <w:rPr>
                <w:rFonts w:ascii="Arial" w:cs="Arial" w:eastAsia="Arial" w:hAnsi="Arial"/>
                <w:sz w:val="17"/>
                <w:szCs w:val="17"/>
                <w:color w:val="auto"/>
              </w:rPr>
              <w:t>0</w:t>
            </w:r>
          </w:p>
        </w:tc>
        <w:tc>
          <w:tcPr>
            <w:tcW w:w="680" w:type="dxa"/>
            <w:vAlign w:val="bottom"/>
          </w:tcPr>
          <w:p>
            <w:pPr>
              <w:ind w:left="58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15,639</w:t>
            </w:r>
          </w:p>
        </w:tc>
        <w:tc>
          <w:tcPr>
            <w:tcW w:w="1220" w:type="dxa"/>
            <w:vAlign w:val="bottom"/>
          </w:tcPr>
          <w:p>
            <w:pPr>
              <w:ind w:left="5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0</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15,639</w:t>
            </w:r>
          </w:p>
        </w:tc>
      </w:tr>
      <w:tr>
        <w:trPr>
          <w:trHeight w:val="272"/>
        </w:trPr>
        <w:tc>
          <w:tcPr>
            <w:tcW w:w="4560" w:type="dxa"/>
            <w:vAlign w:val="bottom"/>
            <w:shd w:val="clear" w:color="auto" w:fill="E2EEFA"/>
          </w:tcPr>
          <w:p>
            <w:pPr>
              <w:ind w:left="60"/>
              <w:spacing w:after="0" w:line="272" w:lineRule="exact"/>
              <w:rPr>
                <w:sz w:val="20"/>
                <w:szCs w:val="20"/>
                <w:color w:val="auto"/>
              </w:rPr>
            </w:pPr>
            <w:r>
              <w:rPr>
                <w:rFonts w:ascii="Arial" w:cs="Arial" w:eastAsia="Arial" w:hAnsi="Arial"/>
                <w:sz w:val="17"/>
                <w:szCs w:val="17"/>
                <w:color w:val="auto"/>
              </w:rPr>
              <w:t>Restricted Stock</w:t>
            </w:r>
            <w:r>
              <w:rPr>
                <w:rFonts w:ascii="Arial" w:cs="Arial" w:eastAsia="Arial" w:hAnsi="Arial"/>
                <w:sz w:val="25"/>
                <w:szCs w:val="25"/>
                <w:color w:val="auto"/>
                <w:vertAlign w:val="superscript"/>
              </w:rPr>
              <w:t>(3)</w:t>
            </w:r>
          </w:p>
        </w:tc>
        <w:tc>
          <w:tcPr>
            <w:tcW w:w="160" w:type="dxa"/>
            <w:vAlign w:val="bottom"/>
            <w:shd w:val="clear" w:color="auto" w:fill="E2EEFA"/>
          </w:tcPr>
          <w:p>
            <w:pPr>
              <w:spacing w:after="0"/>
              <w:rPr>
                <w:sz w:val="23"/>
                <w:szCs w:val="23"/>
                <w:color w:val="auto"/>
              </w:rPr>
            </w:pPr>
          </w:p>
        </w:tc>
        <w:tc>
          <w:tcPr>
            <w:tcW w:w="56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E2EEFA"/>
          </w:tcPr>
          <w:p>
            <w:pPr>
              <w:jc w:val="right"/>
              <w:ind w:right="34"/>
              <w:spacing w:after="0"/>
              <w:rPr>
                <w:sz w:val="20"/>
                <w:szCs w:val="20"/>
                <w:color w:val="auto"/>
              </w:rPr>
            </w:pPr>
            <w:r>
              <w:rPr>
                <w:rFonts w:ascii="Arial" w:cs="Arial" w:eastAsia="Arial" w:hAnsi="Arial"/>
                <w:sz w:val="17"/>
                <w:szCs w:val="17"/>
                <w:color w:val="auto"/>
              </w:rPr>
              <w:t>0</w:t>
            </w:r>
          </w:p>
        </w:tc>
        <w:tc>
          <w:tcPr>
            <w:tcW w:w="680" w:type="dxa"/>
            <w:vAlign w:val="bottom"/>
            <w:shd w:val="clear" w:color="auto" w:fill="E2EEFA"/>
          </w:tcPr>
          <w:p>
            <w:pPr>
              <w:ind w:left="58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1,406,829</w:t>
            </w:r>
          </w:p>
        </w:tc>
        <w:tc>
          <w:tcPr>
            <w:tcW w:w="1220" w:type="dxa"/>
            <w:vAlign w:val="bottom"/>
            <w:shd w:val="clear" w:color="auto" w:fill="E2EEFA"/>
          </w:tcPr>
          <w:p>
            <w:pPr>
              <w:ind w:left="580"/>
              <w:spacing w:after="0"/>
              <w:rPr>
                <w:sz w:val="20"/>
                <w:szCs w:val="20"/>
                <w:color w:val="auto"/>
              </w:rPr>
            </w:pPr>
            <w:r>
              <w:rPr>
                <w:rFonts w:ascii="Arial" w:cs="Arial" w:eastAsia="Arial" w:hAnsi="Arial"/>
                <w:sz w:val="17"/>
                <w:szCs w:val="17"/>
                <w:color w:val="auto"/>
              </w:rPr>
              <w:t>$</w:t>
            </w:r>
          </w:p>
        </w:tc>
        <w:tc>
          <w:tcPr>
            <w:tcW w:w="280" w:type="dxa"/>
            <w:vAlign w:val="bottom"/>
            <w:shd w:val="clear" w:color="auto" w:fill="E2EEFA"/>
          </w:tcPr>
          <w:p>
            <w:pPr>
              <w:jc w:val="right"/>
              <w:ind w:right="94"/>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1,406,829</w:t>
            </w:r>
          </w:p>
        </w:tc>
      </w:tr>
      <w:tr>
        <w:trPr>
          <w:trHeight w:val="267"/>
        </w:trPr>
        <w:tc>
          <w:tcPr>
            <w:tcW w:w="4720" w:type="dxa"/>
            <w:vAlign w:val="bottom"/>
            <w:gridSpan w:val="2"/>
          </w:tcPr>
          <w:p>
            <w:pPr>
              <w:ind w:left="60"/>
              <w:spacing w:after="0"/>
              <w:rPr>
                <w:sz w:val="20"/>
                <w:szCs w:val="20"/>
                <w:color w:val="auto"/>
              </w:rPr>
            </w:pPr>
            <w:r>
              <w:rPr>
                <w:rFonts w:ascii="Arial" w:cs="Arial" w:eastAsia="Arial" w:hAnsi="Arial"/>
                <w:sz w:val="17"/>
                <w:szCs w:val="17"/>
                <w:color w:val="auto"/>
              </w:rPr>
              <w:t>Pro-Rata Bonus Payment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4"/>
              <w:spacing w:after="0"/>
              <w:rPr>
                <w:sz w:val="20"/>
                <w:szCs w:val="20"/>
                <w:color w:val="auto"/>
              </w:rPr>
            </w:pPr>
            <w:r>
              <w:rPr>
                <w:rFonts w:ascii="Arial" w:cs="Arial" w:eastAsia="Arial" w:hAnsi="Arial"/>
                <w:sz w:val="17"/>
                <w:szCs w:val="17"/>
                <w:color w:val="auto"/>
                <w:w w:val="97"/>
              </w:rPr>
              <w:t>616,644</w:t>
            </w:r>
          </w:p>
        </w:tc>
        <w:tc>
          <w:tcPr>
            <w:tcW w:w="680" w:type="dxa"/>
            <w:vAlign w:val="bottom"/>
          </w:tcPr>
          <w:p>
            <w:pPr>
              <w:ind w:left="58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w:t>
            </w:r>
          </w:p>
        </w:tc>
        <w:tc>
          <w:tcPr>
            <w:tcW w:w="1220" w:type="dxa"/>
            <w:vAlign w:val="bottom"/>
          </w:tcPr>
          <w:p>
            <w:pPr>
              <w:ind w:left="5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0</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616,644</w:t>
            </w:r>
          </w:p>
        </w:tc>
      </w:tr>
      <w:tr>
        <w:trPr>
          <w:trHeight w:val="272"/>
        </w:trPr>
        <w:tc>
          <w:tcPr>
            <w:tcW w:w="4560" w:type="dxa"/>
            <w:vAlign w:val="bottom"/>
            <w:tcBorders>
              <w:bottom w:val="single" w:sz="8" w:color="3E8EDE"/>
            </w:tcBorders>
            <w:shd w:val="clear" w:color="auto" w:fill="E2EEFA"/>
          </w:tcPr>
          <w:p>
            <w:pPr>
              <w:ind w:left="60"/>
              <w:spacing w:after="0"/>
              <w:rPr>
                <w:sz w:val="20"/>
                <w:szCs w:val="20"/>
                <w:color w:val="auto"/>
              </w:rPr>
            </w:pPr>
            <w:r>
              <w:rPr>
                <w:rFonts w:ascii="Arial" w:cs="Arial" w:eastAsia="Arial" w:hAnsi="Arial"/>
                <w:sz w:val="17"/>
                <w:szCs w:val="17"/>
                <w:color w:val="auto"/>
              </w:rPr>
              <w:t>Medical and Dental Benefits</w:t>
            </w:r>
          </w:p>
        </w:tc>
        <w:tc>
          <w:tcPr>
            <w:tcW w:w="160" w:type="dxa"/>
            <w:vAlign w:val="bottom"/>
            <w:tcBorders>
              <w:bottom w:val="single" w:sz="8" w:color="3E8EDE"/>
            </w:tcBorders>
            <w:shd w:val="clear" w:color="auto" w:fill="E2EEFA"/>
          </w:tcPr>
          <w:p>
            <w:pPr>
              <w:spacing w:after="0"/>
              <w:rPr>
                <w:sz w:val="23"/>
                <w:szCs w:val="23"/>
                <w:color w:val="auto"/>
              </w:rPr>
            </w:pPr>
          </w:p>
        </w:tc>
        <w:tc>
          <w:tcPr>
            <w:tcW w:w="56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3E8EDE"/>
            </w:tcBorders>
            <w:shd w:val="clear" w:color="auto" w:fill="E2EEFA"/>
          </w:tcPr>
          <w:p>
            <w:pPr>
              <w:jc w:val="right"/>
              <w:ind w:right="34"/>
              <w:spacing w:after="0"/>
              <w:rPr>
                <w:sz w:val="20"/>
                <w:szCs w:val="20"/>
                <w:color w:val="auto"/>
              </w:rPr>
            </w:pPr>
            <w:r>
              <w:rPr>
                <w:rFonts w:ascii="Arial" w:cs="Arial" w:eastAsia="Arial" w:hAnsi="Arial"/>
                <w:sz w:val="17"/>
                <w:szCs w:val="17"/>
                <w:color w:val="auto"/>
              </w:rPr>
              <w:t>0</w:t>
            </w:r>
          </w:p>
        </w:tc>
        <w:tc>
          <w:tcPr>
            <w:tcW w:w="680" w:type="dxa"/>
            <w:vAlign w:val="bottom"/>
            <w:tcBorders>
              <w:bottom w:val="single" w:sz="8" w:color="3E8EDE"/>
            </w:tcBorders>
            <w:shd w:val="clear" w:color="auto" w:fill="E2EEFA"/>
          </w:tcPr>
          <w:p>
            <w:pPr>
              <w:ind w:left="58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1220" w:type="dxa"/>
            <w:vAlign w:val="bottom"/>
            <w:tcBorders>
              <w:bottom w:val="single" w:sz="8" w:color="3E8EDE"/>
            </w:tcBorders>
            <w:shd w:val="clear" w:color="auto" w:fill="E2EEFA"/>
          </w:tcPr>
          <w:p>
            <w:pPr>
              <w:ind w:left="58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3E8EDE"/>
            </w:tcBorders>
            <w:shd w:val="clear" w:color="auto" w:fill="E2EEFA"/>
          </w:tcPr>
          <w:p>
            <w:pPr>
              <w:jc w:val="right"/>
              <w:ind w:right="94"/>
              <w:spacing w:after="0"/>
              <w:rPr>
                <w:sz w:val="20"/>
                <w:szCs w:val="20"/>
                <w:color w:val="auto"/>
              </w:rPr>
            </w:pPr>
            <w:r>
              <w:rPr>
                <w:rFonts w:ascii="Arial" w:cs="Arial" w:eastAsia="Arial" w:hAnsi="Arial"/>
                <w:sz w:val="17"/>
                <w:szCs w:val="17"/>
                <w:color w:val="auto"/>
                <w:w w:val="84"/>
              </w:rPr>
              <w:t>0</w:t>
            </w:r>
          </w:p>
        </w:tc>
        <w:tc>
          <w:tcPr>
            <w:tcW w:w="74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0</w:t>
            </w:r>
          </w:p>
        </w:tc>
      </w:tr>
      <w:tr>
        <w:trPr>
          <w:trHeight w:val="257"/>
        </w:trPr>
        <w:tc>
          <w:tcPr>
            <w:tcW w:w="4720" w:type="dxa"/>
            <w:vAlign w:val="bottom"/>
            <w:tcBorders>
              <w:bottom w:val="single" w:sz="8" w:color="3E8EDE"/>
            </w:tcBorders>
            <w:gridSpan w:val="2"/>
          </w:tcPr>
          <w:p>
            <w:pPr>
              <w:ind w:left="60"/>
              <w:spacing w:after="0" w:line="257" w:lineRule="exact"/>
              <w:rPr>
                <w:sz w:val="20"/>
                <w:szCs w:val="20"/>
                <w:color w:val="auto"/>
              </w:rPr>
            </w:pPr>
            <w:r>
              <w:rPr>
                <w:rFonts w:ascii="Arial" w:cs="Arial" w:eastAsia="Arial" w:hAnsi="Arial"/>
                <w:sz w:val="17"/>
                <w:szCs w:val="17"/>
                <w:color w:val="auto"/>
              </w:rPr>
              <w:t>Totals</w:t>
            </w:r>
            <w:r>
              <w:rPr>
                <w:rFonts w:ascii="Arial" w:cs="Arial" w:eastAsia="Arial" w:hAnsi="Arial"/>
                <w:sz w:val="25"/>
                <w:szCs w:val="25"/>
                <w:color w:val="auto"/>
                <w:vertAlign w:val="superscript"/>
              </w:rPr>
              <w:t>(5)</w:t>
            </w:r>
          </w:p>
        </w:tc>
        <w:tc>
          <w:tcPr>
            <w:tcW w:w="56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3E8EDE"/>
            </w:tcBorders>
          </w:tcPr>
          <w:p>
            <w:pPr>
              <w:jc w:val="right"/>
              <w:ind w:right="34"/>
              <w:spacing w:after="0"/>
              <w:rPr>
                <w:sz w:val="20"/>
                <w:szCs w:val="20"/>
                <w:color w:val="auto"/>
              </w:rPr>
            </w:pPr>
            <w:r>
              <w:rPr>
                <w:rFonts w:ascii="Arial" w:cs="Arial" w:eastAsia="Arial" w:hAnsi="Arial"/>
                <w:sz w:val="17"/>
                <w:szCs w:val="17"/>
                <w:color w:val="auto"/>
                <w:w w:val="97"/>
              </w:rPr>
              <w:t>616,644</w:t>
            </w:r>
          </w:p>
        </w:tc>
        <w:tc>
          <w:tcPr>
            <w:tcW w:w="680" w:type="dxa"/>
            <w:vAlign w:val="bottom"/>
            <w:tcBorders>
              <w:bottom w:val="single" w:sz="8" w:color="3E8EDE"/>
            </w:tcBorders>
          </w:tcPr>
          <w:p>
            <w:pPr>
              <w:ind w:left="58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1,422,468</w:t>
            </w:r>
          </w:p>
        </w:tc>
        <w:tc>
          <w:tcPr>
            <w:tcW w:w="1220" w:type="dxa"/>
            <w:vAlign w:val="bottom"/>
            <w:tcBorders>
              <w:bottom w:val="single" w:sz="8" w:color="3E8EDE"/>
            </w:tcBorders>
          </w:tcPr>
          <w:p>
            <w:pPr>
              <w:ind w:left="58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3E8EDE"/>
            </w:tcBorders>
          </w:tcPr>
          <w:p>
            <w:pPr>
              <w:jc w:val="right"/>
              <w:ind w:right="94"/>
              <w:spacing w:after="0"/>
              <w:rPr>
                <w:sz w:val="20"/>
                <w:szCs w:val="20"/>
                <w:color w:val="auto"/>
              </w:rPr>
            </w:pPr>
            <w:r>
              <w:rPr>
                <w:rFonts w:ascii="Arial" w:cs="Arial" w:eastAsia="Arial" w:hAnsi="Arial"/>
                <w:sz w:val="17"/>
                <w:szCs w:val="17"/>
                <w:color w:val="auto"/>
                <w:w w:val="84"/>
              </w:rPr>
              <w:t>0</w:t>
            </w:r>
          </w:p>
        </w:tc>
        <w:tc>
          <w:tcPr>
            <w:tcW w:w="74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2,039,112</w:t>
            </w:r>
          </w:p>
        </w:tc>
      </w:tr>
    </w:tbl>
    <w:p>
      <w:pPr>
        <w:spacing w:after="0" w:line="100" w:lineRule="exact"/>
        <w:rPr>
          <w:sz w:val="20"/>
          <w:szCs w:val="20"/>
          <w:color w:val="auto"/>
        </w:rPr>
      </w:pPr>
    </w:p>
    <w:p>
      <w:pPr>
        <w:ind w:left="860" w:right="280" w:hanging="520"/>
        <w:spacing w:after="0" w:line="276" w:lineRule="auto"/>
        <w:tabs>
          <w:tab w:leader="none" w:pos="8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 purposes of this disclosure, the Change in Control date and all termination events are assumed to occur on March 31, 2026. The stock price used is the closing price of $221.13 on March 31, 2026, the assumed Termination and Change in Control date.</w:t>
      </w:r>
    </w:p>
    <w:p>
      <w:pPr>
        <w:spacing w:after="0" w:line="55" w:lineRule="exact"/>
        <w:rPr>
          <w:rFonts w:ascii="Arial" w:cs="Arial" w:eastAsia="Arial" w:hAnsi="Arial"/>
          <w:sz w:val="17"/>
          <w:szCs w:val="17"/>
          <w:color w:val="auto"/>
        </w:rPr>
      </w:pPr>
    </w:p>
    <w:p>
      <w:pPr>
        <w:ind w:left="860" w:right="140" w:hanging="520"/>
        <w:spacing w:after="0" w:line="247" w:lineRule="auto"/>
        <w:tabs>
          <w:tab w:leader="none" w:pos="8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Pursuant to the Transition Agreement, in the event of a termination of Mr. Tokich’s employment by the Company without cause (as defined in the Transition Agreement), Mr. Tokich would have been entitled to the remainder of his salary through March 31, 2026 (subject to the execution of a mutually satisfactory release agreement), his MICP bonus and a continuation of benefits through March 31, 2026. Mr. Tokich’s actual bonus for fiscal 2026 is $616,644. The proration is 100% because the assumed termination date is the fiscal year end.</w:t>
      </w:r>
    </w:p>
    <w:p>
      <w:pPr>
        <w:spacing w:after="0" w:line="81" w:lineRule="exact"/>
        <w:rPr>
          <w:rFonts w:ascii="Arial" w:cs="Arial" w:eastAsia="Arial" w:hAnsi="Arial"/>
          <w:sz w:val="17"/>
          <w:szCs w:val="17"/>
          <w:color w:val="auto"/>
        </w:rPr>
      </w:pPr>
    </w:p>
    <w:p>
      <w:pPr>
        <w:ind w:left="860" w:right="60" w:hanging="520"/>
        <w:spacing w:after="0" w:line="251" w:lineRule="auto"/>
        <w:tabs>
          <w:tab w:leader="none" w:pos="8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unvested outstanding stock options and restricted awards provide for double trigger vesting in Change in Control situations, meaning that if a change in control occurs and the employee receives a qualifying replacement award, there will be no accelerated vesting unless the employee’s employment terminates under specified circumstances. If the employee’s employment terminates on account of death, the employee also will be entitled to accelerated award vesting.</w:t>
      </w:r>
    </w:p>
    <w:p>
      <w:pPr>
        <w:spacing w:after="0" w:line="75" w:lineRule="exact"/>
        <w:rPr>
          <w:rFonts w:ascii="Arial" w:cs="Arial" w:eastAsia="Arial" w:hAnsi="Arial"/>
          <w:sz w:val="17"/>
          <w:szCs w:val="17"/>
          <w:color w:val="auto"/>
        </w:rPr>
      </w:pPr>
    </w:p>
    <w:p>
      <w:pPr>
        <w:ind w:left="860" w:right="140" w:hanging="520"/>
        <w:spacing w:after="0" w:line="247" w:lineRule="auto"/>
        <w:tabs>
          <w:tab w:leader="none" w:pos="8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Pursuant to the Transition Agreement, in the event of a termination of Mr. Tokich’s employment by the Company without cause (as defined in the Transition Agreement), Mr. Tokich would have been entitled to the remainder of his salary through March 31, 2026 (subject to the execution of a mutually satisfactory release agreement), his MICP bonus and a continuation of benefits through March 31, 2026. Mr. Tokich’s actual bonus for fiscal 2026 is $616,644. The proration is 100% because the assumed termination date is the fiscal year end.</w:t>
      </w:r>
    </w:p>
    <w:p>
      <w:pPr>
        <w:spacing w:after="0" w:line="81" w:lineRule="exact"/>
        <w:rPr>
          <w:rFonts w:ascii="Arial" w:cs="Arial" w:eastAsia="Arial" w:hAnsi="Arial"/>
          <w:sz w:val="17"/>
          <w:szCs w:val="17"/>
          <w:color w:val="auto"/>
        </w:rPr>
      </w:pPr>
    </w:p>
    <w:p>
      <w:pPr>
        <w:ind w:left="860" w:right="100" w:hanging="520"/>
        <w:spacing w:after="0" w:line="276" w:lineRule="auto"/>
        <w:tabs>
          <w:tab w:leader="none" w:pos="8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Amounts payable to the executive in the event of a Change in Control may be subject to reduction due to the operation of Sections 280G and 4999 of the Internal Revenue Code as provided for under the Senior Executive Severance Plan.</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80 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780" w:type="dxa"/>
            <w:vAlign w:val="bottom"/>
            <w:vMerge w:val="restart"/>
          </w:tcPr>
          <w:p>
            <w:pPr>
              <w:spacing w:after="0"/>
              <w:rPr>
                <w:sz w:val="20"/>
                <w:szCs w:val="20"/>
                <w:color w:val="auto"/>
              </w:rPr>
            </w:pPr>
            <w:r>
              <w:rPr>
                <w:rFonts w:ascii="Arial" w:cs="Arial" w:eastAsia="Arial" w:hAnsi="Arial"/>
                <w:sz w:val="17"/>
                <w:szCs w:val="17"/>
                <w:b w:val="1"/>
                <w:bCs w:val="1"/>
                <w:color w:val="auto"/>
              </w:rPr>
              <w:t> </w:t>
            </w:r>
          </w:p>
        </w:tc>
        <w:tc>
          <w:tcPr>
            <w:tcW w:w="9780" w:type="dxa"/>
            <w:vAlign w:val="bottom"/>
          </w:tcPr>
          <w:p>
            <w:pPr>
              <w:jc w:val="right"/>
              <w:spacing w:after="0"/>
              <w:rPr>
                <w:sz w:val="20"/>
                <w:szCs w:val="20"/>
                <w:color w:val="auto"/>
              </w:rPr>
            </w:pPr>
            <w:r>
              <w:rPr>
                <w:rFonts w:ascii="Arial" w:cs="Arial" w:eastAsia="Arial" w:hAnsi="Arial"/>
                <w:sz w:val="16"/>
                <w:szCs w:val="16"/>
                <w:b w:val="1"/>
                <w:bCs w:val="1"/>
                <w:color w:val="3E8EDE"/>
              </w:rPr>
              <w:t xml:space="preserve">Executive Compensation: </w:t>
            </w:r>
            <w:r>
              <w:rPr>
                <w:rFonts w:ascii="Arial" w:cs="Arial" w:eastAsia="Arial" w:hAnsi="Arial"/>
                <w:sz w:val="16"/>
                <w:szCs w:val="16"/>
                <w:b w:val="1"/>
                <w:bCs w:val="1"/>
                <w:color w:val="000000"/>
              </w:rPr>
              <w:t>Potential Payments to Named Executive Officers Upon Termination of Employment or Change in</w:t>
            </w:r>
          </w:p>
        </w:tc>
        <w:tc>
          <w:tcPr>
            <w:tcW w:w="0" w:type="dxa"/>
            <w:vAlign w:val="bottom"/>
          </w:tcPr>
          <w:p>
            <w:pPr>
              <w:spacing w:after="0"/>
              <w:rPr>
                <w:sz w:val="1"/>
                <w:szCs w:val="1"/>
                <w:color w:val="auto"/>
              </w:rPr>
            </w:pPr>
          </w:p>
        </w:tc>
      </w:tr>
      <w:tr>
        <w:trPr>
          <w:trHeight w:val="221"/>
        </w:trPr>
        <w:tc>
          <w:tcPr>
            <w:tcW w:w="780" w:type="dxa"/>
            <w:vAlign w:val="bottom"/>
            <w:vMerge w:val="continue"/>
          </w:tcPr>
          <w:p>
            <w:pPr>
              <w:spacing w:after="0"/>
              <w:rPr>
                <w:sz w:val="19"/>
                <w:szCs w:val="19"/>
                <w:color w:val="auto"/>
              </w:rPr>
            </w:pPr>
          </w:p>
        </w:tc>
        <w:tc>
          <w:tcPr>
            <w:tcW w:w="9780" w:type="dxa"/>
            <w:vAlign w:val="bottom"/>
          </w:tcPr>
          <w:p>
            <w:pPr>
              <w:jc w:val="right"/>
              <w:spacing w:after="0"/>
              <w:rPr>
                <w:sz w:val="20"/>
                <w:szCs w:val="20"/>
                <w:color w:val="auto"/>
              </w:rPr>
            </w:pPr>
            <w:r>
              <w:rPr>
                <w:rFonts w:ascii="Arial" w:cs="Arial" w:eastAsia="Arial" w:hAnsi="Arial"/>
                <w:sz w:val="16"/>
                <w:szCs w:val="16"/>
                <w:b w:val="1"/>
                <w:bCs w:val="1"/>
                <w:color w:val="auto"/>
              </w:rPr>
              <w:t>Control</w:t>
            </w:r>
          </w:p>
        </w:tc>
        <w:tc>
          <w:tcPr>
            <w:tcW w:w="0" w:type="dxa"/>
            <w:vAlign w:val="bottom"/>
          </w:tcPr>
          <w:p>
            <w:pPr>
              <w:spacing w:after="0"/>
              <w:rPr>
                <w:sz w:val="1"/>
                <w:szCs w:val="1"/>
                <w:color w:val="auto"/>
              </w:rPr>
            </w:pPr>
          </w:p>
        </w:tc>
      </w:tr>
      <w:tr>
        <w:trPr>
          <w:trHeight w:val="27"/>
        </w:trPr>
        <w:tc>
          <w:tcPr>
            <w:tcW w:w="780" w:type="dxa"/>
            <w:vAlign w:val="bottom"/>
            <w:tcBorders>
              <w:bottom w:val="single" w:sz="8" w:color="3E8EDE"/>
            </w:tcBorders>
          </w:tcPr>
          <w:p>
            <w:pPr>
              <w:spacing w:after="0"/>
              <w:rPr>
                <w:sz w:val="2"/>
                <w:szCs w:val="2"/>
                <w:color w:val="auto"/>
              </w:rPr>
            </w:pPr>
          </w:p>
        </w:tc>
        <w:tc>
          <w:tcPr>
            <w:tcW w:w="9780" w:type="dxa"/>
            <w:vAlign w:val="bottom"/>
            <w:tcBorders>
              <w:bottom w:val="single" w:sz="8" w:color="3E8ED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J. Adam Zangerle</w:t>
      </w:r>
      <w:r>
        <w:rPr>
          <w:rFonts w:ascii="Arial" w:cs="Arial" w:eastAsia="Arial" w:hAnsi="Arial"/>
          <w:sz w:val="36"/>
          <w:szCs w:val="36"/>
          <w:b w:val="1"/>
          <w:bCs w:val="1"/>
          <w:color w:val="auto"/>
          <w:vertAlign w:val="superscript"/>
        </w:rPr>
        <w:t>(1)</w:t>
      </w:r>
    </w:p>
    <w:p>
      <w:pPr>
        <w:spacing w:after="0" w:line="89" w:lineRule="exact"/>
        <w:rPr>
          <w:sz w:val="20"/>
          <w:szCs w:val="20"/>
          <w:color w:val="auto"/>
        </w:rPr>
      </w:pPr>
    </w:p>
    <w:p>
      <w:pPr>
        <w:jc w:val="both"/>
        <w:ind w:left="340" w:right="640"/>
        <w:spacing w:after="0" w:line="239" w:lineRule="auto"/>
        <w:rPr>
          <w:sz w:val="20"/>
          <w:szCs w:val="20"/>
          <w:color w:val="auto"/>
        </w:rPr>
      </w:pPr>
      <w:r>
        <w:rPr>
          <w:rFonts w:ascii="Arial" w:cs="Arial" w:eastAsia="Arial" w:hAnsi="Arial"/>
          <w:sz w:val="19"/>
          <w:szCs w:val="19"/>
          <w:color w:val="auto"/>
        </w:rPr>
        <w:t>The table below describes those benefits to which Mr. Zangerle would have been entitled under the Company’s Senior Executive Severance Plan and his equity awards under various scenarios, including change in control scenarios,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135890</wp:posOffset>
            </wp:positionV>
            <wp:extent cx="6710045" cy="8718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10045" cy="871855"/>
                    </a:xfrm>
                    <a:prstGeom prst="rect">
                      <a:avLst/>
                    </a:prstGeom>
                    <a:noFill/>
                  </pic:spPr>
                </pic:pic>
              </a:graphicData>
            </a:graphic>
          </wp:anchor>
        </w:drawing>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4560" w:type="dxa"/>
            <w:vAlign w:val="bottom"/>
            <w:shd w:val="clear" w:color="auto" w:fill="3E8EDE"/>
          </w:tcPr>
          <w:p>
            <w:pPr>
              <w:spacing w:after="0"/>
              <w:rPr>
                <w:sz w:val="14"/>
                <w:szCs w:val="14"/>
                <w:color w:val="auto"/>
              </w:rPr>
            </w:pPr>
          </w:p>
        </w:tc>
        <w:tc>
          <w:tcPr>
            <w:tcW w:w="160" w:type="dxa"/>
            <w:vAlign w:val="bottom"/>
            <w:shd w:val="clear" w:color="auto" w:fill="3E8EDE"/>
          </w:tcPr>
          <w:p>
            <w:pPr>
              <w:spacing w:after="0"/>
              <w:rPr>
                <w:sz w:val="14"/>
                <w:szCs w:val="14"/>
                <w:color w:val="auto"/>
              </w:rPr>
            </w:pPr>
          </w:p>
        </w:tc>
        <w:tc>
          <w:tcPr>
            <w:tcW w:w="540" w:type="dxa"/>
            <w:vAlign w:val="bottom"/>
            <w:shd w:val="clear" w:color="auto" w:fill="3E8EDE"/>
          </w:tcPr>
          <w:p>
            <w:pPr>
              <w:spacing w:after="0"/>
              <w:rPr>
                <w:sz w:val="14"/>
                <w:szCs w:val="14"/>
                <w:color w:val="auto"/>
              </w:rPr>
            </w:pPr>
          </w:p>
        </w:tc>
        <w:tc>
          <w:tcPr>
            <w:tcW w:w="820" w:type="dxa"/>
            <w:vAlign w:val="bottom"/>
            <w:shd w:val="clear" w:color="auto" w:fill="3E8EDE"/>
          </w:tcPr>
          <w:p>
            <w:pPr>
              <w:spacing w:after="0"/>
              <w:rPr>
                <w:sz w:val="14"/>
                <w:szCs w:val="14"/>
                <w:color w:val="auto"/>
              </w:rPr>
            </w:pPr>
          </w:p>
        </w:tc>
        <w:tc>
          <w:tcPr>
            <w:tcW w:w="620" w:type="dxa"/>
            <w:vAlign w:val="bottom"/>
            <w:shd w:val="clear" w:color="auto" w:fill="3E8EDE"/>
          </w:tcPr>
          <w:p>
            <w:pPr>
              <w:spacing w:after="0"/>
              <w:rPr>
                <w:sz w:val="14"/>
                <w:szCs w:val="14"/>
                <w:color w:val="auto"/>
              </w:rPr>
            </w:pPr>
          </w:p>
        </w:tc>
        <w:tc>
          <w:tcPr>
            <w:tcW w:w="820" w:type="dxa"/>
            <w:vAlign w:val="bottom"/>
            <w:shd w:val="clear" w:color="auto" w:fill="3E8EDE"/>
          </w:tcPr>
          <w:p>
            <w:pPr>
              <w:spacing w:after="0"/>
              <w:rPr>
                <w:sz w:val="14"/>
                <w:szCs w:val="14"/>
                <w:color w:val="auto"/>
              </w:rPr>
            </w:pPr>
          </w:p>
        </w:tc>
        <w:tc>
          <w:tcPr>
            <w:tcW w:w="1320" w:type="dxa"/>
            <w:vAlign w:val="bottom"/>
            <w:shd w:val="clear" w:color="auto" w:fill="3E8EDE"/>
          </w:tcPr>
          <w:p>
            <w:pPr>
              <w:spacing w:after="0"/>
              <w:rPr>
                <w:sz w:val="14"/>
                <w:szCs w:val="14"/>
                <w:color w:val="auto"/>
              </w:rPr>
            </w:pPr>
          </w:p>
        </w:tc>
        <w:tc>
          <w:tcPr>
            <w:tcW w:w="200" w:type="dxa"/>
            <w:vAlign w:val="bottom"/>
            <w:shd w:val="clear" w:color="auto" w:fill="3E8EDE"/>
          </w:tcPr>
          <w:p>
            <w:pPr>
              <w:spacing w:after="0"/>
              <w:rPr>
                <w:sz w:val="14"/>
                <w:szCs w:val="14"/>
                <w:color w:val="auto"/>
              </w:rPr>
            </w:pPr>
          </w:p>
        </w:tc>
        <w:tc>
          <w:tcPr>
            <w:tcW w:w="1520" w:type="dxa"/>
            <w:vAlign w:val="bottom"/>
            <w:gridSpan w:val="2"/>
            <w:shd w:val="clear" w:color="auto" w:fill="3E8EDE"/>
          </w:tcPr>
          <w:p>
            <w:pPr>
              <w:jc w:val="center"/>
              <w:ind w:left="24"/>
              <w:spacing w:after="0"/>
              <w:rPr>
                <w:sz w:val="20"/>
                <w:szCs w:val="20"/>
                <w:color w:val="auto"/>
              </w:rPr>
            </w:pPr>
            <w:r>
              <w:rPr>
                <w:rFonts w:ascii="Arial" w:cs="Arial" w:eastAsia="Arial" w:hAnsi="Arial"/>
                <w:sz w:val="14"/>
                <w:szCs w:val="14"/>
                <w:b w:val="1"/>
                <w:bCs w:val="1"/>
                <w:color w:val="FFFFFF"/>
                <w:w w:val="97"/>
              </w:rPr>
              <w:t>Change in</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540" w:type="dxa"/>
            <w:vAlign w:val="bottom"/>
            <w:shd w:val="clear" w:color="auto" w:fill="3E8EDE"/>
          </w:tcPr>
          <w:p>
            <w:pPr>
              <w:spacing w:after="0"/>
              <w:rPr>
                <w:sz w:val="13"/>
                <w:szCs w:val="13"/>
                <w:color w:val="auto"/>
              </w:rPr>
            </w:pPr>
          </w:p>
        </w:tc>
        <w:tc>
          <w:tcPr>
            <w:tcW w:w="820" w:type="dxa"/>
            <w:vAlign w:val="bottom"/>
            <w:shd w:val="clear" w:color="auto" w:fill="3E8EDE"/>
          </w:tcPr>
          <w:p>
            <w:pPr>
              <w:spacing w:after="0"/>
              <w:rPr>
                <w:sz w:val="13"/>
                <w:szCs w:val="13"/>
                <w:color w:val="auto"/>
              </w:rPr>
            </w:pPr>
          </w:p>
        </w:tc>
        <w:tc>
          <w:tcPr>
            <w:tcW w:w="620" w:type="dxa"/>
            <w:vAlign w:val="bottom"/>
            <w:shd w:val="clear" w:color="auto" w:fill="3E8EDE"/>
          </w:tcPr>
          <w:p>
            <w:pPr>
              <w:spacing w:after="0"/>
              <w:rPr>
                <w:sz w:val="13"/>
                <w:szCs w:val="13"/>
                <w:color w:val="auto"/>
              </w:rPr>
            </w:pPr>
          </w:p>
        </w:tc>
        <w:tc>
          <w:tcPr>
            <w:tcW w:w="820" w:type="dxa"/>
            <w:vAlign w:val="bottom"/>
            <w:shd w:val="clear" w:color="auto" w:fill="3E8EDE"/>
          </w:tcPr>
          <w:p>
            <w:pPr>
              <w:spacing w:after="0"/>
              <w:rPr>
                <w:sz w:val="13"/>
                <w:szCs w:val="13"/>
                <w:color w:val="auto"/>
              </w:rPr>
            </w:pPr>
          </w:p>
        </w:tc>
        <w:tc>
          <w:tcPr>
            <w:tcW w:w="1320" w:type="dxa"/>
            <w:vAlign w:val="bottom"/>
            <w:shd w:val="clear" w:color="auto" w:fill="3E8EDE"/>
          </w:tcPr>
          <w:p>
            <w:pPr>
              <w:spacing w:after="0"/>
              <w:rPr>
                <w:sz w:val="13"/>
                <w:szCs w:val="13"/>
                <w:color w:val="auto"/>
              </w:rPr>
            </w:pP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center"/>
              <w:ind w:left="24"/>
              <w:spacing w:after="0" w:line="155" w:lineRule="exact"/>
              <w:rPr>
                <w:sz w:val="20"/>
                <w:szCs w:val="20"/>
                <w:color w:val="auto"/>
              </w:rPr>
            </w:pPr>
            <w:r>
              <w:rPr>
                <w:rFonts w:ascii="Arial" w:cs="Arial" w:eastAsia="Arial" w:hAnsi="Arial"/>
                <w:sz w:val="14"/>
                <w:szCs w:val="14"/>
                <w:b w:val="1"/>
                <w:bCs w:val="1"/>
                <w:color w:val="FFFFFF"/>
                <w:w w:val="99"/>
              </w:rPr>
              <w:t>Control and</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60" w:type="dxa"/>
            <w:vAlign w:val="bottom"/>
            <w:gridSpan w:val="2"/>
            <w:shd w:val="clear" w:color="auto" w:fill="3E8EDE"/>
          </w:tcPr>
          <w:p>
            <w:pPr>
              <w:jc w:val="center"/>
              <w:ind w:right="54"/>
              <w:spacing w:after="0" w:line="155" w:lineRule="exact"/>
              <w:rPr>
                <w:sz w:val="20"/>
                <w:szCs w:val="20"/>
                <w:color w:val="auto"/>
              </w:rPr>
            </w:pPr>
            <w:r>
              <w:rPr>
                <w:rFonts w:ascii="Arial" w:cs="Arial" w:eastAsia="Arial" w:hAnsi="Arial"/>
                <w:sz w:val="14"/>
                <w:szCs w:val="14"/>
                <w:b w:val="1"/>
                <w:bCs w:val="1"/>
                <w:color w:val="FFFFFF"/>
                <w:w w:val="97"/>
              </w:rPr>
              <w:t>Termination by</w:t>
            </w:r>
          </w:p>
        </w:tc>
        <w:tc>
          <w:tcPr>
            <w:tcW w:w="14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rPr>
              <w:t>Change in</w:t>
            </w:r>
          </w:p>
        </w:tc>
        <w:tc>
          <w:tcPr>
            <w:tcW w:w="1520" w:type="dxa"/>
            <w:vAlign w:val="bottom"/>
            <w:gridSpan w:val="2"/>
            <w:shd w:val="clear" w:color="auto" w:fill="3E8EDE"/>
          </w:tcPr>
          <w:p>
            <w:pPr>
              <w:ind w:left="40"/>
              <w:spacing w:after="0" w:line="155" w:lineRule="exact"/>
              <w:rPr>
                <w:sz w:val="20"/>
                <w:szCs w:val="20"/>
                <w:color w:val="auto"/>
              </w:rPr>
            </w:pPr>
            <w:r>
              <w:rPr>
                <w:rFonts w:ascii="Arial" w:cs="Arial" w:eastAsia="Arial" w:hAnsi="Arial"/>
                <w:sz w:val="14"/>
                <w:szCs w:val="14"/>
                <w:b w:val="1"/>
                <w:bCs w:val="1"/>
                <w:color w:val="FFFFFF"/>
              </w:rPr>
              <w:t>   Change in Control</w:t>
            </w:r>
          </w:p>
        </w:tc>
        <w:tc>
          <w:tcPr>
            <w:tcW w:w="1520" w:type="dxa"/>
            <w:vAlign w:val="bottom"/>
            <w:gridSpan w:val="2"/>
            <w:shd w:val="clear" w:color="auto" w:fill="3E8EDE"/>
          </w:tcPr>
          <w:p>
            <w:pPr>
              <w:jc w:val="center"/>
              <w:ind w:left="24"/>
              <w:spacing w:after="0" w:line="155" w:lineRule="exact"/>
              <w:rPr>
                <w:sz w:val="20"/>
                <w:szCs w:val="20"/>
                <w:color w:val="auto"/>
              </w:rPr>
            </w:pPr>
            <w:r>
              <w:rPr>
                <w:rFonts w:ascii="Arial" w:cs="Arial" w:eastAsia="Arial" w:hAnsi="Arial"/>
                <w:sz w:val="14"/>
                <w:szCs w:val="14"/>
                <w:b w:val="1"/>
                <w:bCs w:val="1"/>
                <w:color w:val="FFFFFF"/>
                <w:w w:val="97"/>
              </w:rPr>
              <w:t>Termination by</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60" w:type="dxa"/>
            <w:vAlign w:val="bottom"/>
            <w:gridSpan w:val="2"/>
            <w:shd w:val="clear" w:color="auto" w:fill="3E8EDE"/>
          </w:tcPr>
          <w:p>
            <w:pPr>
              <w:jc w:val="center"/>
              <w:ind w:right="34"/>
              <w:spacing w:after="0" w:line="155" w:lineRule="exact"/>
              <w:rPr>
                <w:sz w:val="20"/>
                <w:szCs w:val="20"/>
                <w:color w:val="auto"/>
              </w:rPr>
            </w:pPr>
            <w:r>
              <w:rPr>
                <w:rFonts w:ascii="Arial" w:cs="Arial" w:eastAsia="Arial" w:hAnsi="Arial"/>
                <w:sz w:val="14"/>
                <w:szCs w:val="14"/>
                <w:b w:val="1"/>
                <w:bCs w:val="1"/>
                <w:color w:val="FFFFFF"/>
                <w:w w:val="99"/>
              </w:rPr>
              <w:t>the Company</w:t>
            </w:r>
          </w:p>
        </w:tc>
        <w:tc>
          <w:tcPr>
            <w:tcW w:w="14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Control without</w:t>
            </w:r>
          </w:p>
        </w:tc>
        <w:tc>
          <w:tcPr>
            <w:tcW w:w="1320" w:type="dxa"/>
            <w:vAlign w:val="bottom"/>
            <w:shd w:val="clear" w:color="auto" w:fill="3E8EDE"/>
          </w:tcPr>
          <w:p>
            <w:pPr>
              <w:jc w:val="center"/>
              <w:ind w:left="162"/>
              <w:spacing w:after="0" w:line="155" w:lineRule="exact"/>
              <w:rPr>
                <w:sz w:val="20"/>
                <w:szCs w:val="20"/>
                <w:color w:val="auto"/>
              </w:rPr>
            </w:pPr>
            <w:r>
              <w:rPr>
                <w:rFonts w:ascii="Arial" w:cs="Arial" w:eastAsia="Arial" w:hAnsi="Arial"/>
                <w:sz w:val="14"/>
                <w:szCs w:val="14"/>
                <w:b w:val="1"/>
                <w:bCs w:val="1"/>
                <w:color w:val="FFFFFF"/>
                <w:w w:val="96"/>
              </w:rPr>
              <w:t>without</w:t>
            </w: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center"/>
              <w:ind w:left="24"/>
              <w:spacing w:after="0" w:line="155" w:lineRule="exact"/>
              <w:rPr>
                <w:sz w:val="20"/>
                <w:szCs w:val="20"/>
                <w:color w:val="auto"/>
              </w:rPr>
            </w:pPr>
            <w:r>
              <w:rPr>
                <w:rFonts w:ascii="Arial" w:cs="Arial" w:eastAsia="Arial" w:hAnsi="Arial"/>
                <w:sz w:val="14"/>
                <w:szCs w:val="14"/>
                <w:b w:val="1"/>
                <w:bCs w:val="1"/>
                <w:color w:val="FFFFFF"/>
                <w:w w:val="96"/>
              </w:rPr>
              <w:t>the Company</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ind w:left="80"/>
              <w:spacing w:after="0"/>
              <w:rPr>
                <w:sz w:val="20"/>
                <w:szCs w:val="20"/>
                <w:color w:val="auto"/>
              </w:rPr>
            </w:pPr>
            <w:r>
              <w:rPr>
                <w:rFonts w:ascii="Arial" w:cs="Arial" w:eastAsia="Arial" w:hAnsi="Arial"/>
                <w:sz w:val="8"/>
                <w:szCs w:val="8"/>
                <w:b w:val="1"/>
                <w:bCs w:val="1"/>
                <w:color w:val="FFFFFF"/>
                <w:w w:val="74"/>
              </w:rPr>
              <w:t> </w:t>
            </w:r>
          </w:p>
        </w:tc>
        <w:tc>
          <w:tcPr>
            <w:tcW w:w="1360" w:type="dxa"/>
            <w:vAlign w:val="bottom"/>
            <w:gridSpan w:val="2"/>
            <w:shd w:val="clear" w:color="auto" w:fill="3E8EDE"/>
          </w:tcPr>
          <w:p>
            <w:pPr>
              <w:jc w:val="center"/>
              <w:ind w:right="34"/>
              <w:spacing w:after="0" w:line="155" w:lineRule="exact"/>
              <w:rPr>
                <w:sz w:val="20"/>
                <w:szCs w:val="20"/>
                <w:color w:val="auto"/>
              </w:rPr>
            </w:pPr>
            <w:r>
              <w:rPr>
                <w:rFonts w:ascii="Arial" w:cs="Arial" w:eastAsia="Arial" w:hAnsi="Arial"/>
                <w:sz w:val="14"/>
                <w:szCs w:val="14"/>
                <w:b w:val="1"/>
                <w:bCs w:val="1"/>
                <w:color w:val="FFFFFF"/>
                <w:w w:val="98"/>
              </w:rPr>
              <w:t>without Cause or</w:t>
            </w:r>
          </w:p>
        </w:tc>
        <w:tc>
          <w:tcPr>
            <w:tcW w:w="1440" w:type="dxa"/>
            <w:vAlign w:val="bottom"/>
            <w:gridSpan w:val="2"/>
            <w:shd w:val="clear" w:color="auto" w:fill="3E8EDE"/>
          </w:tcPr>
          <w:p>
            <w:pPr>
              <w:ind w:left="40"/>
              <w:spacing w:after="0" w:line="155" w:lineRule="exact"/>
              <w:rPr>
                <w:sz w:val="20"/>
                <w:szCs w:val="20"/>
                <w:color w:val="auto"/>
              </w:rPr>
            </w:pPr>
            <w:r>
              <w:rPr>
                <w:rFonts w:ascii="Arial" w:cs="Arial" w:eastAsia="Arial" w:hAnsi="Arial"/>
                <w:sz w:val="14"/>
                <w:szCs w:val="14"/>
                <w:b w:val="1"/>
                <w:bCs w:val="1"/>
                <w:color w:val="FFFFFF"/>
              </w:rPr>
              <w:t>   Termination and</w:t>
            </w:r>
          </w:p>
        </w:tc>
        <w:tc>
          <w:tcPr>
            <w:tcW w:w="1320" w:type="dxa"/>
            <w:vAlign w:val="bottom"/>
            <w:shd w:val="clear" w:color="auto" w:fill="3E8EDE"/>
          </w:tcPr>
          <w:p>
            <w:pPr>
              <w:jc w:val="center"/>
              <w:ind w:left="162"/>
              <w:spacing w:after="0" w:line="155" w:lineRule="exact"/>
              <w:rPr>
                <w:sz w:val="20"/>
                <w:szCs w:val="20"/>
                <w:color w:val="auto"/>
              </w:rPr>
            </w:pPr>
            <w:r>
              <w:rPr>
                <w:rFonts w:ascii="Arial" w:cs="Arial" w:eastAsia="Arial" w:hAnsi="Arial"/>
                <w:sz w:val="14"/>
                <w:szCs w:val="14"/>
                <w:b w:val="1"/>
                <w:bCs w:val="1"/>
                <w:color w:val="FFFFFF"/>
                <w:w w:val="98"/>
              </w:rPr>
              <w:t>Termination but</w:t>
            </w: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center"/>
              <w:ind w:left="24"/>
              <w:spacing w:after="0" w:line="155" w:lineRule="exact"/>
              <w:rPr>
                <w:sz w:val="20"/>
                <w:szCs w:val="20"/>
                <w:color w:val="auto"/>
              </w:rPr>
            </w:pPr>
            <w:r>
              <w:rPr>
                <w:rFonts w:ascii="Arial" w:cs="Arial" w:eastAsia="Arial" w:hAnsi="Arial"/>
                <w:sz w:val="14"/>
                <w:szCs w:val="14"/>
                <w:b w:val="1"/>
                <w:bCs w:val="1"/>
                <w:color w:val="FFFFFF"/>
                <w:w w:val="98"/>
              </w:rPr>
              <w:t>without Cause</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60" w:type="dxa"/>
            <w:vAlign w:val="bottom"/>
            <w:gridSpan w:val="2"/>
            <w:shd w:val="clear" w:color="auto" w:fill="3E8EDE"/>
          </w:tcPr>
          <w:p>
            <w:pPr>
              <w:jc w:val="center"/>
              <w:ind w:right="54"/>
              <w:spacing w:after="0" w:line="155" w:lineRule="exact"/>
              <w:rPr>
                <w:sz w:val="20"/>
                <w:szCs w:val="20"/>
                <w:color w:val="auto"/>
              </w:rPr>
            </w:pPr>
            <w:r>
              <w:rPr>
                <w:rFonts w:ascii="Arial" w:cs="Arial" w:eastAsia="Arial" w:hAnsi="Arial"/>
                <w:sz w:val="14"/>
                <w:szCs w:val="14"/>
                <w:b w:val="1"/>
                <w:bCs w:val="1"/>
                <w:color w:val="FFFFFF"/>
                <w:w w:val="97"/>
              </w:rPr>
              <w:t>Termination by</w:t>
            </w:r>
          </w:p>
        </w:tc>
        <w:tc>
          <w:tcPr>
            <w:tcW w:w="14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no Qualifying</w:t>
            </w:r>
          </w:p>
        </w:tc>
        <w:tc>
          <w:tcPr>
            <w:tcW w:w="1320" w:type="dxa"/>
            <w:vAlign w:val="bottom"/>
            <w:shd w:val="clear" w:color="auto" w:fill="3E8EDE"/>
          </w:tcPr>
          <w:p>
            <w:pPr>
              <w:jc w:val="center"/>
              <w:ind w:left="162"/>
              <w:spacing w:after="0" w:line="155" w:lineRule="exact"/>
              <w:rPr>
                <w:sz w:val="20"/>
                <w:szCs w:val="20"/>
                <w:color w:val="auto"/>
              </w:rPr>
            </w:pPr>
            <w:r>
              <w:rPr>
                <w:rFonts w:ascii="Arial" w:cs="Arial" w:eastAsia="Arial" w:hAnsi="Arial"/>
                <w:sz w:val="14"/>
                <w:szCs w:val="14"/>
                <w:b w:val="1"/>
                <w:bCs w:val="1"/>
                <w:color w:val="FFFFFF"/>
                <w:w w:val="99"/>
              </w:rPr>
              <w:t>with Qualifying</w:t>
            </w: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right"/>
              <w:ind w:right="54"/>
              <w:spacing w:after="0" w:line="155" w:lineRule="exact"/>
              <w:rPr>
                <w:sz w:val="20"/>
                <w:szCs w:val="20"/>
                <w:color w:val="auto"/>
              </w:rPr>
            </w:pPr>
            <w:r>
              <w:rPr>
                <w:rFonts w:ascii="Arial" w:cs="Arial" w:eastAsia="Arial" w:hAnsi="Arial"/>
                <w:sz w:val="14"/>
                <w:szCs w:val="14"/>
                <w:b w:val="1"/>
                <w:bCs w:val="1"/>
                <w:color w:val="FFFFFF"/>
                <w:w w:val="97"/>
              </w:rPr>
              <w:t>   or Termination by</w:t>
            </w:r>
          </w:p>
        </w:tc>
      </w:tr>
      <w:tr>
        <w:trPr>
          <w:trHeight w:val="152"/>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60" w:type="dxa"/>
            <w:vAlign w:val="bottom"/>
            <w:gridSpan w:val="2"/>
            <w:shd w:val="clear" w:color="auto" w:fill="3E8EDE"/>
          </w:tcPr>
          <w:p>
            <w:pPr>
              <w:jc w:val="center"/>
              <w:ind w:right="54"/>
              <w:spacing w:after="0" w:line="152" w:lineRule="exact"/>
              <w:rPr>
                <w:sz w:val="20"/>
                <w:szCs w:val="20"/>
                <w:color w:val="auto"/>
              </w:rPr>
            </w:pPr>
            <w:r>
              <w:rPr>
                <w:rFonts w:ascii="Arial" w:cs="Arial" w:eastAsia="Arial" w:hAnsi="Arial"/>
                <w:sz w:val="14"/>
                <w:szCs w:val="14"/>
                <w:b w:val="1"/>
                <w:bCs w:val="1"/>
                <w:color w:val="FFFFFF"/>
                <w:w w:val="98"/>
              </w:rPr>
              <w:t>the employee for</w:t>
            </w:r>
          </w:p>
        </w:tc>
        <w:tc>
          <w:tcPr>
            <w:tcW w:w="1440" w:type="dxa"/>
            <w:vAlign w:val="bottom"/>
            <w:gridSpan w:val="2"/>
            <w:shd w:val="clear" w:color="auto" w:fill="3E8EDE"/>
          </w:tcPr>
          <w:p>
            <w:pPr>
              <w:jc w:val="center"/>
              <w:spacing w:after="0" w:line="152" w:lineRule="exact"/>
              <w:rPr>
                <w:sz w:val="20"/>
                <w:szCs w:val="20"/>
                <w:color w:val="auto"/>
              </w:rPr>
            </w:pPr>
            <w:r>
              <w:rPr>
                <w:rFonts w:ascii="Arial" w:cs="Arial" w:eastAsia="Arial" w:hAnsi="Arial"/>
                <w:sz w:val="14"/>
                <w:szCs w:val="14"/>
                <w:b w:val="1"/>
                <w:bCs w:val="1"/>
                <w:color w:val="FFFFFF"/>
                <w:w w:val="98"/>
              </w:rPr>
              <w:t>Replacement</w:t>
            </w:r>
          </w:p>
        </w:tc>
        <w:tc>
          <w:tcPr>
            <w:tcW w:w="1320" w:type="dxa"/>
            <w:vAlign w:val="bottom"/>
            <w:shd w:val="clear" w:color="auto" w:fill="3E8EDE"/>
          </w:tcPr>
          <w:p>
            <w:pPr>
              <w:jc w:val="center"/>
              <w:ind w:left="182"/>
              <w:spacing w:after="0" w:line="152" w:lineRule="exact"/>
              <w:rPr>
                <w:sz w:val="20"/>
                <w:szCs w:val="20"/>
                <w:color w:val="auto"/>
              </w:rPr>
            </w:pPr>
            <w:r>
              <w:rPr>
                <w:rFonts w:ascii="Arial" w:cs="Arial" w:eastAsia="Arial" w:hAnsi="Arial"/>
                <w:sz w:val="14"/>
                <w:szCs w:val="14"/>
                <w:b w:val="1"/>
                <w:bCs w:val="1"/>
                <w:color w:val="FFFFFF"/>
                <w:w w:val="98"/>
              </w:rPr>
              <w:t>Replacement</w:t>
            </w: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center"/>
              <w:ind w:left="24"/>
              <w:spacing w:after="0" w:line="152" w:lineRule="exact"/>
              <w:rPr>
                <w:sz w:val="20"/>
                <w:szCs w:val="20"/>
                <w:color w:val="auto"/>
              </w:rPr>
            </w:pPr>
            <w:r>
              <w:rPr>
                <w:rFonts w:ascii="Arial" w:cs="Arial" w:eastAsia="Arial" w:hAnsi="Arial"/>
                <w:sz w:val="14"/>
                <w:szCs w:val="14"/>
                <w:b w:val="1"/>
                <w:bCs w:val="1"/>
                <w:color w:val="FFFFFF"/>
                <w:w w:val="98"/>
              </w:rPr>
              <w:t>the employee for</w:t>
            </w:r>
          </w:p>
        </w:tc>
      </w:tr>
      <w:tr>
        <w:trPr>
          <w:trHeight w:val="259"/>
        </w:trPr>
        <w:tc>
          <w:tcPr>
            <w:tcW w:w="4560" w:type="dxa"/>
            <w:vAlign w:val="bottom"/>
            <w:shd w:val="clear" w:color="auto" w:fill="3E8EDE"/>
          </w:tcPr>
          <w:p>
            <w:pPr>
              <w:spacing w:after="0"/>
              <w:rPr>
                <w:sz w:val="22"/>
                <w:szCs w:val="22"/>
                <w:color w:val="auto"/>
              </w:rPr>
            </w:pPr>
          </w:p>
        </w:tc>
        <w:tc>
          <w:tcPr>
            <w:tcW w:w="160" w:type="dxa"/>
            <w:vAlign w:val="bottom"/>
            <w:shd w:val="clear" w:color="auto" w:fill="3E8EDE"/>
          </w:tcPr>
          <w:p>
            <w:pPr>
              <w:spacing w:after="0"/>
              <w:rPr>
                <w:sz w:val="22"/>
                <w:szCs w:val="22"/>
                <w:color w:val="auto"/>
              </w:rPr>
            </w:pPr>
          </w:p>
        </w:tc>
        <w:tc>
          <w:tcPr>
            <w:tcW w:w="1360" w:type="dxa"/>
            <w:vAlign w:val="bottom"/>
            <w:gridSpan w:val="2"/>
            <w:shd w:val="clear" w:color="auto" w:fill="3E8EDE"/>
          </w:tcPr>
          <w:p>
            <w:pPr>
              <w:jc w:val="center"/>
              <w:ind w:right="54"/>
              <w:spacing w:after="0"/>
              <w:rPr>
                <w:sz w:val="20"/>
                <w:szCs w:val="20"/>
                <w:color w:val="auto"/>
              </w:rPr>
            </w:pPr>
            <w:r>
              <w:rPr>
                <w:rFonts w:ascii="Arial" w:cs="Arial" w:eastAsia="Arial" w:hAnsi="Arial"/>
                <w:sz w:val="14"/>
                <w:szCs w:val="14"/>
                <w:b w:val="1"/>
                <w:bCs w:val="1"/>
                <w:color w:val="FFFFFF"/>
                <w:w w:val="95"/>
              </w:rPr>
              <w:t>Good Reason</w:t>
            </w:r>
            <w:r>
              <w:rPr>
                <w:rFonts w:ascii="Arial" w:cs="Arial" w:eastAsia="Arial" w:hAnsi="Arial"/>
                <w:sz w:val="20"/>
                <w:szCs w:val="20"/>
                <w:b w:val="1"/>
                <w:bCs w:val="1"/>
                <w:color w:val="FFFFFF"/>
                <w:w w:val="95"/>
                <w:vertAlign w:val="superscript"/>
              </w:rPr>
              <w:t>(2)</w:t>
            </w:r>
          </w:p>
        </w:tc>
        <w:tc>
          <w:tcPr>
            <w:tcW w:w="1440" w:type="dxa"/>
            <w:vAlign w:val="bottom"/>
            <w:gridSpan w:val="2"/>
            <w:shd w:val="clear" w:color="auto" w:fill="3E8EDE"/>
          </w:tcPr>
          <w:p>
            <w:pPr>
              <w:ind w:left="500"/>
              <w:spacing w:after="0"/>
              <w:rPr>
                <w:sz w:val="20"/>
                <w:szCs w:val="20"/>
                <w:color w:val="auto"/>
              </w:rPr>
            </w:pPr>
            <w:r>
              <w:rPr>
                <w:rFonts w:ascii="Arial" w:cs="Arial" w:eastAsia="Arial" w:hAnsi="Arial"/>
                <w:sz w:val="14"/>
                <w:szCs w:val="14"/>
                <w:b w:val="1"/>
                <w:bCs w:val="1"/>
                <w:color w:val="FFFFFF"/>
              </w:rPr>
              <w:t>Award</w:t>
            </w:r>
          </w:p>
        </w:tc>
        <w:tc>
          <w:tcPr>
            <w:tcW w:w="1320" w:type="dxa"/>
            <w:vAlign w:val="bottom"/>
            <w:shd w:val="clear" w:color="auto" w:fill="3E8EDE"/>
          </w:tcPr>
          <w:p>
            <w:pPr>
              <w:jc w:val="center"/>
              <w:ind w:left="182"/>
              <w:spacing w:after="0"/>
              <w:rPr>
                <w:sz w:val="20"/>
                <w:szCs w:val="20"/>
                <w:color w:val="auto"/>
              </w:rPr>
            </w:pPr>
            <w:r>
              <w:rPr>
                <w:rFonts w:ascii="Arial" w:cs="Arial" w:eastAsia="Arial" w:hAnsi="Arial"/>
                <w:sz w:val="14"/>
                <w:szCs w:val="14"/>
                <w:b w:val="1"/>
                <w:bCs w:val="1"/>
                <w:color w:val="FFFFFF"/>
                <w:w w:val="98"/>
              </w:rPr>
              <w:t>Award</w:t>
            </w:r>
          </w:p>
        </w:tc>
        <w:tc>
          <w:tcPr>
            <w:tcW w:w="200" w:type="dxa"/>
            <w:vAlign w:val="bottom"/>
            <w:shd w:val="clear" w:color="auto" w:fill="3E8EDE"/>
          </w:tcPr>
          <w:p>
            <w:pPr>
              <w:spacing w:after="0"/>
              <w:rPr>
                <w:sz w:val="22"/>
                <w:szCs w:val="22"/>
                <w:color w:val="auto"/>
              </w:rPr>
            </w:pPr>
          </w:p>
        </w:tc>
        <w:tc>
          <w:tcPr>
            <w:tcW w:w="1520" w:type="dxa"/>
            <w:vAlign w:val="bottom"/>
            <w:gridSpan w:val="2"/>
            <w:shd w:val="clear" w:color="auto" w:fill="3E8EDE"/>
          </w:tcPr>
          <w:p>
            <w:pPr>
              <w:jc w:val="center"/>
              <w:ind w:left="24"/>
              <w:spacing w:after="0"/>
              <w:rPr>
                <w:sz w:val="20"/>
                <w:szCs w:val="20"/>
                <w:color w:val="auto"/>
              </w:rPr>
            </w:pPr>
            <w:r>
              <w:rPr>
                <w:rFonts w:ascii="Arial" w:cs="Arial" w:eastAsia="Arial" w:hAnsi="Arial"/>
                <w:sz w:val="14"/>
                <w:szCs w:val="14"/>
                <w:b w:val="1"/>
                <w:bCs w:val="1"/>
                <w:color w:val="FFFFFF"/>
                <w:w w:val="95"/>
              </w:rPr>
              <w:t>Good Reason</w:t>
            </w:r>
            <w:r>
              <w:rPr>
                <w:rFonts w:ascii="Arial" w:cs="Arial" w:eastAsia="Arial" w:hAnsi="Arial"/>
                <w:sz w:val="20"/>
                <w:szCs w:val="20"/>
                <w:b w:val="1"/>
                <w:bCs w:val="1"/>
                <w:color w:val="FFFFFF"/>
                <w:w w:val="95"/>
                <w:vertAlign w:val="superscript"/>
              </w:rPr>
              <w:t>(4)</w:t>
            </w:r>
          </w:p>
        </w:tc>
      </w:tr>
      <w:tr>
        <w:trPr>
          <w:trHeight w:val="272"/>
        </w:trPr>
        <w:tc>
          <w:tcPr>
            <w:tcW w:w="4560" w:type="dxa"/>
            <w:vAlign w:val="bottom"/>
            <w:shd w:val="clear" w:color="auto" w:fill="E2EEFA"/>
          </w:tcPr>
          <w:p>
            <w:pPr>
              <w:ind w:left="60"/>
              <w:spacing w:after="0"/>
              <w:rPr>
                <w:sz w:val="20"/>
                <w:szCs w:val="20"/>
                <w:color w:val="auto"/>
              </w:rPr>
            </w:pPr>
            <w:r>
              <w:rPr>
                <w:rFonts w:ascii="Arial" w:cs="Arial" w:eastAsia="Arial" w:hAnsi="Arial"/>
                <w:sz w:val="17"/>
                <w:szCs w:val="17"/>
                <w:color w:val="auto"/>
              </w:rPr>
              <w:t>Severance Payment</w:t>
            </w:r>
          </w:p>
        </w:tc>
        <w:tc>
          <w:tcPr>
            <w:tcW w:w="160" w:type="dxa"/>
            <w:vAlign w:val="bottom"/>
            <w:shd w:val="clear" w:color="auto" w:fill="E2EEFA"/>
          </w:tcPr>
          <w:p>
            <w:pPr>
              <w:spacing w:after="0"/>
              <w:rPr>
                <w:sz w:val="23"/>
                <w:szCs w:val="23"/>
                <w:color w:val="auto"/>
              </w:rPr>
            </w:pPr>
          </w:p>
        </w:tc>
        <w:tc>
          <w:tcPr>
            <w:tcW w:w="5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574,277</w:t>
            </w:r>
          </w:p>
        </w:tc>
        <w:tc>
          <w:tcPr>
            <w:tcW w:w="620" w:type="dxa"/>
            <w:vAlign w:val="bottom"/>
            <w:shd w:val="clear" w:color="auto" w:fill="E2EEFA"/>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1320" w:type="dxa"/>
            <w:vAlign w:val="bottom"/>
            <w:shd w:val="clear" w:color="auto" w:fill="E2EEFA"/>
          </w:tcPr>
          <w:p>
            <w:pPr>
              <w:ind w:left="540"/>
              <w:spacing w:after="0"/>
              <w:rPr>
                <w:sz w:val="20"/>
                <w:szCs w:val="20"/>
                <w:color w:val="auto"/>
              </w:rPr>
            </w:pPr>
            <w:r>
              <w:rPr>
                <w:rFonts w:ascii="Arial" w:cs="Arial" w:eastAsia="Arial" w:hAnsi="Arial"/>
                <w:sz w:val="17"/>
                <w:szCs w:val="17"/>
                <w:color w:val="auto"/>
              </w:rPr>
              <w:t xml:space="preserve">$          </w:t>
            </w:r>
          </w:p>
        </w:tc>
        <w:tc>
          <w:tcPr>
            <w:tcW w:w="2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7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1,148,554</w:t>
            </w:r>
          </w:p>
        </w:tc>
      </w:tr>
      <w:tr>
        <w:trPr>
          <w:trHeight w:val="272"/>
        </w:trPr>
        <w:tc>
          <w:tcPr>
            <w:tcW w:w="4720" w:type="dxa"/>
            <w:vAlign w:val="bottom"/>
            <w:gridSpan w:val="2"/>
          </w:tcPr>
          <w:p>
            <w:pPr>
              <w:ind w:left="60"/>
              <w:spacing w:after="0" w:line="272" w:lineRule="exact"/>
              <w:rPr>
                <w:sz w:val="20"/>
                <w:szCs w:val="20"/>
                <w:color w:val="auto"/>
              </w:rPr>
            </w:pPr>
            <w:r>
              <w:rPr>
                <w:rFonts w:ascii="Arial" w:cs="Arial" w:eastAsia="Arial" w:hAnsi="Arial"/>
                <w:sz w:val="17"/>
                <w:szCs w:val="17"/>
                <w:color w:val="auto"/>
              </w:rPr>
              <w:t>Stock Options</w:t>
            </w:r>
            <w:r>
              <w:rPr>
                <w:rFonts w:ascii="Arial" w:cs="Arial" w:eastAsia="Arial" w:hAnsi="Arial"/>
                <w:sz w:val="25"/>
                <w:szCs w:val="25"/>
                <w:color w:val="auto"/>
                <w:vertAlign w:val="superscript"/>
              </w:rPr>
              <w:t>(3)</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w:t>
            </w:r>
          </w:p>
        </w:tc>
        <w:tc>
          <w:tcPr>
            <w:tcW w:w="620" w:type="dxa"/>
            <w:vAlign w:val="bottom"/>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11,298</w:t>
            </w:r>
          </w:p>
        </w:tc>
        <w:tc>
          <w:tcPr>
            <w:tcW w:w="1320" w:type="dxa"/>
            <w:vAlign w:val="bottom"/>
          </w:tcPr>
          <w:p>
            <w:pPr>
              <w:ind w:left="54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11,298</w:t>
            </w:r>
          </w:p>
        </w:tc>
      </w:tr>
      <w:tr>
        <w:trPr>
          <w:trHeight w:val="272"/>
        </w:trPr>
        <w:tc>
          <w:tcPr>
            <w:tcW w:w="4560" w:type="dxa"/>
            <w:vAlign w:val="bottom"/>
            <w:shd w:val="clear" w:color="auto" w:fill="E2EEFA"/>
          </w:tcPr>
          <w:p>
            <w:pPr>
              <w:ind w:left="60"/>
              <w:spacing w:after="0" w:line="272" w:lineRule="exact"/>
              <w:rPr>
                <w:sz w:val="20"/>
                <w:szCs w:val="20"/>
                <w:color w:val="auto"/>
              </w:rPr>
            </w:pPr>
            <w:r>
              <w:rPr>
                <w:rFonts w:ascii="Arial" w:cs="Arial" w:eastAsia="Arial" w:hAnsi="Arial"/>
                <w:sz w:val="17"/>
                <w:szCs w:val="17"/>
                <w:color w:val="auto"/>
              </w:rPr>
              <w:t>Restricted Stock</w:t>
            </w:r>
            <w:r>
              <w:rPr>
                <w:rFonts w:ascii="Arial" w:cs="Arial" w:eastAsia="Arial" w:hAnsi="Arial"/>
                <w:sz w:val="25"/>
                <w:szCs w:val="25"/>
                <w:color w:val="auto"/>
                <w:vertAlign w:val="superscript"/>
              </w:rPr>
              <w:t>(3)</w:t>
            </w:r>
          </w:p>
        </w:tc>
        <w:tc>
          <w:tcPr>
            <w:tcW w:w="160" w:type="dxa"/>
            <w:vAlign w:val="bottom"/>
            <w:shd w:val="clear" w:color="auto" w:fill="E2EEFA"/>
          </w:tcPr>
          <w:p>
            <w:pPr>
              <w:spacing w:after="0"/>
              <w:rPr>
                <w:sz w:val="23"/>
                <w:szCs w:val="23"/>
                <w:color w:val="auto"/>
              </w:rPr>
            </w:pPr>
          </w:p>
        </w:tc>
        <w:tc>
          <w:tcPr>
            <w:tcW w:w="5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620" w:type="dxa"/>
            <w:vAlign w:val="bottom"/>
            <w:shd w:val="clear" w:color="auto" w:fill="E2EEFA"/>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1,882,037</w:t>
            </w:r>
          </w:p>
        </w:tc>
        <w:tc>
          <w:tcPr>
            <w:tcW w:w="1320" w:type="dxa"/>
            <w:vAlign w:val="bottom"/>
            <w:shd w:val="clear" w:color="auto" w:fill="E2EEFA"/>
          </w:tcPr>
          <w:p>
            <w:pPr>
              <w:ind w:left="540"/>
              <w:spacing w:after="0"/>
              <w:rPr>
                <w:sz w:val="20"/>
                <w:szCs w:val="20"/>
                <w:color w:val="auto"/>
              </w:rPr>
            </w:pPr>
            <w:r>
              <w:rPr>
                <w:rFonts w:ascii="Arial" w:cs="Arial" w:eastAsia="Arial" w:hAnsi="Arial"/>
                <w:sz w:val="17"/>
                <w:szCs w:val="17"/>
                <w:color w:val="auto"/>
              </w:rPr>
              <w:t>$</w:t>
            </w:r>
          </w:p>
        </w:tc>
        <w:tc>
          <w:tcPr>
            <w:tcW w:w="2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7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1,882,037</w:t>
            </w:r>
          </w:p>
        </w:tc>
      </w:tr>
      <w:tr>
        <w:trPr>
          <w:trHeight w:val="267"/>
        </w:trPr>
        <w:tc>
          <w:tcPr>
            <w:tcW w:w="4720" w:type="dxa"/>
            <w:vAlign w:val="bottom"/>
            <w:gridSpan w:val="2"/>
          </w:tcPr>
          <w:p>
            <w:pPr>
              <w:ind w:left="60"/>
              <w:spacing w:after="0"/>
              <w:rPr>
                <w:sz w:val="20"/>
                <w:szCs w:val="20"/>
                <w:color w:val="auto"/>
              </w:rPr>
            </w:pPr>
            <w:r>
              <w:rPr>
                <w:rFonts w:ascii="Arial" w:cs="Arial" w:eastAsia="Arial" w:hAnsi="Arial"/>
                <w:sz w:val="17"/>
                <w:szCs w:val="17"/>
                <w:color w:val="auto"/>
              </w:rPr>
              <w:t>Pro-Rata Bonus Payment</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538,815</w:t>
            </w:r>
          </w:p>
        </w:tc>
        <w:tc>
          <w:tcPr>
            <w:tcW w:w="620" w:type="dxa"/>
            <w:vAlign w:val="bottom"/>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w:t>
            </w:r>
          </w:p>
        </w:tc>
        <w:tc>
          <w:tcPr>
            <w:tcW w:w="1320" w:type="dxa"/>
            <w:vAlign w:val="bottom"/>
          </w:tcPr>
          <w:p>
            <w:pPr>
              <w:ind w:left="54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538,815</w:t>
            </w:r>
          </w:p>
        </w:tc>
      </w:tr>
      <w:tr>
        <w:trPr>
          <w:trHeight w:val="272"/>
        </w:trPr>
        <w:tc>
          <w:tcPr>
            <w:tcW w:w="4560" w:type="dxa"/>
            <w:vAlign w:val="bottom"/>
            <w:tcBorders>
              <w:bottom w:val="single" w:sz="8" w:color="3E8EDE"/>
            </w:tcBorders>
            <w:shd w:val="clear" w:color="auto" w:fill="E2EEFA"/>
          </w:tcPr>
          <w:p>
            <w:pPr>
              <w:ind w:left="60"/>
              <w:spacing w:after="0"/>
              <w:rPr>
                <w:sz w:val="20"/>
                <w:szCs w:val="20"/>
                <w:color w:val="auto"/>
              </w:rPr>
            </w:pPr>
            <w:r>
              <w:rPr>
                <w:rFonts w:ascii="Arial" w:cs="Arial" w:eastAsia="Arial" w:hAnsi="Arial"/>
                <w:sz w:val="17"/>
                <w:szCs w:val="17"/>
                <w:color w:val="auto"/>
              </w:rPr>
              <w:t>Medical and Dental Benefits</w:t>
            </w:r>
          </w:p>
        </w:tc>
        <w:tc>
          <w:tcPr>
            <w:tcW w:w="160" w:type="dxa"/>
            <w:vAlign w:val="bottom"/>
            <w:tcBorders>
              <w:bottom w:val="single" w:sz="8" w:color="3E8EDE"/>
            </w:tcBorders>
            <w:shd w:val="clear" w:color="auto" w:fill="E2EEFA"/>
          </w:tcPr>
          <w:p>
            <w:pPr>
              <w:spacing w:after="0"/>
              <w:rPr>
                <w:sz w:val="23"/>
                <w:szCs w:val="23"/>
                <w:color w:val="auto"/>
              </w:rPr>
            </w:pPr>
          </w:p>
        </w:tc>
        <w:tc>
          <w:tcPr>
            <w:tcW w:w="54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21,439</w:t>
            </w:r>
          </w:p>
        </w:tc>
        <w:tc>
          <w:tcPr>
            <w:tcW w:w="620" w:type="dxa"/>
            <w:vAlign w:val="bottom"/>
            <w:tcBorders>
              <w:bottom w:val="single" w:sz="8" w:color="3E8EDE"/>
            </w:tcBorders>
            <w:shd w:val="clear" w:color="auto" w:fill="E2EEFA"/>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1320" w:type="dxa"/>
            <w:vAlign w:val="bottom"/>
            <w:tcBorders>
              <w:bottom w:val="single" w:sz="8" w:color="3E8EDE"/>
            </w:tcBorders>
            <w:shd w:val="clear" w:color="auto" w:fill="E2EEFA"/>
          </w:tcPr>
          <w:p>
            <w:pPr>
              <w:ind w:left="5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7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21,439</w:t>
            </w:r>
          </w:p>
        </w:tc>
      </w:tr>
      <w:tr>
        <w:trPr>
          <w:trHeight w:val="257"/>
        </w:trPr>
        <w:tc>
          <w:tcPr>
            <w:tcW w:w="4720" w:type="dxa"/>
            <w:vAlign w:val="bottom"/>
            <w:tcBorders>
              <w:bottom w:val="single" w:sz="8" w:color="3E8EDE"/>
            </w:tcBorders>
            <w:gridSpan w:val="2"/>
          </w:tcPr>
          <w:p>
            <w:pPr>
              <w:ind w:left="60"/>
              <w:spacing w:after="0" w:line="257" w:lineRule="exact"/>
              <w:rPr>
                <w:sz w:val="20"/>
                <w:szCs w:val="20"/>
                <w:color w:val="auto"/>
              </w:rPr>
            </w:pPr>
            <w:r>
              <w:rPr>
                <w:rFonts w:ascii="Arial" w:cs="Arial" w:eastAsia="Arial" w:hAnsi="Arial"/>
                <w:sz w:val="17"/>
                <w:szCs w:val="17"/>
                <w:color w:val="auto"/>
              </w:rPr>
              <w:t>Totals</w:t>
            </w:r>
            <w:r>
              <w:rPr>
                <w:rFonts w:ascii="Arial" w:cs="Arial" w:eastAsia="Arial" w:hAnsi="Arial"/>
                <w:sz w:val="25"/>
                <w:szCs w:val="25"/>
                <w:color w:val="auto"/>
                <w:vertAlign w:val="superscript"/>
              </w:rPr>
              <w:t>(5)</w:t>
            </w:r>
          </w:p>
        </w:tc>
        <w:tc>
          <w:tcPr>
            <w:tcW w:w="54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1,134,531</w:t>
            </w:r>
          </w:p>
        </w:tc>
        <w:tc>
          <w:tcPr>
            <w:tcW w:w="620" w:type="dxa"/>
            <w:vAlign w:val="bottom"/>
            <w:tcBorders>
              <w:bottom w:val="single" w:sz="8" w:color="3E8EDE"/>
            </w:tcBorders>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1,893,335</w:t>
            </w:r>
          </w:p>
        </w:tc>
        <w:tc>
          <w:tcPr>
            <w:tcW w:w="1320" w:type="dxa"/>
            <w:vAlign w:val="bottom"/>
            <w:tcBorders>
              <w:bottom w:val="single" w:sz="8" w:color="3E8EDE"/>
            </w:tcBorders>
          </w:tcPr>
          <w:p>
            <w:pPr>
              <w:ind w:left="5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0</w:t>
            </w:r>
          </w:p>
        </w:tc>
        <w:tc>
          <w:tcPr>
            <w:tcW w:w="72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3,602,143</w:t>
            </w:r>
          </w:p>
        </w:tc>
      </w:tr>
    </w:tbl>
    <w:p>
      <w:pPr>
        <w:spacing w:after="0" w:line="100" w:lineRule="exact"/>
        <w:rPr>
          <w:sz w:val="20"/>
          <w:szCs w:val="20"/>
          <w:color w:val="auto"/>
        </w:rPr>
      </w:pPr>
    </w:p>
    <w:p>
      <w:pPr>
        <w:ind w:left="860" w:right="280" w:hanging="520"/>
        <w:spacing w:after="0" w:line="276" w:lineRule="auto"/>
        <w:tabs>
          <w:tab w:leader="none" w:pos="8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For purposes of this disclosure, the Change in Control date and all termination events are assumed to occur on March 31, 2026. The stock price used is the closing price of $221.13 on March 31, 2026, the assumed Termination and Change in Control date.</w:t>
      </w:r>
    </w:p>
    <w:p>
      <w:pPr>
        <w:spacing w:after="0" w:line="55" w:lineRule="exact"/>
        <w:rPr>
          <w:rFonts w:ascii="Arial" w:cs="Arial" w:eastAsia="Arial" w:hAnsi="Arial"/>
          <w:sz w:val="17"/>
          <w:szCs w:val="17"/>
          <w:color w:val="auto"/>
        </w:rPr>
      </w:pPr>
    </w:p>
    <w:p>
      <w:pPr>
        <w:ind w:left="860" w:hanging="520"/>
        <w:spacing w:after="0" w:line="246" w:lineRule="auto"/>
        <w:tabs>
          <w:tab w:leader="none" w:pos="8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Pursuant to the Senior Executive Severance Plan, in the event of a “qualifying termination” in circumstances not involving a Change in Control, Mr. Zangerle will be entitled to 12 months of severance payments based on his then current base salary, a pro-rata portion of his actual bonus, and 12 months of medical and dental benefits. A “qualifying termination” is any separation of service other than by the Company for Cause (as defined) or by executive without Good Reason (as defined). Good Reason includes death or Disability (as defined). Mr. Zangerle’s actual bonus for fiscal 2026 is $538,815. The proration is 100% because the assumed termination date is the fiscal year end.</w:t>
      </w:r>
    </w:p>
    <w:p>
      <w:pPr>
        <w:spacing w:after="0" w:line="79" w:lineRule="exact"/>
        <w:rPr>
          <w:rFonts w:ascii="Arial" w:cs="Arial" w:eastAsia="Arial" w:hAnsi="Arial"/>
          <w:sz w:val="17"/>
          <w:szCs w:val="17"/>
          <w:color w:val="auto"/>
        </w:rPr>
      </w:pPr>
    </w:p>
    <w:p>
      <w:pPr>
        <w:ind w:left="860" w:right="60" w:hanging="520"/>
        <w:spacing w:after="0" w:line="251" w:lineRule="auto"/>
        <w:tabs>
          <w:tab w:leader="none" w:pos="8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unvested outstanding stock options and restricted awards provide for double trigger vesting in Change in Control situations, meaning that if a change in control occurs and the employee receives a qualifying replacement award, there will be no accelerated vesting unless the employee’s employment terminates under specified circumstances. If the employee’s employment terminates on account of death, the employee also will be entitled to accelerated award vesting.</w:t>
      </w:r>
    </w:p>
    <w:p>
      <w:pPr>
        <w:spacing w:after="0" w:line="75" w:lineRule="exact"/>
        <w:rPr>
          <w:rFonts w:ascii="Arial" w:cs="Arial" w:eastAsia="Arial" w:hAnsi="Arial"/>
          <w:sz w:val="17"/>
          <w:szCs w:val="17"/>
          <w:color w:val="auto"/>
        </w:rPr>
      </w:pPr>
    </w:p>
    <w:p>
      <w:pPr>
        <w:ind w:left="860" w:right="20" w:hanging="520"/>
        <w:spacing w:after="0" w:line="246" w:lineRule="auto"/>
        <w:tabs>
          <w:tab w:leader="none" w:pos="8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Pursuant to the Senior Executive Severance Plan, in the event of a “qualifying termination” within one (1) year following a change in control, Mr. Zangerle will be entitled to 12 months of severance payments based on a multiple of two (2) times his then current base salary, a pro-rata portion of his actual bonus, and 12 months of medical and dental benefits. A “qualifying termination” is any separation from service other than by the Company for Cause (as defined) or by executive without Good Reason (as defined). Good Reason includes death or Disability (as defined). Mr. Zangerle’s actual bonus for fiscal 2026 is $538,815. The proration is 100% because the assumed termination date is the fiscal year end.</w:t>
      </w:r>
    </w:p>
    <w:p>
      <w:pPr>
        <w:spacing w:after="0" w:line="79" w:lineRule="exact"/>
        <w:rPr>
          <w:rFonts w:ascii="Arial" w:cs="Arial" w:eastAsia="Arial" w:hAnsi="Arial"/>
          <w:sz w:val="17"/>
          <w:szCs w:val="17"/>
          <w:color w:val="auto"/>
        </w:rPr>
      </w:pPr>
    </w:p>
    <w:p>
      <w:pPr>
        <w:ind w:left="860" w:right="100" w:hanging="520"/>
        <w:spacing w:after="0" w:line="276" w:lineRule="auto"/>
        <w:tabs>
          <w:tab w:leader="none" w:pos="8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Amounts payable to the executive in the event of a Change in Control may be subject to reduction due to the operation of Sections 280G and 4999 of the Internal Revenue Code as provided for under the Senior Executive Severance Plan.</w:t>
      </w:r>
    </w:p>
    <w:p>
      <w:pPr>
        <w:spacing w:after="0" w:line="84"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3E8EDE"/>
        </w:rPr>
        <w:t xml:space="preserve">Notice of Annual Meeting of Shareholders </w:t>
      </w:r>
      <w:r>
        <w:rPr>
          <w:rFonts w:ascii="Arial" w:cs="Arial" w:eastAsia="Arial" w:hAnsi="Arial"/>
          <w:sz w:val="14"/>
          <w:szCs w:val="14"/>
          <w:color w:val="000000"/>
        </w:rPr>
        <w:t>and 2026 Proxy Statement   81</w:t>
      </w:r>
    </w:p>
    <w:p>
      <w:pPr>
        <w:sectPr>
          <w:pgSz w:w="11900" w:h="16838" w:orient="portrait"/>
          <w:cols w:equalWidth="0" w:num="1">
            <w:col w:w="10900"/>
          </w:cols>
          <w:pgMar w:left="320" w:top="469" w:right="6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780" w:type="dxa"/>
            <w:vAlign w:val="bottom"/>
            <w:vMerge w:val="restart"/>
          </w:tcPr>
          <w:p>
            <w:pPr>
              <w:spacing w:after="0"/>
              <w:rPr>
                <w:sz w:val="20"/>
                <w:szCs w:val="20"/>
                <w:color w:val="auto"/>
              </w:rPr>
            </w:pPr>
            <w:r>
              <w:rPr>
                <w:rFonts w:ascii="Arial" w:cs="Arial" w:eastAsia="Arial" w:hAnsi="Arial"/>
                <w:sz w:val="17"/>
                <w:szCs w:val="17"/>
                <w:b w:val="1"/>
                <w:bCs w:val="1"/>
                <w:color w:val="auto"/>
              </w:rPr>
              <w:t> </w:t>
            </w:r>
          </w:p>
        </w:tc>
        <w:tc>
          <w:tcPr>
            <w:tcW w:w="9780" w:type="dxa"/>
            <w:vAlign w:val="bottom"/>
          </w:tcPr>
          <w:p>
            <w:pPr>
              <w:jc w:val="right"/>
              <w:spacing w:after="0"/>
              <w:rPr>
                <w:sz w:val="20"/>
                <w:szCs w:val="20"/>
                <w:color w:val="auto"/>
              </w:rPr>
            </w:pPr>
            <w:r>
              <w:rPr>
                <w:rFonts w:ascii="Arial" w:cs="Arial" w:eastAsia="Arial" w:hAnsi="Arial"/>
                <w:sz w:val="16"/>
                <w:szCs w:val="16"/>
                <w:b w:val="1"/>
                <w:bCs w:val="1"/>
                <w:color w:val="3E8EDE"/>
              </w:rPr>
              <w:t xml:space="preserve">Executive Compensation: </w:t>
            </w:r>
            <w:r>
              <w:rPr>
                <w:rFonts w:ascii="Arial" w:cs="Arial" w:eastAsia="Arial" w:hAnsi="Arial"/>
                <w:sz w:val="16"/>
                <w:szCs w:val="16"/>
                <w:b w:val="1"/>
                <w:bCs w:val="1"/>
                <w:color w:val="000000"/>
              </w:rPr>
              <w:t>Potential Payments to Named Executive Officers Upon Termination of Employment or Change in</w:t>
            </w:r>
          </w:p>
        </w:tc>
        <w:tc>
          <w:tcPr>
            <w:tcW w:w="0" w:type="dxa"/>
            <w:vAlign w:val="bottom"/>
          </w:tcPr>
          <w:p>
            <w:pPr>
              <w:spacing w:after="0"/>
              <w:rPr>
                <w:sz w:val="1"/>
                <w:szCs w:val="1"/>
                <w:color w:val="auto"/>
              </w:rPr>
            </w:pPr>
          </w:p>
        </w:tc>
      </w:tr>
      <w:tr>
        <w:trPr>
          <w:trHeight w:val="221"/>
        </w:trPr>
        <w:tc>
          <w:tcPr>
            <w:tcW w:w="780" w:type="dxa"/>
            <w:vAlign w:val="bottom"/>
            <w:vMerge w:val="continue"/>
          </w:tcPr>
          <w:p>
            <w:pPr>
              <w:spacing w:after="0"/>
              <w:rPr>
                <w:sz w:val="19"/>
                <w:szCs w:val="19"/>
                <w:color w:val="auto"/>
              </w:rPr>
            </w:pPr>
          </w:p>
        </w:tc>
        <w:tc>
          <w:tcPr>
            <w:tcW w:w="9780" w:type="dxa"/>
            <w:vAlign w:val="bottom"/>
          </w:tcPr>
          <w:p>
            <w:pPr>
              <w:jc w:val="right"/>
              <w:spacing w:after="0"/>
              <w:rPr>
                <w:sz w:val="20"/>
                <w:szCs w:val="20"/>
                <w:color w:val="auto"/>
              </w:rPr>
            </w:pPr>
            <w:r>
              <w:rPr>
                <w:rFonts w:ascii="Arial" w:cs="Arial" w:eastAsia="Arial" w:hAnsi="Arial"/>
                <w:sz w:val="16"/>
                <w:szCs w:val="16"/>
                <w:b w:val="1"/>
                <w:bCs w:val="1"/>
                <w:color w:val="auto"/>
              </w:rPr>
              <w:t>Control</w:t>
            </w:r>
          </w:p>
        </w:tc>
        <w:tc>
          <w:tcPr>
            <w:tcW w:w="0" w:type="dxa"/>
            <w:vAlign w:val="bottom"/>
          </w:tcPr>
          <w:p>
            <w:pPr>
              <w:spacing w:after="0"/>
              <w:rPr>
                <w:sz w:val="1"/>
                <w:szCs w:val="1"/>
                <w:color w:val="auto"/>
              </w:rPr>
            </w:pPr>
          </w:p>
        </w:tc>
      </w:tr>
      <w:tr>
        <w:trPr>
          <w:trHeight w:val="27"/>
        </w:trPr>
        <w:tc>
          <w:tcPr>
            <w:tcW w:w="780" w:type="dxa"/>
            <w:vAlign w:val="bottom"/>
            <w:tcBorders>
              <w:bottom w:val="single" w:sz="8" w:color="3E8EDE"/>
            </w:tcBorders>
          </w:tcPr>
          <w:p>
            <w:pPr>
              <w:spacing w:after="0"/>
              <w:rPr>
                <w:sz w:val="2"/>
                <w:szCs w:val="2"/>
                <w:color w:val="auto"/>
              </w:rPr>
            </w:pPr>
          </w:p>
        </w:tc>
        <w:tc>
          <w:tcPr>
            <w:tcW w:w="9780" w:type="dxa"/>
            <w:vAlign w:val="bottom"/>
            <w:tcBorders>
              <w:bottom w:val="single" w:sz="8" w:color="3E8ED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Cary L. Majors</w:t>
      </w:r>
      <w:r>
        <w:rPr>
          <w:rFonts w:ascii="Arial" w:cs="Arial" w:eastAsia="Arial" w:hAnsi="Arial"/>
          <w:sz w:val="36"/>
          <w:szCs w:val="36"/>
          <w:b w:val="1"/>
          <w:bCs w:val="1"/>
          <w:color w:val="auto"/>
          <w:vertAlign w:val="superscript"/>
        </w:rPr>
        <w:t>(1)</w:t>
      </w:r>
    </w:p>
    <w:p>
      <w:pPr>
        <w:spacing w:after="0" w:line="89" w:lineRule="exact"/>
        <w:rPr>
          <w:sz w:val="20"/>
          <w:szCs w:val="20"/>
          <w:color w:val="auto"/>
        </w:rPr>
      </w:pPr>
    </w:p>
    <w:p>
      <w:pPr>
        <w:ind w:left="340" w:right="660"/>
        <w:spacing w:after="0" w:line="239" w:lineRule="auto"/>
        <w:rPr>
          <w:sz w:val="20"/>
          <w:szCs w:val="20"/>
          <w:color w:val="auto"/>
        </w:rPr>
      </w:pPr>
      <w:r>
        <w:rPr>
          <w:rFonts w:ascii="Arial" w:cs="Arial" w:eastAsia="Arial" w:hAnsi="Arial"/>
          <w:sz w:val="19"/>
          <w:szCs w:val="19"/>
          <w:color w:val="auto"/>
        </w:rPr>
        <w:t>The table below describes those benefits to which Mr. Majors would have been entitled under the Company’s Senior Executive Severance Plan and his equity awards under various scenarios, including change in control scenarios,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135890</wp:posOffset>
            </wp:positionV>
            <wp:extent cx="6710045" cy="8718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10045" cy="871855"/>
                    </a:xfrm>
                    <a:prstGeom prst="rect">
                      <a:avLst/>
                    </a:prstGeom>
                    <a:noFill/>
                  </pic:spPr>
                </pic:pic>
              </a:graphicData>
            </a:graphic>
          </wp:anchor>
        </w:drawing>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4560" w:type="dxa"/>
            <w:vAlign w:val="bottom"/>
            <w:shd w:val="clear" w:color="auto" w:fill="3E8EDE"/>
          </w:tcPr>
          <w:p>
            <w:pPr>
              <w:spacing w:after="0"/>
              <w:rPr>
                <w:sz w:val="14"/>
                <w:szCs w:val="14"/>
                <w:color w:val="auto"/>
              </w:rPr>
            </w:pPr>
          </w:p>
        </w:tc>
        <w:tc>
          <w:tcPr>
            <w:tcW w:w="160" w:type="dxa"/>
            <w:vAlign w:val="bottom"/>
            <w:shd w:val="clear" w:color="auto" w:fill="3E8EDE"/>
          </w:tcPr>
          <w:p>
            <w:pPr>
              <w:spacing w:after="0"/>
              <w:rPr>
                <w:sz w:val="14"/>
                <w:szCs w:val="14"/>
                <w:color w:val="auto"/>
              </w:rPr>
            </w:pPr>
          </w:p>
        </w:tc>
        <w:tc>
          <w:tcPr>
            <w:tcW w:w="540" w:type="dxa"/>
            <w:vAlign w:val="bottom"/>
            <w:shd w:val="clear" w:color="auto" w:fill="3E8EDE"/>
          </w:tcPr>
          <w:p>
            <w:pPr>
              <w:spacing w:after="0"/>
              <w:rPr>
                <w:sz w:val="14"/>
                <w:szCs w:val="14"/>
                <w:color w:val="auto"/>
              </w:rPr>
            </w:pPr>
          </w:p>
        </w:tc>
        <w:tc>
          <w:tcPr>
            <w:tcW w:w="820" w:type="dxa"/>
            <w:vAlign w:val="bottom"/>
            <w:shd w:val="clear" w:color="auto" w:fill="3E8EDE"/>
          </w:tcPr>
          <w:p>
            <w:pPr>
              <w:spacing w:after="0"/>
              <w:rPr>
                <w:sz w:val="14"/>
                <w:szCs w:val="14"/>
                <w:color w:val="auto"/>
              </w:rPr>
            </w:pPr>
          </w:p>
        </w:tc>
        <w:tc>
          <w:tcPr>
            <w:tcW w:w="620" w:type="dxa"/>
            <w:vAlign w:val="bottom"/>
            <w:shd w:val="clear" w:color="auto" w:fill="3E8EDE"/>
          </w:tcPr>
          <w:p>
            <w:pPr>
              <w:spacing w:after="0"/>
              <w:rPr>
                <w:sz w:val="14"/>
                <w:szCs w:val="14"/>
                <w:color w:val="auto"/>
              </w:rPr>
            </w:pPr>
          </w:p>
        </w:tc>
        <w:tc>
          <w:tcPr>
            <w:tcW w:w="820" w:type="dxa"/>
            <w:vAlign w:val="bottom"/>
            <w:shd w:val="clear" w:color="auto" w:fill="3E8EDE"/>
          </w:tcPr>
          <w:p>
            <w:pPr>
              <w:spacing w:after="0"/>
              <w:rPr>
                <w:sz w:val="14"/>
                <w:szCs w:val="14"/>
                <w:color w:val="auto"/>
              </w:rPr>
            </w:pPr>
          </w:p>
        </w:tc>
        <w:tc>
          <w:tcPr>
            <w:tcW w:w="1320" w:type="dxa"/>
            <w:vAlign w:val="bottom"/>
            <w:shd w:val="clear" w:color="auto" w:fill="3E8EDE"/>
          </w:tcPr>
          <w:p>
            <w:pPr>
              <w:spacing w:after="0"/>
              <w:rPr>
                <w:sz w:val="14"/>
                <w:szCs w:val="14"/>
                <w:color w:val="auto"/>
              </w:rPr>
            </w:pPr>
          </w:p>
        </w:tc>
        <w:tc>
          <w:tcPr>
            <w:tcW w:w="200" w:type="dxa"/>
            <w:vAlign w:val="bottom"/>
            <w:shd w:val="clear" w:color="auto" w:fill="3E8EDE"/>
          </w:tcPr>
          <w:p>
            <w:pPr>
              <w:spacing w:after="0"/>
              <w:rPr>
                <w:sz w:val="14"/>
                <w:szCs w:val="14"/>
                <w:color w:val="auto"/>
              </w:rPr>
            </w:pPr>
          </w:p>
        </w:tc>
        <w:tc>
          <w:tcPr>
            <w:tcW w:w="1520" w:type="dxa"/>
            <w:vAlign w:val="bottom"/>
            <w:gridSpan w:val="2"/>
            <w:shd w:val="clear" w:color="auto" w:fill="3E8EDE"/>
          </w:tcPr>
          <w:p>
            <w:pPr>
              <w:jc w:val="center"/>
              <w:ind w:left="24"/>
              <w:spacing w:after="0"/>
              <w:rPr>
                <w:sz w:val="20"/>
                <w:szCs w:val="20"/>
                <w:color w:val="auto"/>
              </w:rPr>
            </w:pPr>
            <w:r>
              <w:rPr>
                <w:rFonts w:ascii="Arial" w:cs="Arial" w:eastAsia="Arial" w:hAnsi="Arial"/>
                <w:sz w:val="14"/>
                <w:szCs w:val="14"/>
                <w:b w:val="1"/>
                <w:bCs w:val="1"/>
                <w:color w:val="FFFFFF"/>
                <w:w w:val="97"/>
              </w:rPr>
              <w:t>Change in</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540" w:type="dxa"/>
            <w:vAlign w:val="bottom"/>
            <w:shd w:val="clear" w:color="auto" w:fill="3E8EDE"/>
          </w:tcPr>
          <w:p>
            <w:pPr>
              <w:spacing w:after="0"/>
              <w:rPr>
                <w:sz w:val="13"/>
                <w:szCs w:val="13"/>
                <w:color w:val="auto"/>
              </w:rPr>
            </w:pPr>
          </w:p>
        </w:tc>
        <w:tc>
          <w:tcPr>
            <w:tcW w:w="820" w:type="dxa"/>
            <w:vAlign w:val="bottom"/>
            <w:shd w:val="clear" w:color="auto" w:fill="3E8EDE"/>
          </w:tcPr>
          <w:p>
            <w:pPr>
              <w:spacing w:after="0"/>
              <w:rPr>
                <w:sz w:val="13"/>
                <w:szCs w:val="13"/>
                <w:color w:val="auto"/>
              </w:rPr>
            </w:pPr>
          </w:p>
        </w:tc>
        <w:tc>
          <w:tcPr>
            <w:tcW w:w="620" w:type="dxa"/>
            <w:vAlign w:val="bottom"/>
            <w:shd w:val="clear" w:color="auto" w:fill="3E8EDE"/>
          </w:tcPr>
          <w:p>
            <w:pPr>
              <w:spacing w:after="0"/>
              <w:rPr>
                <w:sz w:val="13"/>
                <w:szCs w:val="13"/>
                <w:color w:val="auto"/>
              </w:rPr>
            </w:pPr>
          </w:p>
        </w:tc>
        <w:tc>
          <w:tcPr>
            <w:tcW w:w="820" w:type="dxa"/>
            <w:vAlign w:val="bottom"/>
            <w:shd w:val="clear" w:color="auto" w:fill="3E8EDE"/>
          </w:tcPr>
          <w:p>
            <w:pPr>
              <w:spacing w:after="0"/>
              <w:rPr>
                <w:sz w:val="13"/>
                <w:szCs w:val="13"/>
                <w:color w:val="auto"/>
              </w:rPr>
            </w:pPr>
          </w:p>
        </w:tc>
        <w:tc>
          <w:tcPr>
            <w:tcW w:w="1320" w:type="dxa"/>
            <w:vAlign w:val="bottom"/>
            <w:shd w:val="clear" w:color="auto" w:fill="3E8EDE"/>
          </w:tcPr>
          <w:p>
            <w:pPr>
              <w:spacing w:after="0"/>
              <w:rPr>
                <w:sz w:val="13"/>
                <w:szCs w:val="13"/>
                <w:color w:val="auto"/>
              </w:rPr>
            </w:pP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center"/>
              <w:ind w:left="24"/>
              <w:spacing w:after="0" w:line="155" w:lineRule="exact"/>
              <w:rPr>
                <w:sz w:val="20"/>
                <w:szCs w:val="20"/>
                <w:color w:val="auto"/>
              </w:rPr>
            </w:pPr>
            <w:r>
              <w:rPr>
                <w:rFonts w:ascii="Arial" w:cs="Arial" w:eastAsia="Arial" w:hAnsi="Arial"/>
                <w:sz w:val="14"/>
                <w:szCs w:val="14"/>
                <w:b w:val="1"/>
                <w:bCs w:val="1"/>
                <w:color w:val="FFFFFF"/>
                <w:w w:val="99"/>
              </w:rPr>
              <w:t>Control and</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60" w:type="dxa"/>
            <w:vAlign w:val="bottom"/>
            <w:gridSpan w:val="2"/>
            <w:shd w:val="clear" w:color="auto" w:fill="3E8EDE"/>
          </w:tcPr>
          <w:p>
            <w:pPr>
              <w:jc w:val="center"/>
              <w:ind w:right="54"/>
              <w:spacing w:after="0" w:line="155" w:lineRule="exact"/>
              <w:rPr>
                <w:sz w:val="20"/>
                <w:szCs w:val="20"/>
                <w:color w:val="auto"/>
              </w:rPr>
            </w:pPr>
            <w:r>
              <w:rPr>
                <w:rFonts w:ascii="Arial" w:cs="Arial" w:eastAsia="Arial" w:hAnsi="Arial"/>
                <w:sz w:val="14"/>
                <w:szCs w:val="14"/>
                <w:b w:val="1"/>
                <w:bCs w:val="1"/>
                <w:color w:val="FFFFFF"/>
                <w:w w:val="97"/>
              </w:rPr>
              <w:t>Termination by</w:t>
            </w:r>
          </w:p>
        </w:tc>
        <w:tc>
          <w:tcPr>
            <w:tcW w:w="14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rPr>
              <w:t>Change in</w:t>
            </w:r>
          </w:p>
        </w:tc>
        <w:tc>
          <w:tcPr>
            <w:tcW w:w="1520" w:type="dxa"/>
            <w:vAlign w:val="bottom"/>
            <w:gridSpan w:val="2"/>
            <w:shd w:val="clear" w:color="auto" w:fill="3E8EDE"/>
          </w:tcPr>
          <w:p>
            <w:pPr>
              <w:ind w:left="40"/>
              <w:spacing w:after="0" w:line="155" w:lineRule="exact"/>
              <w:rPr>
                <w:sz w:val="20"/>
                <w:szCs w:val="20"/>
                <w:color w:val="auto"/>
              </w:rPr>
            </w:pPr>
            <w:r>
              <w:rPr>
                <w:rFonts w:ascii="Arial" w:cs="Arial" w:eastAsia="Arial" w:hAnsi="Arial"/>
                <w:sz w:val="14"/>
                <w:szCs w:val="14"/>
                <w:b w:val="1"/>
                <w:bCs w:val="1"/>
                <w:color w:val="FFFFFF"/>
              </w:rPr>
              <w:t>   Change in Control</w:t>
            </w:r>
          </w:p>
        </w:tc>
        <w:tc>
          <w:tcPr>
            <w:tcW w:w="1520" w:type="dxa"/>
            <w:vAlign w:val="bottom"/>
            <w:gridSpan w:val="2"/>
            <w:shd w:val="clear" w:color="auto" w:fill="3E8EDE"/>
          </w:tcPr>
          <w:p>
            <w:pPr>
              <w:jc w:val="center"/>
              <w:ind w:left="24"/>
              <w:spacing w:after="0" w:line="155" w:lineRule="exact"/>
              <w:rPr>
                <w:sz w:val="20"/>
                <w:szCs w:val="20"/>
                <w:color w:val="auto"/>
              </w:rPr>
            </w:pPr>
            <w:r>
              <w:rPr>
                <w:rFonts w:ascii="Arial" w:cs="Arial" w:eastAsia="Arial" w:hAnsi="Arial"/>
                <w:sz w:val="14"/>
                <w:szCs w:val="14"/>
                <w:b w:val="1"/>
                <w:bCs w:val="1"/>
                <w:color w:val="FFFFFF"/>
                <w:w w:val="97"/>
              </w:rPr>
              <w:t>Termination by</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60" w:type="dxa"/>
            <w:vAlign w:val="bottom"/>
            <w:gridSpan w:val="2"/>
            <w:shd w:val="clear" w:color="auto" w:fill="3E8EDE"/>
          </w:tcPr>
          <w:p>
            <w:pPr>
              <w:jc w:val="center"/>
              <w:ind w:right="34"/>
              <w:spacing w:after="0" w:line="155" w:lineRule="exact"/>
              <w:rPr>
                <w:sz w:val="20"/>
                <w:szCs w:val="20"/>
                <w:color w:val="auto"/>
              </w:rPr>
            </w:pPr>
            <w:r>
              <w:rPr>
                <w:rFonts w:ascii="Arial" w:cs="Arial" w:eastAsia="Arial" w:hAnsi="Arial"/>
                <w:sz w:val="14"/>
                <w:szCs w:val="14"/>
                <w:b w:val="1"/>
                <w:bCs w:val="1"/>
                <w:color w:val="FFFFFF"/>
                <w:w w:val="99"/>
              </w:rPr>
              <w:t>the Company</w:t>
            </w:r>
          </w:p>
        </w:tc>
        <w:tc>
          <w:tcPr>
            <w:tcW w:w="14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Control without</w:t>
            </w:r>
          </w:p>
        </w:tc>
        <w:tc>
          <w:tcPr>
            <w:tcW w:w="1320" w:type="dxa"/>
            <w:vAlign w:val="bottom"/>
            <w:shd w:val="clear" w:color="auto" w:fill="3E8EDE"/>
          </w:tcPr>
          <w:p>
            <w:pPr>
              <w:jc w:val="center"/>
              <w:ind w:left="162"/>
              <w:spacing w:after="0" w:line="155" w:lineRule="exact"/>
              <w:rPr>
                <w:sz w:val="20"/>
                <w:szCs w:val="20"/>
                <w:color w:val="auto"/>
              </w:rPr>
            </w:pPr>
            <w:r>
              <w:rPr>
                <w:rFonts w:ascii="Arial" w:cs="Arial" w:eastAsia="Arial" w:hAnsi="Arial"/>
                <w:sz w:val="14"/>
                <w:szCs w:val="14"/>
                <w:b w:val="1"/>
                <w:bCs w:val="1"/>
                <w:color w:val="FFFFFF"/>
                <w:w w:val="96"/>
              </w:rPr>
              <w:t>without</w:t>
            </w: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center"/>
              <w:ind w:left="24"/>
              <w:spacing w:after="0" w:line="155" w:lineRule="exact"/>
              <w:rPr>
                <w:sz w:val="20"/>
                <w:szCs w:val="20"/>
                <w:color w:val="auto"/>
              </w:rPr>
            </w:pPr>
            <w:r>
              <w:rPr>
                <w:rFonts w:ascii="Arial" w:cs="Arial" w:eastAsia="Arial" w:hAnsi="Arial"/>
                <w:sz w:val="14"/>
                <w:szCs w:val="14"/>
                <w:b w:val="1"/>
                <w:bCs w:val="1"/>
                <w:color w:val="FFFFFF"/>
                <w:w w:val="96"/>
              </w:rPr>
              <w:t>the Company</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ind w:left="80"/>
              <w:spacing w:after="0"/>
              <w:rPr>
                <w:sz w:val="20"/>
                <w:szCs w:val="20"/>
                <w:color w:val="auto"/>
              </w:rPr>
            </w:pPr>
            <w:r>
              <w:rPr>
                <w:rFonts w:ascii="Arial" w:cs="Arial" w:eastAsia="Arial" w:hAnsi="Arial"/>
                <w:sz w:val="8"/>
                <w:szCs w:val="8"/>
                <w:b w:val="1"/>
                <w:bCs w:val="1"/>
                <w:color w:val="FFFFFF"/>
                <w:w w:val="74"/>
              </w:rPr>
              <w:t> </w:t>
            </w:r>
          </w:p>
        </w:tc>
        <w:tc>
          <w:tcPr>
            <w:tcW w:w="1360" w:type="dxa"/>
            <w:vAlign w:val="bottom"/>
            <w:gridSpan w:val="2"/>
            <w:shd w:val="clear" w:color="auto" w:fill="3E8EDE"/>
          </w:tcPr>
          <w:p>
            <w:pPr>
              <w:jc w:val="center"/>
              <w:ind w:right="34"/>
              <w:spacing w:after="0" w:line="155" w:lineRule="exact"/>
              <w:rPr>
                <w:sz w:val="20"/>
                <w:szCs w:val="20"/>
                <w:color w:val="auto"/>
              </w:rPr>
            </w:pPr>
            <w:r>
              <w:rPr>
                <w:rFonts w:ascii="Arial" w:cs="Arial" w:eastAsia="Arial" w:hAnsi="Arial"/>
                <w:sz w:val="14"/>
                <w:szCs w:val="14"/>
                <w:b w:val="1"/>
                <w:bCs w:val="1"/>
                <w:color w:val="FFFFFF"/>
                <w:w w:val="98"/>
              </w:rPr>
              <w:t>without Cause or</w:t>
            </w:r>
          </w:p>
        </w:tc>
        <w:tc>
          <w:tcPr>
            <w:tcW w:w="1440" w:type="dxa"/>
            <w:vAlign w:val="bottom"/>
            <w:gridSpan w:val="2"/>
            <w:shd w:val="clear" w:color="auto" w:fill="3E8EDE"/>
          </w:tcPr>
          <w:p>
            <w:pPr>
              <w:ind w:left="40"/>
              <w:spacing w:after="0" w:line="155" w:lineRule="exact"/>
              <w:rPr>
                <w:sz w:val="20"/>
                <w:szCs w:val="20"/>
                <w:color w:val="auto"/>
              </w:rPr>
            </w:pPr>
            <w:r>
              <w:rPr>
                <w:rFonts w:ascii="Arial" w:cs="Arial" w:eastAsia="Arial" w:hAnsi="Arial"/>
                <w:sz w:val="14"/>
                <w:szCs w:val="14"/>
                <w:b w:val="1"/>
                <w:bCs w:val="1"/>
                <w:color w:val="FFFFFF"/>
              </w:rPr>
              <w:t>   Termination and</w:t>
            </w:r>
          </w:p>
        </w:tc>
        <w:tc>
          <w:tcPr>
            <w:tcW w:w="1320" w:type="dxa"/>
            <w:vAlign w:val="bottom"/>
            <w:shd w:val="clear" w:color="auto" w:fill="3E8EDE"/>
          </w:tcPr>
          <w:p>
            <w:pPr>
              <w:jc w:val="center"/>
              <w:ind w:left="162"/>
              <w:spacing w:after="0" w:line="155" w:lineRule="exact"/>
              <w:rPr>
                <w:sz w:val="20"/>
                <w:szCs w:val="20"/>
                <w:color w:val="auto"/>
              </w:rPr>
            </w:pPr>
            <w:r>
              <w:rPr>
                <w:rFonts w:ascii="Arial" w:cs="Arial" w:eastAsia="Arial" w:hAnsi="Arial"/>
                <w:sz w:val="14"/>
                <w:szCs w:val="14"/>
                <w:b w:val="1"/>
                <w:bCs w:val="1"/>
                <w:color w:val="FFFFFF"/>
                <w:w w:val="98"/>
              </w:rPr>
              <w:t>Termination but</w:t>
            </w: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center"/>
              <w:ind w:left="24"/>
              <w:spacing w:after="0" w:line="155" w:lineRule="exact"/>
              <w:rPr>
                <w:sz w:val="20"/>
                <w:szCs w:val="20"/>
                <w:color w:val="auto"/>
              </w:rPr>
            </w:pPr>
            <w:r>
              <w:rPr>
                <w:rFonts w:ascii="Arial" w:cs="Arial" w:eastAsia="Arial" w:hAnsi="Arial"/>
                <w:sz w:val="14"/>
                <w:szCs w:val="14"/>
                <w:b w:val="1"/>
                <w:bCs w:val="1"/>
                <w:color w:val="FFFFFF"/>
                <w:w w:val="98"/>
              </w:rPr>
              <w:t>without Cause</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60" w:type="dxa"/>
            <w:vAlign w:val="bottom"/>
            <w:gridSpan w:val="2"/>
            <w:shd w:val="clear" w:color="auto" w:fill="3E8EDE"/>
          </w:tcPr>
          <w:p>
            <w:pPr>
              <w:jc w:val="center"/>
              <w:ind w:right="54"/>
              <w:spacing w:after="0" w:line="155" w:lineRule="exact"/>
              <w:rPr>
                <w:sz w:val="20"/>
                <w:szCs w:val="20"/>
                <w:color w:val="auto"/>
              </w:rPr>
            </w:pPr>
            <w:r>
              <w:rPr>
                <w:rFonts w:ascii="Arial" w:cs="Arial" w:eastAsia="Arial" w:hAnsi="Arial"/>
                <w:sz w:val="14"/>
                <w:szCs w:val="14"/>
                <w:b w:val="1"/>
                <w:bCs w:val="1"/>
                <w:color w:val="FFFFFF"/>
                <w:w w:val="97"/>
              </w:rPr>
              <w:t>Termination by</w:t>
            </w:r>
          </w:p>
        </w:tc>
        <w:tc>
          <w:tcPr>
            <w:tcW w:w="144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no Qualifying</w:t>
            </w:r>
          </w:p>
        </w:tc>
        <w:tc>
          <w:tcPr>
            <w:tcW w:w="1320" w:type="dxa"/>
            <w:vAlign w:val="bottom"/>
            <w:shd w:val="clear" w:color="auto" w:fill="3E8EDE"/>
          </w:tcPr>
          <w:p>
            <w:pPr>
              <w:jc w:val="center"/>
              <w:ind w:left="162"/>
              <w:spacing w:after="0" w:line="155" w:lineRule="exact"/>
              <w:rPr>
                <w:sz w:val="20"/>
                <w:szCs w:val="20"/>
                <w:color w:val="auto"/>
              </w:rPr>
            </w:pPr>
            <w:r>
              <w:rPr>
                <w:rFonts w:ascii="Arial" w:cs="Arial" w:eastAsia="Arial" w:hAnsi="Arial"/>
                <w:sz w:val="14"/>
                <w:szCs w:val="14"/>
                <w:b w:val="1"/>
                <w:bCs w:val="1"/>
                <w:color w:val="FFFFFF"/>
                <w:w w:val="99"/>
              </w:rPr>
              <w:t>with Qualifying</w:t>
            </w: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right"/>
              <w:ind w:right="54"/>
              <w:spacing w:after="0" w:line="155" w:lineRule="exact"/>
              <w:rPr>
                <w:sz w:val="20"/>
                <w:szCs w:val="20"/>
                <w:color w:val="auto"/>
              </w:rPr>
            </w:pPr>
            <w:r>
              <w:rPr>
                <w:rFonts w:ascii="Arial" w:cs="Arial" w:eastAsia="Arial" w:hAnsi="Arial"/>
                <w:sz w:val="14"/>
                <w:szCs w:val="14"/>
                <w:b w:val="1"/>
                <w:bCs w:val="1"/>
                <w:color w:val="FFFFFF"/>
                <w:w w:val="97"/>
              </w:rPr>
              <w:t>   or Termination by</w:t>
            </w:r>
          </w:p>
        </w:tc>
      </w:tr>
      <w:tr>
        <w:trPr>
          <w:trHeight w:val="152"/>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60" w:type="dxa"/>
            <w:vAlign w:val="bottom"/>
            <w:gridSpan w:val="2"/>
            <w:shd w:val="clear" w:color="auto" w:fill="3E8EDE"/>
          </w:tcPr>
          <w:p>
            <w:pPr>
              <w:jc w:val="center"/>
              <w:ind w:right="54"/>
              <w:spacing w:after="0" w:line="152" w:lineRule="exact"/>
              <w:rPr>
                <w:sz w:val="20"/>
                <w:szCs w:val="20"/>
                <w:color w:val="auto"/>
              </w:rPr>
            </w:pPr>
            <w:r>
              <w:rPr>
                <w:rFonts w:ascii="Arial" w:cs="Arial" w:eastAsia="Arial" w:hAnsi="Arial"/>
                <w:sz w:val="14"/>
                <w:szCs w:val="14"/>
                <w:b w:val="1"/>
                <w:bCs w:val="1"/>
                <w:color w:val="FFFFFF"/>
                <w:w w:val="98"/>
              </w:rPr>
              <w:t>the employee for</w:t>
            </w:r>
          </w:p>
        </w:tc>
        <w:tc>
          <w:tcPr>
            <w:tcW w:w="1440" w:type="dxa"/>
            <w:vAlign w:val="bottom"/>
            <w:gridSpan w:val="2"/>
            <w:shd w:val="clear" w:color="auto" w:fill="3E8EDE"/>
          </w:tcPr>
          <w:p>
            <w:pPr>
              <w:jc w:val="center"/>
              <w:spacing w:after="0" w:line="152" w:lineRule="exact"/>
              <w:rPr>
                <w:sz w:val="20"/>
                <w:szCs w:val="20"/>
                <w:color w:val="auto"/>
              </w:rPr>
            </w:pPr>
            <w:r>
              <w:rPr>
                <w:rFonts w:ascii="Arial" w:cs="Arial" w:eastAsia="Arial" w:hAnsi="Arial"/>
                <w:sz w:val="14"/>
                <w:szCs w:val="14"/>
                <w:b w:val="1"/>
                <w:bCs w:val="1"/>
                <w:color w:val="FFFFFF"/>
                <w:w w:val="98"/>
              </w:rPr>
              <w:t>Replacement</w:t>
            </w:r>
          </w:p>
        </w:tc>
        <w:tc>
          <w:tcPr>
            <w:tcW w:w="1320" w:type="dxa"/>
            <w:vAlign w:val="bottom"/>
            <w:shd w:val="clear" w:color="auto" w:fill="3E8EDE"/>
          </w:tcPr>
          <w:p>
            <w:pPr>
              <w:jc w:val="center"/>
              <w:ind w:left="182"/>
              <w:spacing w:after="0" w:line="152" w:lineRule="exact"/>
              <w:rPr>
                <w:sz w:val="20"/>
                <w:szCs w:val="20"/>
                <w:color w:val="auto"/>
              </w:rPr>
            </w:pPr>
            <w:r>
              <w:rPr>
                <w:rFonts w:ascii="Arial" w:cs="Arial" w:eastAsia="Arial" w:hAnsi="Arial"/>
                <w:sz w:val="14"/>
                <w:szCs w:val="14"/>
                <w:b w:val="1"/>
                <w:bCs w:val="1"/>
                <w:color w:val="FFFFFF"/>
                <w:w w:val="98"/>
              </w:rPr>
              <w:t>Replacement</w:t>
            </w: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center"/>
              <w:ind w:left="24"/>
              <w:spacing w:after="0" w:line="152" w:lineRule="exact"/>
              <w:rPr>
                <w:sz w:val="20"/>
                <w:szCs w:val="20"/>
                <w:color w:val="auto"/>
              </w:rPr>
            </w:pPr>
            <w:r>
              <w:rPr>
                <w:rFonts w:ascii="Arial" w:cs="Arial" w:eastAsia="Arial" w:hAnsi="Arial"/>
                <w:sz w:val="14"/>
                <w:szCs w:val="14"/>
                <w:b w:val="1"/>
                <w:bCs w:val="1"/>
                <w:color w:val="FFFFFF"/>
                <w:w w:val="98"/>
              </w:rPr>
              <w:t>the employee for</w:t>
            </w:r>
          </w:p>
        </w:tc>
      </w:tr>
      <w:tr>
        <w:trPr>
          <w:trHeight w:val="259"/>
        </w:trPr>
        <w:tc>
          <w:tcPr>
            <w:tcW w:w="4560" w:type="dxa"/>
            <w:vAlign w:val="bottom"/>
            <w:shd w:val="clear" w:color="auto" w:fill="3E8EDE"/>
          </w:tcPr>
          <w:p>
            <w:pPr>
              <w:spacing w:after="0"/>
              <w:rPr>
                <w:sz w:val="22"/>
                <w:szCs w:val="22"/>
                <w:color w:val="auto"/>
              </w:rPr>
            </w:pPr>
          </w:p>
        </w:tc>
        <w:tc>
          <w:tcPr>
            <w:tcW w:w="160" w:type="dxa"/>
            <w:vAlign w:val="bottom"/>
            <w:shd w:val="clear" w:color="auto" w:fill="3E8EDE"/>
          </w:tcPr>
          <w:p>
            <w:pPr>
              <w:spacing w:after="0"/>
              <w:rPr>
                <w:sz w:val="22"/>
                <w:szCs w:val="22"/>
                <w:color w:val="auto"/>
              </w:rPr>
            </w:pPr>
          </w:p>
        </w:tc>
        <w:tc>
          <w:tcPr>
            <w:tcW w:w="1360" w:type="dxa"/>
            <w:vAlign w:val="bottom"/>
            <w:gridSpan w:val="2"/>
            <w:shd w:val="clear" w:color="auto" w:fill="3E8EDE"/>
          </w:tcPr>
          <w:p>
            <w:pPr>
              <w:jc w:val="center"/>
              <w:ind w:right="54"/>
              <w:spacing w:after="0"/>
              <w:rPr>
                <w:sz w:val="20"/>
                <w:szCs w:val="20"/>
                <w:color w:val="auto"/>
              </w:rPr>
            </w:pPr>
            <w:r>
              <w:rPr>
                <w:rFonts w:ascii="Arial" w:cs="Arial" w:eastAsia="Arial" w:hAnsi="Arial"/>
                <w:sz w:val="14"/>
                <w:szCs w:val="14"/>
                <w:b w:val="1"/>
                <w:bCs w:val="1"/>
                <w:color w:val="FFFFFF"/>
                <w:w w:val="95"/>
              </w:rPr>
              <w:t>Good Reason</w:t>
            </w:r>
            <w:r>
              <w:rPr>
                <w:rFonts w:ascii="Arial" w:cs="Arial" w:eastAsia="Arial" w:hAnsi="Arial"/>
                <w:sz w:val="20"/>
                <w:szCs w:val="20"/>
                <w:b w:val="1"/>
                <w:bCs w:val="1"/>
                <w:color w:val="FFFFFF"/>
                <w:w w:val="95"/>
                <w:vertAlign w:val="superscript"/>
              </w:rPr>
              <w:t>(2)</w:t>
            </w:r>
          </w:p>
        </w:tc>
        <w:tc>
          <w:tcPr>
            <w:tcW w:w="1440" w:type="dxa"/>
            <w:vAlign w:val="bottom"/>
            <w:gridSpan w:val="2"/>
            <w:shd w:val="clear" w:color="auto" w:fill="3E8EDE"/>
          </w:tcPr>
          <w:p>
            <w:pPr>
              <w:ind w:left="500"/>
              <w:spacing w:after="0"/>
              <w:rPr>
                <w:sz w:val="20"/>
                <w:szCs w:val="20"/>
                <w:color w:val="auto"/>
              </w:rPr>
            </w:pPr>
            <w:r>
              <w:rPr>
                <w:rFonts w:ascii="Arial" w:cs="Arial" w:eastAsia="Arial" w:hAnsi="Arial"/>
                <w:sz w:val="14"/>
                <w:szCs w:val="14"/>
                <w:b w:val="1"/>
                <w:bCs w:val="1"/>
                <w:color w:val="FFFFFF"/>
              </w:rPr>
              <w:t>Award</w:t>
            </w:r>
          </w:p>
        </w:tc>
        <w:tc>
          <w:tcPr>
            <w:tcW w:w="1320" w:type="dxa"/>
            <w:vAlign w:val="bottom"/>
            <w:shd w:val="clear" w:color="auto" w:fill="3E8EDE"/>
          </w:tcPr>
          <w:p>
            <w:pPr>
              <w:jc w:val="center"/>
              <w:ind w:left="182"/>
              <w:spacing w:after="0"/>
              <w:rPr>
                <w:sz w:val="20"/>
                <w:szCs w:val="20"/>
                <w:color w:val="auto"/>
              </w:rPr>
            </w:pPr>
            <w:r>
              <w:rPr>
                <w:rFonts w:ascii="Arial" w:cs="Arial" w:eastAsia="Arial" w:hAnsi="Arial"/>
                <w:sz w:val="14"/>
                <w:szCs w:val="14"/>
                <w:b w:val="1"/>
                <w:bCs w:val="1"/>
                <w:color w:val="FFFFFF"/>
                <w:w w:val="98"/>
              </w:rPr>
              <w:t>Award</w:t>
            </w:r>
          </w:p>
        </w:tc>
        <w:tc>
          <w:tcPr>
            <w:tcW w:w="200" w:type="dxa"/>
            <w:vAlign w:val="bottom"/>
            <w:shd w:val="clear" w:color="auto" w:fill="3E8EDE"/>
          </w:tcPr>
          <w:p>
            <w:pPr>
              <w:spacing w:after="0"/>
              <w:rPr>
                <w:sz w:val="22"/>
                <w:szCs w:val="22"/>
                <w:color w:val="auto"/>
              </w:rPr>
            </w:pPr>
          </w:p>
        </w:tc>
        <w:tc>
          <w:tcPr>
            <w:tcW w:w="1520" w:type="dxa"/>
            <w:vAlign w:val="bottom"/>
            <w:gridSpan w:val="2"/>
            <w:shd w:val="clear" w:color="auto" w:fill="3E8EDE"/>
          </w:tcPr>
          <w:p>
            <w:pPr>
              <w:jc w:val="center"/>
              <w:ind w:left="24"/>
              <w:spacing w:after="0"/>
              <w:rPr>
                <w:sz w:val="20"/>
                <w:szCs w:val="20"/>
                <w:color w:val="auto"/>
              </w:rPr>
            </w:pPr>
            <w:r>
              <w:rPr>
                <w:rFonts w:ascii="Arial" w:cs="Arial" w:eastAsia="Arial" w:hAnsi="Arial"/>
                <w:sz w:val="14"/>
                <w:szCs w:val="14"/>
                <w:b w:val="1"/>
                <w:bCs w:val="1"/>
                <w:color w:val="FFFFFF"/>
                <w:w w:val="95"/>
              </w:rPr>
              <w:t>Good Reason</w:t>
            </w:r>
            <w:r>
              <w:rPr>
                <w:rFonts w:ascii="Arial" w:cs="Arial" w:eastAsia="Arial" w:hAnsi="Arial"/>
                <w:sz w:val="20"/>
                <w:szCs w:val="20"/>
                <w:b w:val="1"/>
                <w:bCs w:val="1"/>
                <w:color w:val="FFFFFF"/>
                <w:w w:val="95"/>
                <w:vertAlign w:val="superscript"/>
              </w:rPr>
              <w:t>(4)</w:t>
            </w:r>
          </w:p>
        </w:tc>
      </w:tr>
      <w:tr>
        <w:trPr>
          <w:trHeight w:val="272"/>
        </w:trPr>
        <w:tc>
          <w:tcPr>
            <w:tcW w:w="4560" w:type="dxa"/>
            <w:vAlign w:val="bottom"/>
            <w:shd w:val="clear" w:color="auto" w:fill="E2EEFA"/>
          </w:tcPr>
          <w:p>
            <w:pPr>
              <w:ind w:left="60"/>
              <w:spacing w:after="0"/>
              <w:rPr>
                <w:sz w:val="20"/>
                <w:szCs w:val="20"/>
                <w:color w:val="auto"/>
              </w:rPr>
            </w:pPr>
            <w:r>
              <w:rPr>
                <w:rFonts w:ascii="Arial" w:cs="Arial" w:eastAsia="Arial" w:hAnsi="Arial"/>
                <w:sz w:val="17"/>
                <w:szCs w:val="17"/>
                <w:color w:val="auto"/>
              </w:rPr>
              <w:t>Severance Payment</w:t>
            </w:r>
          </w:p>
        </w:tc>
        <w:tc>
          <w:tcPr>
            <w:tcW w:w="160" w:type="dxa"/>
            <w:vAlign w:val="bottom"/>
            <w:shd w:val="clear" w:color="auto" w:fill="E2EEFA"/>
          </w:tcPr>
          <w:p>
            <w:pPr>
              <w:spacing w:after="0"/>
              <w:rPr>
                <w:sz w:val="23"/>
                <w:szCs w:val="23"/>
                <w:color w:val="auto"/>
              </w:rPr>
            </w:pPr>
          </w:p>
        </w:tc>
        <w:tc>
          <w:tcPr>
            <w:tcW w:w="5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540,750</w:t>
            </w:r>
          </w:p>
        </w:tc>
        <w:tc>
          <w:tcPr>
            <w:tcW w:w="620" w:type="dxa"/>
            <w:vAlign w:val="bottom"/>
            <w:shd w:val="clear" w:color="auto" w:fill="E2EEFA"/>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1320" w:type="dxa"/>
            <w:vAlign w:val="bottom"/>
            <w:shd w:val="clear" w:color="auto" w:fill="E2EEFA"/>
          </w:tcPr>
          <w:p>
            <w:pPr>
              <w:ind w:left="540"/>
              <w:spacing w:after="0"/>
              <w:rPr>
                <w:sz w:val="20"/>
                <w:szCs w:val="20"/>
                <w:color w:val="auto"/>
              </w:rPr>
            </w:pPr>
            <w:r>
              <w:rPr>
                <w:rFonts w:ascii="Arial" w:cs="Arial" w:eastAsia="Arial" w:hAnsi="Arial"/>
                <w:sz w:val="17"/>
                <w:szCs w:val="17"/>
                <w:color w:val="auto"/>
              </w:rPr>
              <w:t xml:space="preserve">$          </w:t>
            </w:r>
          </w:p>
        </w:tc>
        <w:tc>
          <w:tcPr>
            <w:tcW w:w="2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7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1,081,500</w:t>
            </w:r>
          </w:p>
        </w:tc>
      </w:tr>
      <w:tr>
        <w:trPr>
          <w:trHeight w:val="272"/>
        </w:trPr>
        <w:tc>
          <w:tcPr>
            <w:tcW w:w="4720" w:type="dxa"/>
            <w:vAlign w:val="bottom"/>
            <w:gridSpan w:val="2"/>
          </w:tcPr>
          <w:p>
            <w:pPr>
              <w:ind w:left="60"/>
              <w:spacing w:after="0" w:line="272" w:lineRule="exact"/>
              <w:rPr>
                <w:sz w:val="20"/>
                <w:szCs w:val="20"/>
                <w:color w:val="auto"/>
              </w:rPr>
            </w:pPr>
            <w:r>
              <w:rPr>
                <w:rFonts w:ascii="Arial" w:cs="Arial" w:eastAsia="Arial" w:hAnsi="Arial"/>
                <w:sz w:val="17"/>
                <w:szCs w:val="17"/>
                <w:color w:val="auto"/>
              </w:rPr>
              <w:t>Stock Options</w:t>
            </w:r>
            <w:r>
              <w:rPr>
                <w:rFonts w:ascii="Arial" w:cs="Arial" w:eastAsia="Arial" w:hAnsi="Arial"/>
                <w:sz w:val="25"/>
                <w:szCs w:val="25"/>
                <w:color w:val="auto"/>
                <w:vertAlign w:val="superscript"/>
              </w:rPr>
              <w:t>(3)</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w:t>
            </w:r>
          </w:p>
        </w:tc>
        <w:tc>
          <w:tcPr>
            <w:tcW w:w="620" w:type="dxa"/>
            <w:vAlign w:val="bottom"/>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8,786</w:t>
            </w:r>
          </w:p>
        </w:tc>
        <w:tc>
          <w:tcPr>
            <w:tcW w:w="1320" w:type="dxa"/>
            <w:vAlign w:val="bottom"/>
          </w:tcPr>
          <w:p>
            <w:pPr>
              <w:ind w:left="54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8,786</w:t>
            </w:r>
          </w:p>
        </w:tc>
      </w:tr>
      <w:tr>
        <w:trPr>
          <w:trHeight w:val="272"/>
        </w:trPr>
        <w:tc>
          <w:tcPr>
            <w:tcW w:w="4560" w:type="dxa"/>
            <w:vAlign w:val="bottom"/>
            <w:shd w:val="clear" w:color="auto" w:fill="E2EEFA"/>
          </w:tcPr>
          <w:p>
            <w:pPr>
              <w:ind w:left="60"/>
              <w:spacing w:after="0" w:line="272" w:lineRule="exact"/>
              <w:rPr>
                <w:sz w:val="20"/>
                <w:szCs w:val="20"/>
                <w:color w:val="auto"/>
              </w:rPr>
            </w:pPr>
            <w:r>
              <w:rPr>
                <w:rFonts w:ascii="Arial" w:cs="Arial" w:eastAsia="Arial" w:hAnsi="Arial"/>
                <w:sz w:val="17"/>
                <w:szCs w:val="17"/>
                <w:color w:val="auto"/>
              </w:rPr>
              <w:t>Restricted Stock</w:t>
            </w:r>
            <w:r>
              <w:rPr>
                <w:rFonts w:ascii="Arial" w:cs="Arial" w:eastAsia="Arial" w:hAnsi="Arial"/>
                <w:sz w:val="25"/>
                <w:szCs w:val="25"/>
                <w:color w:val="auto"/>
                <w:vertAlign w:val="superscript"/>
              </w:rPr>
              <w:t>(3)</w:t>
            </w:r>
          </w:p>
        </w:tc>
        <w:tc>
          <w:tcPr>
            <w:tcW w:w="160" w:type="dxa"/>
            <w:vAlign w:val="bottom"/>
            <w:shd w:val="clear" w:color="auto" w:fill="E2EEFA"/>
          </w:tcPr>
          <w:p>
            <w:pPr>
              <w:spacing w:after="0"/>
              <w:rPr>
                <w:sz w:val="23"/>
                <w:szCs w:val="23"/>
                <w:color w:val="auto"/>
              </w:rPr>
            </w:pPr>
          </w:p>
        </w:tc>
        <w:tc>
          <w:tcPr>
            <w:tcW w:w="54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620" w:type="dxa"/>
            <w:vAlign w:val="bottom"/>
            <w:shd w:val="clear" w:color="auto" w:fill="E2EEFA"/>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2,241,816</w:t>
            </w:r>
          </w:p>
        </w:tc>
        <w:tc>
          <w:tcPr>
            <w:tcW w:w="1320" w:type="dxa"/>
            <w:vAlign w:val="bottom"/>
            <w:shd w:val="clear" w:color="auto" w:fill="E2EEFA"/>
          </w:tcPr>
          <w:p>
            <w:pPr>
              <w:ind w:left="540"/>
              <w:spacing w:after="0"/>
              <w:rPr>
                <w:sz w:val="20"/>
                <w:szCs w:val="20"/>
                <w:color w:val="auto"/>
              </w:rPr>
            </w:pPr>
            <w:r>
              <w:rPr>
                <w:rFonts w:ascii="Arial" w:cs="Arial" w:eastAsia="Arial" w:hAnsi="Arial"/>
                <w:sz w:val="17"/>
                <w:szCs w:val="17"/>
                <w:color w:val="auto"/>
              </w:rPr>
              <w:t>$</w:t>
            </w:r>
          </w:p>
        </w:tc>
        <w:tc>
          <w:tcPr>
            <w:tcW w:w="2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7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2,241,816</w:t>
            </w:r>
          </w:p>
        </w:tc>
      </w:tr>
      <w:tr>
        <w:trPr>
          <w:trHeight w:val="267"/>
        </w:trPr>
        <w:tc>
          <w:tcPr>
            <w:tcW w:w="4720" w:type="dxa"/>
            <w:vAlign w:val="bottom"/>
            <w:gridSpan w:val="2"/>
          </w:tcPr>
          <w:p>
            <w:pPr>
              <w:ind w:left="60"/>
              <w:spacing w:after="0"/>
              <w:rPr>
                <w:sz w:val="20"/>
                <w:szCs w:val="20"/>
                <w:color w:val="auto"/>
              </w:rPr>
            </w:pPr>
            <w:r>
              <w:rPr>
                <w:rFonts w:ascii="Arial" w:cs="Arial" w:eastAsia="Arial" w:hAnsi="Arial"/>
                <w:sz w:val="17"/>
                <w:szCs w:val="17"/>
                <w:color w:val="auto"/>
              </w:rPr>
              <w:t>Pro-Rata Bonus Payment</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473,535</w:t>
            </w:r>
          </w:p>
        </w:tc>
        <w:tc>
          <w:tcPr>
            <w:tcW w:w="620" w:type="dxa"/>
            <w:vAlign w:val="bottom"/>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w:t>
            </w:r>
          </w:p>
        </w:tc>
        <w:tc>
          <w:tcPr>
            <w:tcW w:w="1320" w:type="dxa"/>
            <w:vAlign w:val="bottom"/>
          </w:tcPr>
          <w:p>
            <w:pPr>
              <w:ind w:left="54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473,535</w:t>
            </w:r>
          </w:p>
        </w:tc>
      </w:tr>
      <w:tr>
        <w:trPr>
          <w:trHeight w:val="272"/>
        </w:trPr>
        <w:tc>
          <w:tcPr>
            <w:tcW w:w="4560" w:type="dxa"/>
            <w:vAlign w:val="bottom"/>
            <w:tcBorders>
              <w:bottom w:val="single" w:sz="8" w:color="3E8EDE"/>
            </w:tcBorders>
            <w:shd w:val="clear" w:color="auto" w:fill="E2EEFA"/>
          </w:tcPr>
          <w:p>
            <w:pPr>
              <w:ind w:left="60"/>
              <w:spacing w:after="0"/>
              <w:rPr>
                <w:sz w:val="20"/>
                <w:szCs w:val="20"/>
                <w:color w:val="auto"/>
              </w:rPr>
            </w:pPr>
            <w:r>
              <w:rPr>
                <w:rFonts w:ascii="Arial" w:cs="Arial" w:eastAsia="Arial" w:hAnsi="Arial"/>
                <w:sz w:val="17"/>
                <w:szCs w:val="17"/>
                <w:color w:val="auto"/>
              </w:rPr>
              <w:t>Medical and Dental Benefits</w:t>
            </w:r>
          </w:p>
        </w:tc>
        <w:tc>
          <w:tcPr>
            <w:tcW w:w="160" w:type="dxa"/>
            <w:vAlign w:val="bottom"/>
            <w:tcBorders>
              <w:bottom w:val="single" w:sz="8" w:color="3E8EDE"/>
            </w:tcBorders>
            <w:shd w:val="clear" w:color="auto" w:fill="E2EEFA"/>
          </w:tcPr>
          <w:p>
            <w:pPr>
              <w:spacing w:after="0"/>
              <w:rPr>
                <w:sz w:val="23"/>
                <w:szCs w:val="23"/>
                <w:color w:val="auto"/>
              </w:rPr>
            </w:pPr>
          </w:p>
        </w:tc>
        <w:tc>
          <w:tcPr>
            <w:tcW w:w="54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31,707</w:t>
            </w:r>
          </w:p>
        </w:tc>
        <w:tc>
          <w:tcPr>
            <w:tcW w:w="620" w:type="dxa"/>
            <w:vAlign w:val="bottom"/>
            <w:tcBorders>
              <w:bottom w:val="single" w:sz="8" w:color="3E8EDE"/>
            </w:tcBorders>
            <w:shd w:val="clear" w:color="auto" w:fill="E2EEFA"/>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1320" w:type="dxa"/>
            <w:vAlign w:val="bottom"/>
            <w:tcBorders>
              <w:bottom w:val="single" w:sz="8" w:color="3E8EDE"/>
            </w:tcBorders>
            <w:shd w:val="clear" w:color="auto" w:fill="E2EEFA"/>
          </w:tcPr>
          <w:p>
            <w:pPr>
              <w:ind w:left="5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7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31,707</w:t>
            </w:r>
          </w:p>
        </w:tc>
      </w:tr>
      <w:tr>
        <w:trPr>
          <w:trHeight w:val="257"/>
        </w:trPr>
        <w:tc>
          <w:tcPr>
            <w:tcW w:w="4720" w:type="dxa"/>
            <w:vAlign w:val="bottom"/>
            <w:tcBorders>
              <w:bottom w:val="single" w:sz="8" w:color="3E8EDE"/>
            </w:tcBorders>
            <w:gridSpan w:val="2"/>
          </w:tcPr>
          <w:p>
            <w:pPr>
              <w:ind w:left="60"/>
              <w:spacing w:after="0" w:line="257" w:lineRule="exact"/>
              <w:rPr>
                <w:sz w:val="20"/>
                <w:szCs w:val="20"/>
                <w:color w:val="auto"/>
              </w:rPr>
            </w:pPr>
            <w:r>
              <w:rPr>
                <w:rFonts w:ascii="Arial" w:cs="Arial" w:eastAsia="Arial" w:hAnsi="Arial"/>
                <w:sz w:val="17"/>
                <w:szCs w:val="17"/>
                <w:color w:val="auto"/>
              </w:rPr>
              <w:t>Totals</w:t>
            </w:r>
            <w:r>
              <w:rPr>
                <w:rFonts w:ascii="Arial" w:cs="Arial" w:eastAsia="Arial" w:hAnsi="Arial"/>
                <w:sz w:val="25"/>
                <w:szCs w:val="25"/>
                <w:color w:val="auto"/>
                <w:vertAlign w:val="superscript"/>
              </w:rPr>
              <w:t>(5)</w:t>
            </w:r>
          </w:p>
        </w:tc>
        <w:tc>
          <w:tcPr>
            <w:tcW w:w="54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1,045,992</w:t>
            </w:r>
          </w:p>
        </w:tc>
        <w:tc>
          <w:tcPr>
            <w:tcW w:w="620" w:type="dxa"/>
            <w:vAlign w:val="bottom"/>
            <w:tcBorders>
              <w:bottom w:val="single" w:sz="8" w:color="3E8EDE"/>
            </w:tcBorders>
          </w:tcPr>
          <w:p>
            <w:pPr>
              <w:ind w:left="52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2,250,602</w:t>
            </w:r>
          </w:p>
        </w:tc>
        <w:tc>
          <w:tcPr>
            <w:tcW w:w="1320" w:type="dxa"/>
            <w:vAlign w:val="bottom"/>
            <w:tcBorders>
              <w:bottom w:val="single" w:sz="8" w:color="3E8EDE"/>
            </w:tcBorders>
          </w:tcPr>
          <w:p>
            <w:pPr>
              <w:ind w:left="5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0</w:t>
            </w:r>
          </w:p>
        </w:tc>
        <w:tc>
          <w:tcPr>
            <w:tcW w:w="72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3,837,344</w:t>
            </w:r>
          </w:p>
        </w:tc>
      </w:tr>
    </w:tbl>
    <w:p>
      <w:pPr>
        <w:spacing w:after="0" w:line="100" w:lineRule="exact"/>
        <w:rPr>
          <w:sz w:val="20"/>
          <w:szCs w:val="20"/>
          <w:color w:val="auto"/>
        </w:rPr>
      </w:pPr>
    </w:p>
    <w:p>
      <w:pPr>
        <w:ind w:left="860" w:right="280" w:hanging="520"/>
        <w:spacing w:after="0" w:line="276" w:lineRule="auto"/>
        <w:tabs>
          <w:tab w:leader="none" w:pos="8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For purposes of this disclosure, the Change in Control date and all termination events are assumed to occur on March 31, 2026. The stock price used is the closing price of $221.13 on March 31, 2026, the assumed Termination and Change in Control date.</w:t>
      </w:r>
    </w:p>
    <w:p>
      <w:pPr>
        <w:spacing w:after="0" w:line="55" w:lineRule="exact"/>
        <w:rPr>
          <w:rFonts w:ascii="Arial" w:cs="Arial" w:eastAsia="Arial" w:hAnsi="Arial"/>
          <w:sz w:val="17"/>
          <w:szCs w:val="17"/>
          <w:color w:val="auto"/>
        </w:rPr>
      </w:pPr>
    </w:p>
    <w:p>
      <w:pPr>
        <w:ind w:left="860" w:hanging="520"/>
        <w:spacing w:after="0" w:line="246" w:lineRule="auto"/>
        <w:tabs>
          <w:tab w:leader="none" w:pos="8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Pursuant to the Senior Executive Severance Plan, in the event of a “qualifying termination” in circumstances not involving a Change in Control, Mr. Majors will be entitled to 12 months of severance payments based on his then current base salary, a pro-rata portion of his actual bonus, and 12 months of medical and dental benefits. A “qualifying termination” is any separation of service other than by the Company for Cause (as defined) or by executive without Good Reason (as defined). Good Reason includes death or Disability (as defined). Mr. Majors’ actual bonus for fiscal 2026 is $473,535. The proration is 100% because the assumed termination date is the fiscal year end.</w:t>
      </w:r>
    </w:p>
    <w:p>
      <w:pPr>
        <w:spacing w:after="0" w:line="79" w:lineRule="exact"/>
        <w:rPr>
          <w:rFonts w:ascii="Arial" w:cs="Arial" w:eastAsia="Arial" w:hAnsi="Arial"/>
          <w:sz w:val="17"/>
          <w:szCs w:val="17"/>
          <w:color w:val="auto"/>
        </w:rPr>
      </w:pPr>
    </w:p>
    <w:p>
      <w:pPr>
        <w:ind w:left="860" w:right="60" w:hanging="520"/>
        <w:spacing w:after="0" w:line="251" w:lineRule="auto"/>
        <w:tabs>
          <w:tab w:leader="none" w:pos="8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unvested outstanding stock options and restricted awards provide for double trigger vesting in Change in Control situations, meaning that if a change in control occurs and the employee receives a qualifying replacement award, there will be no accelerated vesting unless the employee’s employment terminates under specified circumstances. If the employee’s employment terminates on account of death, the employee also will be entitled to accelerated award vesting.</w:t>
      </w:r>
    </w:p>
    <w:p>
      <w:pPr>
        <w:spacing w:after="0" w:line="75" w:lineRule="exact"/>
        <w:rPr>
          <w:rFonts w:ascii="Arial" w:cs="Arial" w:eastAsia="Arial" w:hAnsi="Arial"/>
          <w:sz w:val="17"/>
          <w:szCs w:val="17"/>
          <w:color w:val="auto"/>
        </w:rPr>
      </w:pPr>
    </w:p>
    <w:p>
      <w:pPr>
        <w:ind w:left="860" w:right="20" w:hanging="520"/>
        <w:spacing w:after="0" w:line="246" w:lineRule="auto"/>
        <w:tabs>
          <w:tab w:leader="none" w:pos="8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Pursuant to the Senior Executive Severance Plan, in the event of a “qualifying termination” within one (1) year following a change in control, Mr. Majors will be entitled to 12 months of severance payments based on a multiple of two (2) times his then current base salary, a pro-rata portion of his actual bonus, and 12 months of medical and dental benefits. A “qualifying termination” is any separation from service other than by the Company for Cause (as defined) or by executive without Good Reason (as defined). Good Reason includes death or Disability (as defined). Mr. Majors’ actual bonus for fiscal 2026 is $473,535. The proration is 100% because the assumed termination date is the fiscal year end.</w:t>
      </w:r>
    </w:p>
    <w:p>
      <w:pPr>
        <w:spacing w:after="0" w:line="79" w:lineRule="exact"/>
        <w:rPr>
          <w:rFonts w:ascii="Arial" w:cs="Arial" w:eastAsia="Arial" w:hAnsi="Arial"/>
          <w:sz w:val="17"/>
          <w:szCs w:val="17"/>
          <w:color w:val="auto"/>
        </w:rPr>
      </w:pPr>
    </w:p>
    <w:p>
      <w:pPr>
        <w:ind w:left="860" w:right="100" w:hanging="520"/>
        <w:spacing w:after="0" w:line="276" w:lineRule="auto"/>
        <w:tabs>
          <w:tab w:leader="none" w:pos="8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Amounts payable to the executive in the event of a Change in Control may be subject to reduction due to the operation of Sections 280G and 4999 of the Internal Revenue Code as provided for under the Senior Executive Severance Plan.</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780" w:type="dxa"/>
            <w:vAlign w:val="bottom"/>
            <w:vMerge w:val="restart"/>
          </w:tcPr>
          <w:p>
            <w:pPr>
              <w:spacing w:after="0"/>
              <w:rPr>
                <w:sz w:val="20"/>
                <w:szCs w:val="20"/>
                <w:color w:val="auto"/>
              </w:rPr>
            </w:pPr>
            <w:r>
              <w:rPr>
                <w:rFonts w:ascii="Arial" w:cs="Arial" w:eastAsia="Arial" w:hAnsi="Arial"/>
                <w:sz w:val="17"/>
                <w:szCs w:val="17"/>
                <w:b w:val="1"/>
                <w:bCs w:val="1"/>
                <w:color w:val="auto"/>
              </w:rPr>
              <w:t> </w:t>
            </w:r>
          </w:p>
        </w:tc>
        <w:tc>
          <w:tcPr>
            <w:tcW w:w="9780" w:type="dxa"/>
            <w:vAlign w:val="bottom"/>
          </w:tcPr>
          <w:p>
            <w:pPr>
              <w:jc w:val="right"/>
              <w:spacing w:after="0"/>
              <w:rPr>
                <w:sz w:val="20"/>
                <w:szCs w:val="20"/>
                <w:color w:val="auto"/>
              </w:rPr>
            </w:pPr>
            <w:r>
              <w:rPr>
                <w:rFonts w:ascii="Arial" w:cs="Arial" w:eastAsia="Arial" w:hAnsi="Arial"/>
                <w:sz w:val="16"/>
                <w:szCs w:val="16"/>
                <w:b w:val="1"/>
                <w:bCs w:val="1"/>
                <w:color w:val="3E8EDE"/>
              </w:rPr>
              <w:t xml:space="preserve">Executive Compensation: </w:t>
            </w:r>
            <w:r>
              <w:rPr>
                <w:rFonts w:ascii="Arial" w:cs="Arial" w:eastAsia="Arial" w:hAnsi="Arial"/>
                <w:sz w:val="16"/>
                <w:szCs w:val="16"/>
                <w:b w:val="1"/>
                <w:bCs w:val="1"/>
                <w:color w:val="000000"/>
              </w:rPr>
              <w:t>Potential Payments to Named Executive Officers Upon Termination of Employment or Change in</w:t>
            </w:r>
          </w:p>
        </w:tc>
        <w:tc>
          <w:tcPr>
            <w:tcW w:w="0" w:type="dxa"/>
            <w:vAlign w:val="bottom"/>
          </w:tcPr>
          <w:p>
            <w:pPr>
              <w:spacing w:after="0"/>
              <w:rPr>
                <w:sz w:val="1"/>
                <w:szCs w:val="1"/>
                <w:color w:val="auto"/>
              </w:rPr>
            </w:pPr>
          </w:p>
        </w:tc>
      </w:tr>
      <w:tr>
        <w:trPr>
          <w:trHeight w:val="221"/>
        </w:trPr>
        <w:tc>
          <w:tcPr>
            <w:tcW w:w="780" w:type="dxa"/>
            <w:vAlign w:val="bottom"/>
            <w:vMerge w:val="continue"/>
          </w:tcPr>
          <w:p>
            <w:pPr>
              <w:spacing w:after="0"/>
              <w:rPr>
                <w:sz w:val="19"/>
                <w:szCs w:val="19"/>
                <w:color w:val="auto"/>
              </w:rPr>
            </w:pPr>
          </w:p>
        </w:tc>
        <w:tc>
          <w:tcPr>
            <w:tcW w:w="9780" w:type="dxa"/>
            <w:vAlign w:val="bottom"/>
          </w:tcPr>
          <w:p>
            <w:pPr>
              <w:jc w:val="right"/>
              <w:spacing w:after="0"/>
              <w:rPr>
                <w:sz w:val="20"/>
                <w:szCs w:val="20"/>
                <w:color w:val="auto"/>
              </w:rPr>
            </w:pPr>
            <w:r>
              <w:rPr>
                <w:rFonts w:ascii="Arial" w:cs="Arial" w:eastAsia="Arial" w:hAnsi="Arial"/>
                <w:sz w:val="16"/>
                <w:szCs w:val="16"/>
                <w:b w:val="1"/>
                <w:bCs w:val="1"/>
                <w:color w:val="auto"/>
              </w:rPr>
              <w:t>Control</w:t>
            </w:r>
          </w:p>
        </w:tc>
        <w:tc>
          <w:tcPr>
            <w:tcW w:w="0" w:type="dxa"/>
            <w:vAlign w:val="bottom"/>
          </w:tcPr>
          <w:p>
            <w:pPr>
              <w:spacing w:after="0"/>
              <w:rPr>
                <w:sz w:val="1"/>
                <w:szCs w:val="1"/>
                <w:color w:val="auto"/>
              </w:rPr>
            </w:pPr>
          </w:p>
        </w:tc>
      </w:tr>
      <w:tr>
        <w:trPr>
          <w:trHeight w:val="27"/>
        </w:trPr>
        <w:tc>
          <w:tcPr>
            <w:tcW w:w="780" w:type="dxa"/>
            <w:vAlign w:val="bottom"/>
            <w:tcBorders>
              <w:bottom w:val="single" w:sz="8" w:color="3E8EDE"/>
            </w:tcBorders>
          </w:tcPr>
          <w:p>
            <w:pPr>
              <w:spacing w:after="0"/>
              <w:rPr>
                <w:sz w:val="2"/>
                <w:szCs w:val="2"/>
                <w:color w:val="auto"/>
              </w:rPr>
            </w:pPr>
          </w:p>
        </w:tc>
        <w:tc>
          <w:tcPr>
            <w:tcW w:w="9780" w:type="dxa"/>
            <w:vAlign w:val="bottom"/>
            <w:tcBorders>
              <w:bottom w:val="single" w:sz="8" w:color="3E8ED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Mary Clare Fraser</w:t>
      </w:r>
      <w:r>
        <w:rPr>
          <w:rFonts w:ascii="Arial" w:cs="Arial" w:eastAsia="Arial" w:hAnsi="Arial"/>
          <w:sz w:val="36"/>
          <w:szCs w:val="36"/>
          <w:b w:val="1"/>
          <w:bCs w:val="1"/>
          <w:color w:val="auto"/>
          <w:vertAlign w:val="superscript"/>
        </w:rPr>
        <w:t>(1)</w:t>
      </w:r>
    </w:p>
    <w:p>
      <w:pPr>
        <w:spacing w:after="0" w:line="89" w:lineRule="exact"/>
        <w:rPr>
          <w:sz w:val="20"/>
          <w:szCs w:val="20"/>
          <w:color w:val="auto"/>
        </w:rPr>
      </w:pPr>
    </w:p>
    <w:p>
      <w:pPr>
        <w:ind w:left="340" w:right="620"/>
        <w:spacing w:after="0" w:line="239" w:lineRule="auto"/>
        <w:rPr>
          <w:sz w:val="20"/>
          <w:szCs w:val="20"/>
          <w:color w:val="auto"/>
        </w:rPr>
      </w:pPr>
      <w:r>
        <w:rPr>
          <w:rFonts w:ascii="Arial" w:cs="Arial" w:eastAsia="Arial" w:hAnsi="Arial"/>
          <w:sz w:val="19"/>
          <w:szCs w:val="19"/>
          <w:color w:val="auto"/>
        </w:rPr>
        <w:t>The table below describes those benefits to which Ms. Fraser would have been entitled under the Company’s Senior Executive Severance Plan and her equity awards under various scenarios, including change in control scenarios,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135890</wp:posOffset>
            </wp:positionV>
            <wp:extent cx="6710045" cy="8718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10045" cy="871855"/>
                    </a:xfrm>
                    <a:prstGeom prst="rect">
                      <a:avLst/>
                    </a:prstGeom>
                    <a:noFill/>
                  </pic:spPr>
                </pic:pic>
              </a:graphicData>
            </a:graphic>
          </wp:anchor>
        </w:drawing>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4560" w:type="dxa"/>
            <w:vAlign w:val="bottom"/>
            <w:shd w:val="clear" w:color="auto" w:fill="3E8EDE"/>
          </w:tcPr>
          <w:p>
            <w:pPr>
              <w:spacing w:after="0"/>
              <w:rPr>
                <w:sz w:val="14"/>
                <w:szCs w:val="14"/>
                <w:color w:val="auto"/>
              </w:rPr>
            </w:pPr>
          </w:p>
        </w:tc>
        <w:tc>
          <w:tcPr>
            <w:tcW w:w="160" w:type="dxa"/>
            <w:vAlign w:val="bottom"/>
            <w:shd w:val="clear" w:color="auto" w:fill="3E8EDE"/>
          </w:tcPr>
          <w:p>
            <w:pPr>
              <w:spacing w:after="0"/>
              <w:rPr>
                <w:sz w:val="14"/>
                <w:szCs w:val="14"/>
                <w:color w:val="auto"/>
              </w:rPr>
            </w:pPr>
          </w:p>
        </w:tc>
        <w:tc>
          <w:tcPr>
            <w:tcW w:w="560" w:type="dxa"/>
            <w:vAlign w:val="bottom"/>
            <w:shd w:val="clear" w:color="auto" w:fill="3E8EDE"/>
          </w:tcPr>
          <w:p>
            <w:pPr>
              <w:spacing w:after="0"/>
              <w:rPr>
                <w:sz w:val="14"/>
                <w:szCs w:val="14"/>
                <w:color w:val="auto"/>
              </w:rPr>
            </w:pPr>
          </w:p>
        </w:tc>
        <w:tc>
          <w:tcPr>
            <w:tcW w:w="740" w:type="dxa"/>
            <w:vAlign w:val="bottom"/>
            <w:shd w:val="clear" w:color="auto" w:fill="3E8EDE"/>
          </w:tcPr>
          <w:p>
            <w:pPr>
              <w:spacing w:after="0"/>
              <w:rPr>
                <w:sz w:val="14"/>
                <w:szCs w:val="14"/>
                <w:color w:val="auto"/>
              </w:rPr>
            </w:pPr>
          </w:p>
        </w:tc>
        <w:tc>
          <w:tcPr>
            <w:tcW w:w="680" w:type="dxa"/>
            <w:vAlign w:val="bottom"/>
            <w:shd w:val="clear" w:color="auto" w:fill="3E8EDE"/>
          </w:tcPr>
          <w:p>
            <w:pPr>
              <w:spacing w:after="0"/>
              <w:rPr>
                <w:sz w:val="14"/>
                <w:szCs w:val="14"/>
                <w:color w:val="auto"/>
              </w:rPr>
            </w:pPr>
          </w:p>
        </w:tc>
        <w:tc>
          <w:tcPr>
            <w:tcW w:w="820" w:type="dxa"/>
            <w:vAlign w:val="bottom"/>
            <w:shd w:val="clear" w:color="auto" w:fill="3E8EDE"/>
          </w:tcPr>
          <w:p>
            <w:pPr>
              <w:spacing w:after="0"/>
              <w:rPr>
                <w:sz w:val="14"/>
                <w:szCs w:val="14"/>
                <w:color w:val="auto"/>
              </w:rPr>
            </w:pPr>
          </w:p>
        </w:tc>
        <w:tc>
          <w:tcPr>
            <w:tcW w:w="1320" w:type="dxa"/>
            <w:vAlign w:val="bottom"/>
            <w:shd w:val="clear" w:color="auto" w:fill="3E8EDE"/>
          </w:tcPr>
          <w:p>
            <w:pPr>
              <w:spacing w:after="0"/>
              <w:rPr>
                <w:sz w:val="14"/>
                <w:szCs w:val="14"/>
                <w:color w:val="auto"/>
              </w:rPr>
            </w:pPr>
          </w:p>
        </w:tc>
        <w:tc>
          <w:tcPr>
            <w:tcW w:w="200" w:type="dxa"/>
            <w:vAlign w:val="bottom"/>
            <w:shd w:val="clear" w:color="auto" w:fill="3E8EDE"/>
          </w:tcPr>
          <w:p>
            <w:pPr>
              <w:spacing w:after="0"/>
              <w:rPr>
                <w:sz w:val="14"/>
                <w:szCs w:val="14"/>
                <w:color w:val="auto"/>
              </w:rPr>
            </w:pPr>
          </w:p>
        </w:tc>
        <w:tc>
          <w:tcPr>
            <w:tcW w:w="1520" w:type="dxa"/>
            <w:vAlign w:val="bottom"/>
            <w:gridSpan w:val="2"/>
            <w:shd w:val="clear" w:color="auto" w:fill="3E8EDE"/>
          </w:tcPr>
          <w:p>
            <w:pPr>
              <w:jc w:val="center"/>
              <w:ind w:left="24"/>
              <w:spacing w:after="0"/>
              <w:rPr>
                <w:sz w:val="20"/>
                <w:szCs w:val="20"/>
                <w:color w:val="auto"/>
              </w:rPr>
            </w:pPr>
            <w:r>
              <w:rPr>
                <w:rFonts w:ascii="Arial" w:cs="Arial" w:eastAsia="Arial" w:hAnsi="Arial"/>
                <w:sz w:val="14"/>
                <w:szCs w:val="14"/>
                <w:b w:val="1"/>
                <w:bCs w:val="1"/>
                <w:color w:val="FFFFFF"/>
                <w:w w:val="97"/>
              </w:rPr>
              <w:t>Change in</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560" w:type="dxa"/>
            <w:vAlign w:val="bottom"/>
            <w:shd w:val="clear" w:color="auto" w:fill="3E8EDE"/>
          </w:tcPr>
          <w:p>
            <w:pPr>
              <w:spacing w:after="0"/>
              <w:rPr>
                <w:sz w:val="13"/>
                <w:szCs w:val="13"/>
                <w:color w:val="auto"/>
              </w:rPr>
            </w:pPr>
          </w:p>
        </w:tc>
        <w:tc>
          <w:tcPr>
            <w:tcW w:w="740" w:type="dxa"/>
            <w:vAlign w:val="bottom"/>
            <w:shd w:val="clear" w:color="auto" w:fill="3E8EDE"/>
          </w:tcPr>
          <w:p>
            <w:pPr>
              <w:spacing w:after="0"/>
              <w:rPr>
                <w:sz w:val="13"/>
                <w:szCs w:val="13"/>
                <w:color w:val="auto"/>
              </w:rPr>
            </w:pPr>
          </w:p>
        </w:tc>
        <w:tc>
          <w:tcPr>
            <w:tcW w:w="680" w:type="dxa"/>
            <w:vAlign w:val="bottom"/>
            <w:shd w:val="clear" w:color="auto" w:fill="3E8EDE"/>
          </w:tcPr>
          <w:p>
            <w:pPr>
              <w:spacing w:after="0"/>
              <w:rPr>
                <w:sz w:val="13"/>
                <w:szCs w:val="13"/>
                <w:color w:val="auto"/>
              </w:rPr>
            </w:pPr>
          </w:p>
        </w:tc>
        <w:tc>
          <w:tcPr>
            <w:tcW w:w="820" w:type="dxa"/>
            <w:vAlign w:val="bottom"/>
            <w:shd w:val="clear" w:color="auto" w:fill="3E8EDE"/>
          </w:tcPr>
          <w:p>
            <w:pPr>
              <w:spacing w:after="0"/>
              <w:rPr>
                <w:sz w:val="13"/>
                <w:szCs w:val="13"/>
                <w:color w:val="auto"/>
              </w:rPr>
            </w:pPr>
          </w:p>
        </w:tc>
        <w:tc>
          <w:tcPr>
            <w:tcW w:w="1320" w:type="dxa"/>
            <w:vAlign w:val="bottom"/>
            <w:shd w:val="clear" w:color="auto" w:fill="3E8EDE"/>
          </w:tcPr>
          <w:p>
            <w:pPr>
              <w:spacing w:after="0"/>
              <w:rPr>
                <w:sz w:val="13"/>
                <w:szCs w:val="13"/>
                <w:color w:val="auto"/>
              </w:rPr>
            </w:pP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center"/>
              <w:ind w:left="24"/>
              <w:spacing w:after="0" w:line="155" w:lineRule="exact"/>
              <w:rPr>
                <w:sz w:val="20"/>
                <w:szCs w:val="20"/>
                <w:color w:val="auto"/>
              </w:rPr>
            </w:pPr>
            <w:r>
              <w:rPr>
                <w:rFonts w:ascii="Arial" w:cs="Arial" w:eastAsia="Arial" w:hAnsi="Arial"/>
                <w:sz w:val="14"/>
                <w:szCs w:val="14"/>
                <w:b w:val="1"/>
                <w:bCs w:val="1"/>
                <w:color w:val="FFFFFF"/>
                <w:w w:val="99"/>
              </w:rPr>
              <w:t>Control and</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0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7"/>
              </w:rPr>
              <w:t>Termination by</w:t>
            </w:r>
          </w:p>
        </w:tc>
        <w:tc>
          <w:tcPr>
            <w:tcW w:w="150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rPr>
              <w:t>Change in</w:t>
            </w:r>
          </w:p>
        </w:tc>
        <w:tc>
          <w:tcPr>
            <w:tcW w:w="1520" w:type="dxa"/>
            <w:vAlign w:val="bottom"/>
            <w:gridSpan w:val="2"/>
            <w:shd w:val="clear" w:color="auto" w:fill="3E8EDE"/>
          </w:tcPr>
          <w:p>
            <w:pPr>
              <w:ind w:left="40"/>
              <w:spacing w:after="0" w:line="155" w:lineRule="exact"/>
              <w:rPr>
                <w:sz w:val="20"/>
                <w:szCs w:val="20"/>
                <w:color w:val="auto"/>
              </w:rPr>
            </w:pPr>
            <w:r>
              <w:rPr>
                <w:rFonts w:ascii="Arial" w:cs="Arial" w:eastAsia="Arial" w:hAnsi="Arial"/>
                <w:sz w:val="14"/>
                <w:szCs w:val="14"/>
                <w:b w:val="1"/>
                <w:bCs w:val="1"/>
                <w:color w:val="FFFFFF"/>
              </w:rPr>
              <w:t>   Change in Control</w:t>
            </w:r>
          </w:p>
        </w:tc>
        <w:tc>
          <w:tcPr>
            <w:tcW w:w="1520" w:type="dxa"/>
            <w:vAlign w:val="bottom"/>
            <w:gridSpan w:val="2"/>
            <w:shd w:val="clear" w:color="auto" w:fill="3E8EDE"/>
          </w:tcPr>
          <w:p>
            <w:pPr>
              <w:jc w:val="center"/>
              <w:ind w:left="24"/>
              <w:spacing w:after="0" w:line="155" w:lineRule="exact"/>
              <w:rPr>
                <w:sz w:val="20"/>
                <w:szCs w:val="20"/>
                <w:color w:val="auto"/>
              </w:rPr>
            </w:pPr>
            <w:r>
              <w:rPr>
                <w:rFonts w:ascii="Arial" w:cs="Arial" w:eastAsia="Arial" w:hAnsi="Arial"/>
                <w:sz w:val="14"/>
                <w:szCs w:val="14"/>
                <w:b w:val="1"/>
                <w:bCs w:val="1"/>
                <w:color w:val="FFFFFF"/>
                <w:w w:val="97"/>
              </w:rPr>
              <w:t>Termination by</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0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9"/>
              </w:rPr>
              <w:t>the Company</w:t>
            </w:r>
          </w:p>
        </w:tc>
        <w:tc>
          <w:tcPr>
            <w:tcW w:w="150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Control without</w:t>
            </w:r>
          </w:p>
        </w:tc>
        <w:tc>
          <w:tcPr>
            <w:tcW w:w="1320" w:type="dxa"/>
            <w:vAlign w:val="bottom"/>
            <w:shd w:val="clear" w:color="auto" w:fill="3E8EDE"/>
          </w:tcPr>
          <w:p>
            <w:pPr>
              <w:jc w:val="center"/>
              <w:ind w:left="162"/>
              <w:spacing w:after="0" w:line="155" w:lineRule="exact"/>
              <w:rPr>
                <w:sz w:val="20"/>
                <w:szCs w:val="20"/>
                <w:color w:val="auto"/>
              </w:rPr>
            </w:pPr>
            <w:r>
              <w:rPr>
                <w:rFonts w:ascii="Arial" w:cs="Arial" w:eastAsia="Arial" w:hAnsi="Arial"/>
                <w:sz w:val="14"/>
                <w:szCs w:val="14"/>
                <w:b w:val="1"/>
                <w:bCs w:val="1"/>
                <w:color w:val="FFFFFF"/>
                <w:w w:val="96"/>
              </w:rPr>
              <w:t>without</w:t>
            </w: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center"/>
              <w:ind w:left="24"/>
              <w:spacing w:after="0" w:line="155" w:lineRule="exact"/>
              <w:rPr>
                <w:sz w:val="20"/>
                <w:szCs w:val="20"/>
                <w:color w:val="auto"/>
              </w:rPr>
            </w:pPr>
            <w:r>
              <w:rPr>
                <w:rFonts w:ascii="Arial" w:cs="Arial" w:eastAsia="Arial" w:hAnsi="Arial"/>
                <w:sz w:val="14"/>
                <w:szCs w:val="14"/>
                <w:b w:val="1"/>
                <w:bCs w:val="1"/>
                <w:color w:val="FFFFFF"/>
                <w:w w:val="96"/>
              </w:rPr>
              <w:t>the Company</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ind w:left="80"/>
              <w:spacing w:after="0"/>
              <w:rPr>
                <w:sz w:val="20"/>
                <w:szCs w:val="20"/>
                <w:color w:val="auto"/>
              </w:rPr>
            </w:pPr>
            <w:r>
              <w:rPr>
                <w:rFonts w:ascii="Arial" w:cs="Arial" w:eastAsia="Arial" w:hAnsi="Arial"/>
                <w:sz w:val="8"/>
                <w:szCs w:val="8"/>
                <w:b w:val="1"/>
                <w:bCs w:val="1"/>
                <w:color w:val="FFFFFF"/>
                <w:w w:val="74"/>
              </w:rPr>
              <w:t> </w:t>
            </w:r>
          </w:p>
        </w:tc>
        <w:tc>
          <w:tcPr>
            <w:tcW w:w="130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without Cause or</w:t>
            </w:r>
          </w:p>
        </w:tc>
        <w:tc>
          <w:tcPr>
            <w:tcW w:w="1500" w:type="dxa"/>
            <w:vAlign w:val="bottom"/>
            <w:gridSpan w:val="2"/>
            <w:shd w:val="clear" w:color="auto" w:fill="3E8EDE"/>
          </w:tcPr>
          <w:p>
            <w:pPr>
              <w:ind w:left="100"/>
              <w:spacing w:after="0" w:line="155" w:lineRule="exact"/>
              <w:rPr>
                <w:sz w:val="20"/>
                <w:szCs w:val="20"/>
                <w:color w:val="auto"/>
              </w:rPr>
            </w:pPr>
            <w:r>
              <w:rPr>
                <w:rFonts w:ascii="Arial" w:cs="Arial" w:eastAsia="Arial" w:hAnsi="Arial"/>
                <w:sz w:val="14"/>
                <w:szCs w:val="14"/>
                <w:b w:val="1"/>
                <w:bCs w:val="1"/>
                <w:color w:val="FFFFFF"/>
              </w:rPr>
              <w:t>   Termination and</w:t>
            </w:r>
          </w:p>
        </w:tc>
        <w:tc>
          <w:tcPr>
            <w:tcW w:w="1320" w:type="dxa"/>
            <w:vAlign w:val="bottom"/>
            <w:shd w:val="clear" w:color="auto" w:fill="3E8EDE"/>
          </w:tcPr>
          <w:p>
            <w:pPr>
              <w:jc w:val="center"/>
              <w:ind w:left="162"/>
              <w:spacing w:after="0" w:line="155" w:lineRule="exact"/>
              <w:rPr>
                <w:sz w:val="20"/>
                <w:szCs w:val="20"/>
                <w:color w:val="auto"/>
              </w:rPr>
            </w:pPr>
            <w:r>
              <w:rPr>
                <w:rFonts w:ascii="Arial" w:cs="Arial" w:eastAsia="Arial" w:hAnsi="Arial"/>
                <w:sz w:val="14"/>
                <w:szCs w:val="14"/>
                <w:b w:val="1"/>
                <w:bCs w:val="1"/>
                <w:color w:val="FFFFFF"/>
                <w:w w:val="98"/>
              </w:rPr>
              <w:t>Termination but</w:t>
            </w: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center"/>
              <w:ind w:left="24"/>
              <w:spacing w:after="0" w:line="155" w:lineRule="exact"/>
              <w:rPr>
                <w:sz w:val="20"/>
                <w:szCs w:val="20"/>
                <w:color w:val="auto"/>
              </w:rPr>
            </w:pPr>
            <w:r>
              <w:rPr>
                <w:rFonts w:ascii="Arial" w:cs="Arial" w:eastAsia="Arial" w:hAnsi="Arial"/>
                <w:sz w:val="14"/>
                <w:szCs w:val="14"/>
                <w:b w:val="1"/>
                <w:bCs w:val="1"/>
                <w:color w:val="FFFFFF"/>
                <w:w w:val="98"/>
              </w:rPr>
              <w:t>without Cause</w:t>
            </w:r>
          </w:p>
        </w:tc>
      </w:tr>
      <w:tr>
        <w:trPr>
          <w:trHeight w:val="155"/>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0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7"/>
              </w:rPr>
              <w:t>Termination by</w:t>
            </w:r>
          </w:p>
        </w:tc>
        <w:tc>
          <w:tcPr>
            <w:tcW w:w="1500" w:type="dxa"/>
            <w:vAlign w:val="bottom"/>
            <w:gridSpan w:val="2"/>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no Qualifying</w:t>
            </w:r>
          </w:p>
        </w:tc>
        <w:tc>
          <w:tcPr>
            <w:tcW w:w="1320" w:type="dxa"/>
            <w:vAlign w:val="bottom"/>
            <w:shd w:val="clear" w:color="auto" w:fill="3E8EDE"/>
          </w:tcPr>
          <w:p>
            <w:pPr>
              <w:jc w:val="center"/>
              <w:ind w:left="162"/>
              <w:spacing w:after="0" w:line="155" w:lineRule="exact"/>
              <w:rPr>
                <w:sz w:val="20"/>
                <w:szCs w:val="20"/>
                <w:color w:val="auto"/>
              </w:rPr>
            </w:pPr>
            <w:r>
              <w:rPr>
                <w:rFonts w:ascii="Arial" w:cs="Arial" w:eastAsia="Arial" w:hAnsi="Arial"/>
                <w:sz w:val="14"/>
                <w:szCs w:val="14"/>
                <w:b w:val="1"/>
                <w:bCs w:val="1"/>
                <w:color w:val="FFFFFF"/>
                <w:w w:val="99"/>
              </w:rPr>
              <w:t>with Qualifying</w:t>
            </w: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right"/>
              <w:ind w:right="54"/>
              <w:spacing w:after="0" w:line="155" w:lineRule="exact"/>
              <w:rPr>
                <w:sz w:val="20"/>
                <w:szCs w:val="20"/>
                <w:color w:val="auto"/>
              </w:rPr>
            </w:pPr>
            <w:r>
              <w:rPr>
                <w:rFonts w:ascii="Arial" w:cs="Arial" w:eastAsia="Arial" w:hAnsi="Arial"/>
                <w:sz w:val="14"/>
                <w:szCs w:val="14"/>
                <w:b w:val="1"/>
                <w:bCs w:val="1"/>
                <w:color w:val="FFFFFF"/>
                <w:w w:val="97"/>
              </w:rPr>
              <w:t>   or Termination by</w:t>
            </w:r>
          </w:p>
        </w:tc>
      </w:tr>
      <w:tr>
        <w:trPr>
          <w:trHeight w:val="152"/>
        </w:trPr>
        <w:tc>
          <w:tcPr>
            <w:tcW w:w="4560" w:type="dxa"/>
            <w:vAlign w:val="bottom"/>
            <w:shd w:val="clear" w:color="auto" w:fill="3E8EDE"/>
          </w:tcPr>
          <w:p>
            <w:pPr>
              <w:spacing w:after="0"/>
              <w:rPr>
                <w:sz w:val="13"/>
                <w:szCs w:val="13"/>
                <w:color w:val="auto"/>
              </w:rPr>
            </w:pPr>
          </w:p>
        </w:tc>
        <w:tc>
          <w:tcPr>
            <w:tcW w:w="160" w:type="dxa"/>
            <w:vAlign w:val="bottom"/>
            <w:shd w:val="clear" w:color="auto" w:fill="3E8EDE"/>
          </w:tcPr>
          <w:p>
            <w:pPr>
              <w:spacing w:after="0"/>
              <w:rPr>
                <w:sz w:val="13"/>
                <w:szCs w:val="13"/>
                <w:color w:val="auto"/>
              </w:rPr>
            </w:pPr>
          </w:p>
        </w:tc>
        <w:tc>
          <w:tcPr>
            <w:tcW w:w="1300" w:type="dxa"/>
            <w:vAlign w:val="bottom"/>
            <w:gridSpan w:val="2"/>
            <w:shd w:val="clear" w:color="auto" w:fill="3E8EDE"/>
          </w:tcPr>
          <w:p>
            <w:pPr>
              <w:jc w:val="center"/>
              <w:spacing w:after="0" w:line="152" w:lineRule="exact"/>
              <w:rPr>
                <w:sz w:val="20"/>
                <w:szCs w:val="20"/>
                <w:color w:val="auto"/>
              </w:rPr>
            </w:pPr>
            <w:r>
              <w:rPr>
                <w:rFonts w:ascii="Arial" w:cs="Arial" w:eastAsia="Arial" w:hAnsi="Arial"/>
                <w:sz w:val="14"/>
                <w:szCs w:val="14"/>
                <w:b w:val="1"/>
                <w:bCs w:val="1"/>
                <w:color w:val="FFFFFF"/>
                <w:w w:val="98"/>
              </w:rPr>
              <w:t>the employee for</w:t>
            </w:r>
          </w:p>
        </w:tc>
        <w:tc>
          <w:tcPr>
            <w:tcW w:w="1500" w:type="dxa"/>
            <w:vAlign w:val="bottom"/>
            <w:gridSpan w:val="2"/>
            <w:shd w:val="clear" w:color="auto" w:fill="3E8EDE"/>
          </w:tcPr>
          <w:p>
            <w:pPr>
              <w:jc w:val="center"/>
              <w:spacing w:after="0" w:line="152" w:lineRule="exact"/>
              <w:rPr>
                <w:sz w:val="20"/>
                <w:szCs w:val="20"/>
                <w:color w:val="auto"/>
              </w:rPr>
            </w:pPr>
            <w:r>
              <w:rPr>
                <w:rFonts w:ascii="Arial" w:cs="Arial" w:eastAsia="Arial" w:hAnsi="Arial"/>
                <w:sz w:val="14"/>
                <w:szCs w:val="14"/>
                <w:b w:val="1"/>
                <w:bCs w:val="1"/>
                <w:color w:val="FFFFFF"/>
                <w:w w:val="98"/>
              </w:rPr>
              <w:t>Replacement</w:t>
            </w:r>
          </w:p>
        </w:tc>
        <w:tc>
          <w:tcPr>
            <w:tcW w:w="1320" w:type="dxa"/>
            <w:vAlign w:val="bottom"/>
            <w:shd w:val="clear" w:color="auto" w:fill="3E8EDE"/>
          </w:tcPr>
          <w:p>
            <w:pPr>
              <w:jc w:val="center"/>
              <w:ind w:left="182"/>
              <w:spacing w:after="0" w:line="152" w:lineRule="exact"/>
              <w:rPr>
                <w:sz w:val="20"/>
                <w:szCs w:val="20"/>
                <w:color w:val="auto"/>
              </w:rPr>
            </w:pPr>
            <w:r>
              <w:rPr>
                <w:rFonts w:ascii="Arial" w:cs="Arial" w:eastAsia="Arial" w:hAnsi="Arial"/>
                <w:sz w:val="14"/>
                <w:szCs w:val="14"/>
                <w:b w:val="1"/>
                <w:bCs w:val="1"/>
                <w:color w:val="FFFFFF"/>
                <w:w w:val="98"/>
              </w:rPr>
              <w:t>Replacement</w:t>
            </w:r>
          </w:p>
        </w:tc>
        <w:tc>
          <w:tcPr>
            <w:tcW w:w="200" w:type="dxa"/>
            <w:vAlign w:val="bottom"/>
            <w:shd w:val="clear" w:color="auto" w:fill="3E8EDE"/>
          </w:tcPr>
          <w:p>
            <w:pPr>
              <w:spacing w:after="0"/>
              <w:rPr>
                <w:sz w:val="13"/>
                <w:szCs w:val="13"/>
                <w:color w:val="auto"/>
              </w:rPr>
            </w:pPr>
          </w:p>
        </w:tc>
        <w:tc>
          <w:tcPr>
            <w:tcW w:w="1520" w:type="dxa"/>
            <w:vAlign w:val="bottom"/>
            <w:gridSpan w:val="2"/>
            <w:shd w:val="clear" w:color="auto" w:fill="3E8EDE"/>
          </w:tcPr>
          <w:p>
            <w:pPr>
              <w:jc w:val="center"/>
              <w:ind w:left="24"/>
              <w:spacing w:after="0" w:line="152" w:lineRule="exact"/>
              <w:rPr>
                <w:sz w:val="20"/>
                <w:szCs w:val="20"/>
                <w:color w:val="auto"/>
              </w:rPr>
            </w:pPr>
            <w:r>
              <w:rPr>
                <w:rFonts w:ascii="Arial" w:cs="Arial" w:eastAsia="Arial" w:hAnsi="Arial"/>
                <w:sz w:val="14"/>
                <w:szCs w:val="14"/>
                <w:b w:val="1"/>
                <w:bCs w:val="1"/>
                <w:color w:val="FFFFFF"/>
                <w:w w:val="98"/>
              </w:rPr>
              <w:t>the employee for</w:t>
            </w:r>
          </w:p>
        </w:tc>
      </w:tr>
      <w:tr>
        <w:trPr>
          <w:trHeight w:val="259"/>
        </w:trPr>
        <w:tc>
          <w:tcPr>
            <w:tcW w:w="4560" w:type="dxa"/>
            <w:vAlign w:val="bottom"/>
            <w:shd w:val="clear" w:color="auto" w:fill="3E8EDE"/>
          </w:tcPr>
          <w:p>
            <w:pPr>
              <w:spacing w:after="0"/>
              <w:rPr>
                <w:sz w:val="22"/>
                <w:szCs w:val="22"/>
                <w:color w:val="auto"/>
              </w:rPr>
            </w:pPr>
          </w:p>
        </w:tc>
        <w:tc>
          <w:tcPr>
            <w:tcW w:w="160" w:type="dxa"/>
            <w:vAlign w:val="bottom"/>
            <w:shd w:val="clear" w:color="auto" w:fill="3E8EDE"/>
          </w:tcPr>
          <w:p>
            <w:pPr>
              <w:spacing w:after="0"/>
              <w:rPr>
                <w:sz w:val="22"/>
                <w:szCs w:val="22"/>
                <w:color w:val="auto"/>
              </w:rPr>
            </w:pPr>
          </w:p>
        </w:tc>
        <w:tc>
          <w:tcPr>
            <w:tcW w:w="1300" w:type="dxa"/>
            <w:vAlign w:val="bottom"/>
            <w:gridSpan w:val="2"/>
            <w:shd w:val="clear" w:color="auto" w:fill="3E8EDE"/>
          </w:tcPr>
          <w:p>
            <w:pPr>
              <w:jc w:val="center"/>
              <w:spacing w:after="0"/>
              <w:rPr>
                <w:sz w:val="20"/>
                <w:szCs w:val="20"/>
                <w:color w:val="auto"/>
              </w:rPr>
            </w:pPr>
            <w:r>
              <w:rPr>
                <w:rFonts w:ascii="Arial" w:cs="Arial" w:eastAsia="Arial" w:hAnsi="Arial"/>
                <w:sz w:val="14"/>
                <w:szCs w:val="14"/>
                <w:b w:val="1"/>
                <w:bCs w:val="1"/>
                <w:color w:val="FFFFFF"/>
                <w:w w:val="95"/>
              </w:rPr>
              <w:t>Good Reason</w:t>
            </w:r>
            <w:r>
              <w:rPr>
                <w:rFonts w:ascii="Arial" w:cs="Arial" w:eastAsia="Arial" w:hAnsi="Arial"/>
                <w:sz w:val="20"/>
                <w:szCs w:val="20"/>
                <w:b w:val="1"/>
                <w:bCs w:val="1"/>
                <w:color w:val="FFFFFF"/>
                <w:w w:val="95"/>
                <w:vertAlign w:val="superscript"/>
              </w:rPr>
              <w:t>(2)</w:t>
            </w:r>
          </w:p>
        </w:tc>
        <w:tc>
          <w:tcPr>
            <w:tcW w:w="1500" w:type="dxa"/>
            <w:vAlign w:val="bottom"/>
            <w:gridSpan w:val="2"/>
            <w:shd w:val="clear" w:color="auto" w:fill="3E8EDE"/>
          </w:tcPr>
          <w:p>
            <w:pPr>
              <w:ind w:left="560"/>
              <w:spacing w:after="0"/>
              <w:rPr>
                <w:sz w:val="20"/>
                <w:szCs w:val="20"/>
                <w:color w:val="auto"/>
              </w:rPr>
            </w:pPr>
            <w:r>
              <w:rPr>
                <w:rFonts w:ascii="Arial" w:cs="Arial" w:eastAsia="Arial" w:hAnsi="Arial"/>
                <w:sz w:val="14"/>
                <w:szCs w:val="14"/>
                <w:b w:val="1"/>
                <w:bCs w:val="1"/>
                <w:color w:val="FFFFFF"/>
              </w:rPr>
              <w:t>Award</w:t>
            </w:r>
          </w:p>
        </w:tc>
        <w:tc>
          <w:tcPr>
            <w:tcW w:w="1320" w:type="dxa"/>
            <w:vAlign w:val="bottom"/>
            <w:shd w:val="clear" w:color="auto" w:fill="3E8EDE"/>
          </w:tcPr>
          <w:p>
            <w:pPr>
              <w:jc w:val="center"/>
              <w:ind w:left="182"/>
              <w:spacing w:after="0"/>
              <w:rPr>
                <w:sz w:val="20"/>
                <w:szCs w:val="20"/>
                <w:color w:val="auto"/>
              </w:rPr>
            </w:pPr>
            <w:r>
              <w:rPr>
                <w:rFonts w:ascii="Arial" w:cs="Arial" w:eastAsia="Arial" w:hAnsi="Arial"/>
                <w:sz w:val="14"/>
                <w:szCs w:val="14"/>
                <w:b w:val="1"/>
                <w:bCs w:val="1"/>
                <w:color w:val="FFFFFF"/>
                <w:w w:val="98"/>
              </w:rPr>
              <w:t>Award</w:t>
            </w:r>
          </w:p>
        </w:tc>
        <w:tc>
          <w:tcPr>
            <w:tcW w:w="200" w:type="dxa"/>
            <w:vAlign w:val="bottom"/>
            <w:shd w:val="clear" w:color="auto" w:fill="3E8EDE"/>
          </w:tcPr>
          <w:p>
            <w:pPr>
              <w:spacing w:after="0"/>
              <w:rPr>
                <w:sz w:val="22"/>
                <w:szCs w:val="22"/>
                <w:color w:val="auto"/>
              </w:rPr>
            </w:pPr>
          </w:p>
        </w:tc>
        <w:tc>
          <w:tcPr>
            <w:tcW w:w="1520" w:type="dxa"/>
            <w:vAlign w:val="bottom"/>
            <w:gridSpan w:val="2"/>
            <w:shd w:val="clear" w:color="auto" w:fill="3E8EDE"/>
          </w:tcPr>
          <w:p>
            <w:pPr>
              <w:jc w:val="center"/>
              <w:ind w:left="24"/>
              <w:spacing w:after="0"/>
              <w:rPr>
                <w:sz w:val="20"/>
                <w:szCs w:val="20"/>
                <w:color w:val="auto"/>
              </w:rPr>
            </w:pPr>
            <w:r>
              <w:rPr>
                <w:rFonts w:ascii="Arial" w:cs="Arial" w:eastAsia="Arial" w:hAnsi="Arial"/>
                <w:sz w:val="14"/>
                <w:szCs w:val="14"/>
                <w:b w:val="1"/>
                <w:bCs w:val="1"/>
                <w:color w:val="FFFFFF"/>
                <w:w w:val="97"/>
              </w:rPr>
              <w:t>Good Reason(4)</w:t>
            </w:r>
          </w:p>
        </w:tc>
      </w:tr>
      <w:tr>
        <w:trPr>
          <w:trHeight w:val="272"/>
        </w:trPr>
        <w:tc>
          <w:tcPr>
            <w:tcW w:w="4560" w:type="dxa"/>
            <w:vAlign w:val="bottom"/>
            <w:shd w:val="clear" w:color="auto" w:fill="E2EEFA"/>
          </w:tcPr>
          <w:p>
            <w:pPr>
              <w:ind w:left="60"/>
              <w:spacing w:after="0"/>
              <w:rPr>
                <w:sz w:val="20"/>
                <w:szCs w:val="20"/>
                <w:color w:val="auto"/>
              </w:rPr>
            </w:pPr>
            <w:r>
              <w:rPr>
                <w:rFonts w:ascii="Arial" w:cs="Arial" w:eastAsia="Arial" w:hAnsi="Arial"/>
                <w:sz w:val="17"/>
                <w:szCs w:val="17"/>
                <w:color w:val="auto"/>
              </w:rPr>
              <w:t>Severance Payment</w:t>
            </w:r>
          </w:p>
        </w:tc>
        <w:tc>
          <w:tcPr>
            <w:tcW w:w="160" w:type="dxa"/>
            <w:vAlign w:val="bottom"/>
            <w:shd w:val="clear" w:color="auto" w:fill="E2EEFA"/>
          </w:tcPr>
          <w:p>
            <w:pPr>
              <w:spacing w:after="0"/>
              <w:rPr>
                <w:sz w:val="23"/>
                <w:szCs w:val="23"/>
                <w:color w:val="auto"/>
              </w:rPr>
            </w:pPr>
          </w:p>
        </w:tc>
        <w:tc>
          <w:tcPr>
            <w:tcW w:w="56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E2EEFA"/>
          </w:tcPr>
          <w:p>
            <w:pPr>
              <w:jc w:val="right"/>
              <w:ind w:right="34"/>
              <w:spacing w:after="0"/>
              <w:rPr>
                <w:sz w:val="20"/>
                <w:szCs w:val="20"/>
                <w:color w:val="auto"/>
              </w:rPr>
            </w:pPr>
            <w:r>
              <w:rPr>
                <w:rFonts w:ascii="Arial" w:cs="Arial" w:eastAsia="Arial" w:hAnsi="Arial"/>
                <w:sz w:val="17"/>
                <w:szCs w:val="17"/>
                <w:color w:val="auto"/>
                <w:w w:val="97"/>
              </w:rPr>
              <w:t>464,738</w:t>
            </w:r>
          </w:p>
        </w:tc>
        <w:tc>
          <w:tcPr>
            <w:tcW w:w="680" w:type="dxa"/>
            <w:vAlign w:val="bottom"/>
            <w:shd w:val="clear" w:color="auto" w:fill="E2EEFA"/>
          </w:tcPr>
          <w:p>
            <w:pPr>
              <w:ind w:left="58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1320" w:type="dxa"/>
            <w:vAlign w:val="bottom"/>
            <w:shd w:val="clear" w:color="auto" w:fill="E2EEFA"/>
          </w:tcPr>
          <w:p>
            <w:pPr>
              <w:ind w:left="540"/>
              <w:spacing w:after="0"/>
              <w:rPr>
                <w:sz w:val="20"/>
                <w:szCs w:val="20"/>
                <w:color w:val="auto"/>
              </w:rPr>
            </w:pPr>
            <w:r>
              <w:rPr>
                <w:rFonts w:ascii="Arial" w:cs="Arial" w:eastAsia="Arial" w:hAnsi="Arial"/>
                <w:sz w:val="17"/>
                <w:szCs w:val="17"/>
                <w:color w:val="auto"/>
              </w:rPr>
              <w:t xml:space="preserve">$          </w:t>
            </w:r>
          </w:p>
        </w:tc>
        <w:tc>
          <w:tcPr>
            <w:tcW w:w="2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7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929,476</w:t>
            </w:r>
          </w:p>
        </w:tc>
      </w:tr>
      <w:tr>
        <w:trPr>
          <w:trHeight w:val="272"/>
        </w:trPr>
        <w:tc>
          <w:tcPr>
            <w:tcW w:w="4720" w:type="dxa"/>
            <w:vAlign w:val="bottom"/>
            <w:gridSpan w:val="2"/>
          </w:tcPr>
          <w:p>
            <w:pPr>
              <w:ind w:left="60"/>
              <w:spacing w:after="0" w:line="272" w:lineRule="exact"/>
              <w:rPr>
                <w:sz w:val="20"/>
                <w:szCs w:val="20"/>
                <w:color w:val="auto"/>
              </w:rPr>
            </w:pPr>
            <w:r>
              <w:rPr>
                <w:rFonts w:ascii="Arial" w:cs="Arial" w:eastAsia="Arial" w:hAnsi="Arial"/>
                <w:sz w:val="17"/>
                <w:szCs w:val="17"/>
                <w:color w:val="auto"/>
              </w:rPr>
              <w:t>Stock Options</w:t>
            </w:r>
            <w:r>
              <w:rPr>
                <w:rFonts w:ascii="Arial" w:cs="Arial" w:eastAsia="Arial" w:hAnsi="Arial"/>
                <w:sz w:val="25"/>
                <w:szCs w:val="25"/>
                <w:color w:val="auto"/>
                <w:vertAlign w:val="superscript"/>
              </w:rPr>
              <w:t>(3)</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4"/>
              <w:spacing w:after="0"/>
              <w:rPr>
                <w:sz w:val="20"/>
                <w:szCs w:val="20"/>
                <w:color w:val="auto"/>
              </w:rPr>
            </w:pPr>
            <w:r>
              <w:rPr>
                <w:rFonts w:ascii="Arial" w:cs="Arial" w:eastAsia="Arial" w:hAnsi="Arial"/>
                <w:sz w:val="17"/>
                <w:szCs w:val="17"/>
                <w:color w:val="auto"/>
              </w:rPr>
              <w:t>0</w:t>
            </w:r>
          </w:p>
        </w:tc>
        <w:tc>
          <w:tcPr>
            <w:tcW w:w="680" w:type="dxa"/>
            <w:vAlign w:val="bottom"/>
          </w:tcPr>
          <w:p>
            <w:pPr>
              <w:ind w:left="58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7,531</w:t>
            </w:r>
          </w:p>
        </w:tc>
        <w:tc>
          <w:tcPr>
            <w:tcW w:w="1320" w:type="dxa"/>
            <w:vAlign w:val="bottom"/>
          </w:tcPr>
          <w:p>
            <w:pPr>
              <w:ind w:left="54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7,531</w:t>
            </w:r>
          </w:p>
        </w:tc>
      </w:tr>
      <w:tr>
        <w:trPr>
          <w:trHeight w:val="272"/>
        </w:trPr>
        <w:tc>
          <w:tcPr>
            <w:tcW w:w="4560" w:type="dxa"/>
            <w:vAlign w:val="bottom"/>
            <w:shd w:val="clear" w:color="auto" w:fill="E2EEFA"/>
          </w:tcPr>
          <w:p>
            <w:pPr>
              <w:ind w:left="60"/>
              <w:spacing w:after="0" w:line="272" w:lineRule="exact"/>
              <w:rPr>
                <w:sz w:val="20"/>
                <w:szCs w:val="20"/>
                <w:color w:val="auto"/>
              </w:rPr>
            </w:pPr>
            <w:r>
              <w:rPr>
                <w:rFonts w:ascii="Arial" w:cs="Arial" w:eastAsia="Arial" w:hAnsi="Arial"/>
                <w:sz w:val="17"/>
                <w:szCs w:val="17"/>
                <w:color w:val="auto"/>
              </w:rPr>
              <w:t>Restricted Stock</w:t>
            </w:r>
            <w:r>
              <w:rPr>
                <w:rFonts w:ascii="Arial" w:cs="Arial" w:eastAsia="Arial" w:hAnsi="Arial"/>
                <w:sz w:val="25"/>
                <w:szCs w:val="25"/>
                <w:color w:val="auto"/>
                <w:vertAlign w:val="superscript"/>
              </w:rPr>
              <w:t>(3)</w:t>
            </w:r>
          </w:p>
        </w:tc>
        <w:tc>
          <w:tcPr>
            <w:tcW w:w="160" w:type="dxa"/>
            <w:vAlign w:val="bottom"/>
            <w:shd w:val="clear" w:color="auto" w:fill="E2EEFA"/>
          </w:tcPr>
          <w:p>
            <w:pPr>
              <w:spacing w:after="0"/>
              <w:rPr>
                <w:sz w:val="23"/>
                <w:szCs w:val="23"/>
                <w:color w:val="auto"/>
              </w:rPr>
            </w:pPr>
          </w:p>
        </w:tc>
        <w:tc>
          <w:tcPr>
            <w:tcW w:w="56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E2EEFA"/>
          </w:tcPr>
          <w:p>
            <w:pPr>
              <w:jc w:val="right"/>
              <w:ind w:right="34"/>
              <w:spacing w:after="0"/>
              <w:rPr>
                <w:sz w:val="20"/>
                <w:szCs w:val="20"/>
                <w:color w:val="auto"/>
              </w:rPr>
            </w:pPr>
            <w:r>
              <w:rPr>
                <w:rFonts w:ascii="Arial" w:cs="Arial" w:eastAsia="Arial" w:hAnsi="Arial"/>
                <w:sz w:val="17"/>
                <w:szCs w:val="17"/>
                <w:color w:val="auto"/>
              </w:rPr>
              <w:t>0</w:t>
            </w:r>
          </w:p>
        </w:tc>
        <w:tc>
          <w:tcPr>
            <w:tcW w:w="680" w:type="dxa"/>
            <w:vAlign w:val="bottom"/>
            <w:shd w:val="clear" w:color="auto" w:fill="E2EEFA"/>
          </w:tcPr>
          <w:p>
            <w:pPr>
              <w:ind w:left="58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1,964,961</w:t>
            </w:r>
          </w:p>
        </w:tc>
        <w:tc>
          <w:tcPr>
            <w:tcW w:w="1320" w:type="dxa"/>
            <w:vAlign w:val="bottom"/>
            <w:shd w:val="clear" w:color="auto" w:fill="E2EEFA"/>
          </w:tcPr>
          <w:p>
            <w:pPr>
              <w:ind w:left="540"/>
              <w:spacing w:after="0"/>
              <w:rPr>
                <w:sz w:val="20"/>
                <w:szCs w:val="20"/>
                <w:color w:val="auto"/>
              </w:rPr>
            </w:pPr>
            <w:r>
              <w:rPr>
                <w:rFonts w:ascii="Arial" w:cs="Arial" w:eastAsia="Arial" w:hAnsi="Arial"/>
                <w:sz w:val="17"/>
                <w:szCs w:val="17"/>
                <w:color w:val="auto"/>
              </w:rPr>
              <w:t>$</w:t>
            </w:r>
          </w:p>
        </w:tc>
        <w:tc>
          <w:tcPr>
            <w:tcW w:w="2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7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1,964,961</w:t>
            </w:r>
          </w:p>
        </w:tc>
      </w:tr>
      <w:tr>
        <w:trPr>
          <w:trHeight w:val="267"/>
        </w:trPr>
        <w:tc>
          <w:tcPr>
            <w:tcW w:w="4720" w:type="dxa"/>
            <w:vAlign w:val="bottom"/>
            <w:gridSpan w:val="2"/>
          </w:tcPr>
          <w:p>
            <w:pPr>
              <w:ind w:left="60"/>
              <w:spacing w:after="0"/>
              <w:rPr>
                <w:sz w:val="20"/>
                <w:szCs w:val="20"/>
                <w:color w:val="auto"/>
              </w:rPr>
            </w:pPr>
            <w:r>
              <w:rPr>
                <w:rFonts w:ascii="Arial" w:cs="Arial" w:eastAsia="Arial" w:hAnsi="Arial"/>
                <w:sz w:val="17"/>
                <w:szCs w:val="17"/>
                <w:color w:val="auto"/>
              </w:rPr>
              <w:t>Pro-Rata Bonus Payment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4"/>
              <w:spacing w:after="0"/>
              <w:rPr>
                <w:sz w:val="20"/>
                <w:szCs w:val="20"/>
                <w:color w:val="auto"/>
              </w:rPr>
            </w:pPr>
            <w:r>
              <w:rPr>
                <w:rFonts w:ascii="Arial" w:cs="Arial" w:eastAsia="Arial" w:hAnsi="Arial"/>
                <w:sz w:val="17"/>
                <w:szCs w:val="17"/>
                <w:color w:val="auto"/>
                <w:w w:val="97"/>
              </w:rPr>
              <w:t>377,902</w:t>
            </w:r>
          </w:p>
        </w:tc>
        <w:tc>
          <w:tcPr>
            <w:tcW w:w="680" w:type="dxa"/>
            <w:vAlign w:val="bottom"/>
          </w:tcPr>
          <w:p>
            <w:pPr>
              <w:ind w:left="580"/>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w:t>
            </w:r>
          </w:p>
        </w:tc>
        <w:tc>
          <w:tcPr>
            <w:tcW w:w="1320" w:type="dxa"/>
            <w:vAlign w:val="bottom"/>
          </w:tcPr>
          <w:p>
            <w:pPr>
              <w:ind w:left="54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377,902</w:t>
            </w:r>
          </w:p>
        </w:tc>
      </w:tr>
      <w:tr>
        <w:trPr>
          <w:trHeight w:val="272"/>
        </w:trPr>
        <w:tc>
          <w:tcPr>
            <w:tcW w:w="4560" w:type="dxa"/>
            <w:vAlign w:val="bottom"/>
            <w:tcBorders>
              <w:bottom w:val="single" w:sz="8" w:color="3E8EDE"/>
            </w:tcBorders>
            <w:shd w:val="clear" w:color="auto" w:fill="E2EEFA"/>
          </w:tcPr>
          <w:p>
            <w:pPr>
              <w:ind w:left="60"/>
              <w:spacing w:after="0"/>
              <w:rPr>
                <w:sz w:val="20"/>
                <w:szCs w:val="20"/>
                <w:color w:val="auto"/>
              </w:rPr>
            </w:pPr>
            <w:r>
              <w:rPr>
                <w:rFonts w:ascii="Arial" w:cs="Arial" w:eastAsia="Arial" w:hAnsi="Arial"/>
                <w:sz w:val="17"/>
                <w:szCs w:val="17"/>
                <w:color w:val="auto"/>
              </w:rPr>
              <w:t>Medical and Dental Benefits</w:t>
            </w:r>
          </w:p>
        </w:tc>
        <w:tc>
          <w:tcPr>
            <w:tcW w:w="160" w:type="dxa"/>
            <w:vAlign w:val="bottom"/>
            <w:tcBorders>
              <w:bottom w:val="single" w:sz="8" w:color="3E8EDE"/>
            </w:tcBorders>
            <w:shd w:val="clear" w:color="auto" w:fill="E2EEFA"/>
          </w:tcPr>
          <w:p>
            <w:pPr>
              <w:spacing w:after="0"/>
              <w:rPr>
                <w:sz w:val="23"/>
                <w:szCs w:val="23"/>
                <w:color w:val="auto"/>
              </w:rPr>
            </w:pPr>
          </w:p>
        </w:tc>
        <w:tc>
          <w:tcPr>
            <w:tcW w:w="56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3E8EDE"/>
            </w:tcBorders>
            <w:shd w:val="clear" w:color="auto" w:fill="E2EEFA"/>
          </w:tcPr>
          <w:p>
            <w:pPr>
              <w:jc w:val="right"/>
              <w:ind w:right="34"/>
              <w:spacing w:after="0"/>
              <w:rPr>
                <w:sz w:val="20"/>
                <w:szCs w:val="20"/>
                <w:color w:val="auto"/>
              </w:rPr>
            </w:pPr>
            <w:r>
              <w:rPr>
                <w:rFonts w:ascii="Arial" w:cs="Arial" w:eastAsia="Arial" w:hAnsi="Arial"/>
                <w:sz w:val="17"/>
                <w:szCs w:val="17"/>
                <w:color w:val="auto"/>
              </w:rPr>
              <w:t>18,818</w:t>
            </w:r>
          </w:p>
        </w:tc>
        <w:tc>
          <w:tcPr>
            <w:tcW w:w="680" w:type="dxa"/>
            <w:vAlign w:val="bottom"/>
            <w:tcBorders>
              <w:bottom w:val="single" w:sz="8" w:color="3E8EDE"/>
            </w:tcBorders>
            <w:shd w:val="clear" w:color="auto" w:fill="E2EEFA"/>
          </w:tcPr>
          <w:p>
            <w:pPr>
              <w:ind w:left="58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1320" w:type="dxa"/>
            <w:vAlign w:val="bottom"/>
            <w:tcBorders>
              <w:bottom w:val="single" w:sz="8" w:color="3E8EDE"/>
            </w:tcBorders>
            <w:shd w:val="clear" w:color="auto" w:fill="E2EEFA"/>
          </w:tcPr>
          <w:p>
            <w:pPr>
              <w:ind w:left="5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0</w:t>
            </w:r>
          </w:p>
        </w:tc>
        <w:tc>
          <w:tcPr>
            <w:tcW w:w="7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18,818</w:t>
            </w:r>
          </w:p>
        </w:tc>
      </w:tr>
      <w:tr>
        <w:trPr>
          <w:trHeight w:val="257"/>
        </w:trPr>
        <w:tc>
          <w:tcPr>
            <w:tcW w:w="4720" w:type="dxa"/>
            <w:vAlign w:val="bottom"/>
            <w:tcBorders>
              <w:bottom w:val="single" w:sz="8" w:color="3E8EDE"/>
            </w:tcBorders>
            <w:gridSpan w:val="2"/>
          </w:tcPr>
          <w:p>
            <w:pPr>
              <w:ind w:left="60"/>
              <w:spacing w:after="0" w:line="257" w:lineRule="exact"/>
              <w:rPr>
                <w:sz w:val="20"/>
                <w:szCs w:val="20"/>
                <w:color w:val="auto"/>
              </w:rPr>
            </w:pPr>
            <w:r>
              <w:rPr>
                <w:rFonts w:ascii="Arial" w:cs="Arial" w:eastAsia="Arial" w:hAnsi="Arial"/>
                <w:sz w:val="17"/>
                <w:szCs w:val="17"/>
                <w:color w:val="auto"/>
              </w:rPr>
              <w:t>Totals</w:t>
            </w:r>
            <w:r>
              <w:rPr>
                <w:rFonts w:ascii="Arial" w:cs="Arial" w:eastAsia="Arial" w:hAnsi="Arial"/>
                <w:sz w:val="25"/>
                <w:szCs w:val="25"/>
                <w:color w:val="auto"/>
                <w:vertAlign w:val="superscript"/>
              </w:rPr>
              <w:t>(5)</w:t>
            </w:r>
          </w:p>
        </w:tc>
        <w:tc>
          <w:tcPr>
            <w:tcW w:w="56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3E8EDE"/>
            </w:tcBorders>
          </w:tcPr>
          <w:p>
            <w:pPr>
              <w:jc w:val="right"/>
              <w:ind w:right="34"/>
              <w:spacing w:after="0"/>
              <w:rPr>
                <w:sz w:val="20"/>
                <w:szCs w:val="20"/>
                <w:color w:val="auto"/>
              </w:rPr>
            </w:pPr>
            <w:r>
              <w:rPr>
                <w:rFonts w:ascii="Arial" w:cs="Arial" w:eastAsia="Arial" w:hAnsi="Arial"/>
                <w:sz w:val="17"/>
                <w:szCs w:val="17"/>
                <w:color w:val="auto"/>
                <w:w w:val="97"/>
              </w:rPr>
              <w:t>861,458</w:t>
            </w:r>
          </w:p>
        </w:tc>
        <w:tc>
          <w:tcPr>
            <w:tcW w:w="680" w:type="dxa"/>
            <w:vAlign w:val="bottom"/>
            <w:tcBorders>
              <w:bottom w:val="single" w:sz="8" w:color="3E8EDE"/>
            </w:tcBorders>
          </w:tcPr>
          <w:p>
            <w:pPr>
              <w:ind w:left="58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1,972,492</w:t>
            </w:r>
          </w:p>
        </w:tc>
        <w:tc>
          <w:tcPr>
            <w:tcW w:w="1320" w:type="dxa"/>
            <w:vAlign w:val="bottom"/>
            <w:tcBorders>
              <w:bottom w:val="single" w:sz="8" w:color="3E8EDE"/>
            </w:tcBorders>
          </w:tcPr>
          <w:p>
            <w:pPr>
              <w:ind w:left="5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0</w:t>
            </w:r>
          </w:p>
        </w:tc>
        <w:tc>
          <w:tcPr>
            <w:tcW w:w="72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3,298,688</w:t>
            </w:r>
          </w:p>
        </w:tc>
      </w:tr>
    </w:tbl>
    <w:p>
      <w:pPr>
        <w:spacing w:after="0" w:line="100" w:lineRule="exact"/>
        <w:rPr>
          <w:sz w:val="20"/>
          <w:szCs w:val="20"/>
          <w:color w:val="auto"/>
        </w:rPr>
      </w:pPr>
    </w:p>
    <w:p>
      <w:pPr>
        <w:ind w:left="860" w:right="280" w:hanging="520"/>
        <w:spacing w:after="0" w:line="276"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For purposes of this disclosure, the Change in Control date and all termination events are assumed to occur on March 31, 2026. The stock price used is the closing price of $221.13 on March 31, 2026, the assumed Termination and Change in Control date.</w:t>
      </w:r>
    </w:p>
    <w:p>
      <w:pPr>
        <w:spacing w:after="0" w:line="55" w:lineRule="exact"/>
        <w:rPr>
          <w:rFonts w:ascii="Arial" w:cs="Arial" w:eastAsia="Arial" w:hAnsi="Arial"/>
          <w:sz w:val="17"/>
          <w:szCs w:val="17"/>
          <w:color w:val="auto"/>
        </w:rPr>
      </w:pPr>
    </w:p>
    <w:p>
      <w:pPr>
        <w:ind w:left="860" w:hanging="520"/>
        <w:spacing w:after="0" w:line="246"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Pursuant to the Senior Executive Severance Plan, in the event of a “qualifying termination” in circumstances not involving a Change in Control, Ms. Fraser will be entitled to 12 months of severance payments based on her then current base salary, a pro-rata portion of her actual bonus, and 12 months of medical and dental benefits. A “qualifying termination” is any separation of service other than by the Company for Cause (as defined) or by executive without Good Reason (as defined). Good Reason includes death or Disability (as defined). Ms. Fraser’s actual bonus for fiscal 2026 is $377,902. The proration is 100% because the assumed termination date is the fiscal year end.</w:t>
      </w:r>
    </w:p>
    <w:p>
      <w:pPr>
        <w:spacing w:after="0" w:line="79" w:lineRule="exact"/>
        <w:rPr>
          <w:rFonts w:ascii="Arial" w:cs="Arial" w:eastAsia="Arial" w:hAnsi="Arial"/>
          <w:sz w:val="17"/>
          <w:szCs w:val="17"/>
          <w:color w:val="auto"/>
        </w:rPr>
      </w:pPr>
    </w:p>
    <w:p>
      <w:pPr>
        <w:ind w:left="860" w:right="60" w:hanging="520"/>
        <w:spacing w:after="0" w:line="251"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unvested outstanding stock options and restricted awards provide for double trigger vesting in Change in Control situations, meaning that if a change in control occurs and the employee receives a qualifying replacement award, there will be no accelerated vesting unless the employee’s employment terminates under specified circumstances. If the employee’s employment terminates on account of death, the employee also will be entitled to accelerated award vesting.</w:t>
      </w:r>
    </w:p>
    <w:p>
      <w:pPr>
        <w:spacing w:after="0" w:line="75" w:lineRule="exact"/>
        <w:rPr>
          <w:rFonts w:ascii="Arial" w:cs="Arial" w:eastAsia="Arial" w:hAnsi="Arial"/>
          <w:sz w:val="17"/>
          <w:szCs w:val="17"/>
          <w:color w:val="auto"/>
        </w:rPr>
      </w:pPr>
    </w:p>
    <w:p>
      <w:pPr>
        <w:ind w:left="860" w:hanging="520"/>
        <w:spacing w:after="0" w:line="246"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Pursuant to the Senior Executive Severance Plan, in the event of a “qualifying termination” within one (1) year following a change in control, Ms. Fraser will be entitled to 12 months of severance payments based on a multiple of two (2) times her then current base salary, a pro-rata portion of her actual bonus, and 12 months of medical and dental benefits. A “qualifying termination” is any separation from service other than by the Company for Cause (as defined) or by executive without Good Reason (as defined). Good Reason includes death or Disability (as defined). Ms. Fraser’s actual bonus for fiscal 2026 is $377,902. The proration is 100% because the assumed termination date is the fiscal year end.</w:t>
      </w:r>
    </w:p>
    <w:p>
      <w:pPr>
        <w:spacing w:after="0" w:line="79" w:lineRule="exact"/>
        <w:rPr>
          <w:rFonts w:ascii="Arial" w:cs="Arial" w:eastAsia="Arial" w:hAnsi="Arial"/>
          <w:sz w:val="17"/>
          <w:szCs w:val="17"/>
          <w:color w:val="auto"/>
        </w:rPr>
      </w:pPr>
    </w:p>
    <w:p>
      <w:pPr>
        <w:ind w:left="860" w:right="100" w:hanging="520"/>
        <w:spacing w:after="0" w:line="276"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Amounts payable to the executive in the event of a Change in Control may be subject to reduction due to the operation of Sections 280G and 4999 of the Internal Revenue Code as provided for under the Senior Executive Severance Plan.</w:t>
      </w:r>
    </w:p>
    <w:p>
      <w:pPr>
        <w:spacing w:after="0" w:line="84"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3E8EDE"/>
        </w:rPr>
        <w:t xml:space="preserve">Notice of Annual Meeting of Shareholders </w:t>
      </w:r>
      <w:r>
        <w:rPr>
          <w:rFonts w:ascii="Arial" w:cs="Arial" w:eastAsia="Arial" w:hAnsi="Arial"/>
          <w:sz w:val="14"/>
          <w:szCs w:val="14"/>
          <w:color w:val="000000"/>
        </w:rPr>
        <w:t>and 2026 Proxy Statement   83</w:t>
      </w:r>
    </w:p>
    <w:p>
      <w:pPr>
        <w:sectPr>
          <w:pgSz w:w="11900" w:h="16838" w:orient="portrait"/>
          <w:cols w:equalWidth="0" w:num="1">
            <w:col w:w="10900"/>
          </w:cols>
          <w:pgMar w:left="320" w:top="469" w:right="6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78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CEO Pay Ratio</w:t>
      </w:r>
    </w:p>
    <w:p>
      <w:pPr>
        <w:spacing w:after="0" w:line="217" w:lineRule="exact"/>
        <w:rPr>
          <w:sz w:val="20"/>
          <w:szCs w:val="20"/>
          <w:color w:val="auto"/>
        </w:rPr>
      </w:pPr>
    </w:p>
    <w:p>
      <w:pPr>
        <w:ind w:left="340" w:right="140"/>
        <w:spacing w:after="0" w:line="233" w:lineRule="auto"/>
        <w:rPr>
          <w:sz w:val="20"/>
          <w:szCs w:val="20"/>
          <w:color w:val="auto"/>
        </w:rPr>
      </w:pPr>
      <w:r>
        <w:rPr>
          <w:rFonts w:ascii="Arial" w:cs="Arial" w:eastAsia="Arial" w:hAnsi="Arial"/>
          <w:sz w:val="19"/>
          <w:szCs w:val="19"/>
          <w:color w:val="auto"/>
        </w:rPr>
        <w:t>In accordance with Item 402(u) of Regulation S-K, we have calculated our CEO pay ratio for our 2026 fiscal year. To prepare this year’s disclosure relating to fiscal 2026 pay, we did not repeat the identification process used for our 2025 fiscal year, as described below, because there has been no change in our employee population or employee compensation arrangements that we reasonably believe would significantly impact our pay ratio disclosure. As a result, under SEC rules, we were permitted to use last year’s median employee for purposes of this year’s pay ratio calculation and disclosure. We have used the median employee from fiscal 2025 for fiscal 2026. The Company and its subsidiaries have worldwide operations and employ approximately 18,000 people in 40 countries, with approximately 11,000 of our employees in the United States and 7,000 outside the United States.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Measurement Date</w:t>
      </w:r>
    </w:p>
    <w:p>
      <w:pPr>
        <w:spacing w:after="0" w:line="92" w:lineRule="exact"/>
        <w:rPr>
          <w:sz w:val="20"/>
          <w:szCs w:val="20"/>
          <w:color w:val="auto"/>
        </w:rPr>
      </w:pPr>
    </w:p>
    <w:p>
      <w:pPr>
        <w:ind w:left="340" w:right="100"/>
        <w:spacing w:after="0" w:line="262" w:lineRule="auto"/>
        <w:rPr>
          <w:sz w:val="20"/>
          <w:szCs w:val="20"/>
          <w:color w:val="auto"/>
        </w:rPr>
      </w:pPr>
      <w:r>
        <w:rPr>
          <w:rFonts w:ascii="Arial" w:cs="Arial" w:eastAsia="Arial" w:hAnsi="Arial"/>
          <w:sz w:val="19"/>
          <w:szCs w:val="19"/>
          <w:color w:val="auto"/>
        </w:rPr>
        <w:t>Our median employee was identified from the population of all full-time, part-time, seasonal, and temporary employees of the Company and its consolidated subsidiaries (other than the CEO) as of January 1, 2025, as described below.</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Consistently Applied Compensation Measure (“CACM”)</w:t>
      </w:r>
    </w:p>
    <w:p>
      <w:pPr>
        <w:spacing w:after="0" w:line="92" w:lineRule="exact"/>
        <w:rPr>
          <w:sz w:val="20"/>
          <w:szCs w:val="20"/>
          <w:color w:val="auto"/>
        </w:rPr>
      </w:pPr>
    </w:p>
    <w:p>
      <w:pPr>
        <w:ind w:left="340" w:right="240"/>
        <w:spacing w:after="0" w:line="262" w:lineRule="auto"/>
        <w:rPr>
          <w:sz w:val="20"/>
          <w:szCs w:val="20"/>
          <w:color w:val="auto"/>
        </w:rPr>
      </w:pPr>
      <w:r>
        <w:rPr>
          <w:rFonts w:ascii="Arial" w:cs="Arial" w:eastAsia="Arial" w:hAnsi="Arial"/>
          <w:sz w:val="19"/>
          <w:szCs w:val="19"/>
          <w:color w:val="auto"/>
        </w:rPr>
        <w:t>As required by Item 402(u) of Regulation S-K, which requires the median employee to be determined every three years, we re-determined our median employee during fiscal 2025.</w:t>
      </w:r>
    </w:p>
    <w:p>
      <w:pPr>
        <w:spacing w:after="0" w:line="145" w:lineRule="exact"/>
        <w:rPr>
          <w:sz w:val="20"/>
          <w:szCs w:val="20"/>
          <w:color w:val="auto"/>
        </w:rPr>
      </w:pPr>
    </w:p>
    <w:p>
      <w:pPr>
        <w:ind w:left="340" w:right="180"/>
        <w:spacing w:after="0" w:line="235" w:lineRule="auto"/>
        <w:rPr>
          <w:sz w:val="20"/>
          <w:szCs w:val="20"/>
          <w:color w:val="auto"/>
        </w:rPr>
      </w:pPr>
      <w:r>
        <w:rPr>
          <w:rFonts w:ascii="Arial" w:cs="Arial" w:eastAsia="Arial" w:hAnsi="Arial"/>
          <w:sz w:val="19"/>
          <w:szCs w:val="19"/>
          <w:color w:val="auto"/>
        </w:rPr>
        <w:t>Our methodology for determining the median employee for fiscal 2025 was consistent with the methodology applied in fiscal 2022. However, for our fiscal 2025 determination, we did not exclude employee populations in countries that made up less than 5% of our workforce. We used federal taxable earnings (generally base wages, overtime pay, and cash bonuses and incentives) as reported by the relevant payroll processing systems for calendar year 2024 as our CACM. Where applicable, earnings were translated to the U.S. dollar equivalent based upon average exchange rates in effect during calendar year 2024.</w:t>
      </w:r>
    </w:p>
    <w:p>
      <w:pPr>
        <w:spacing w:after="0" w:line="167" w:lineRule="exact"/>
        <w:rPr>
          <w:sz w:val="20"/>
          <w:szCs w:val="20"/>
          <w:color w:val="auto"/>
        </w:rPr>
      </w:pPr>
    </w:p>
    <w:p>
      <w:pPr>
        <w:ind w:left="340" w:right="60"/>
        <w:spacing w:after="0" w:line="236" w:lineRule="auto"/>
        <w:rPr>
          <w:sz w:val="20"/>
          <w:szCs w:val="20"/>
          <w:color w:val="auto"/>
        </w:rPr>
      </w:pPr>
      <w:r>
        <w:rPr>
          <w:rFonts w:ascii="Arial" w:cs="Arial" w:eastAsia="Arial" w:hAnsi="Arial"/>
          <w:sz w:val="19"/>
          <w:szCs w:val="19"/>
          <w:color w:val="auto"/>
        </w:rPr>
        <w:t>We endeavored to exclude all employees whose employment terminated before January 1, 2025 and their compensation and were able to do so with respect to our largest employee bases in the United States and United Kingdom. However, we extracted data on an anonymous basis from over 30 payroll systems applicable to employees, not all of which provided the ability to exclude terminated employees from reporting using our chosen CACM. We also did not annualize compensation of newly hired full- and part-time employees who worked for us for less than the full calendar year.</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Methodology and Pay Ratio</w:t>
      </w:r>
    </w:p>
    <w:p>
      <w:pPr>
        <w:spacing w:after="0" w:line="92" w:lineRule="exact"/>
        <w:rPr>
          <w:sz w:val="20"/>
          <w:szCs w:val="20"/>
          <w:color w:val="auto"/>
        </w:rPr>
      </w:pPr>
    </w:p>
    <w:p>
      <w:pPr>
        <w:ind w:left="340" w:right="180"/>
        <w:spacing w:after="0" w:line="262" w:lineRule="auto"/>
        <w:rPr>
          <w:sz w:val="20"/>
          <w:szCs w:val="20"/>
          <w:color w:val="auto"/>
        </w:rPr>
      </w:pPr>
      <w:r>
        <w:rPr>
          <w:rFonts w:ascii="Arial" w:cs="Arial" w:eastAsia="Arial" w:hAnsi="Arial"/>
          <w:sz w:val="19"/>
          <w:szCs w:val="19"/>
          <w:color w:val="auto"/>
        </w:rPr>
        <w:t>For fiscal 2026, the median employee’s annual total compensation was calculated in the same manner as the CEO’s annual total compensation was calculated in the Fiscal 2026 Summary Compensation Table.</w:t>
      </w:r>
    </w:p>
    <w:p>
      <w:pPr>
        <w:spacing w:after="0" w:line="145" w:lineRule="exact"/>
        <w:rPr>
          <w:sz w:val="20"/>
          <w:szCs w:val="20"/>
          <w:color w:val="auto"/>
        </w:rPr>
      </w:pPr>
    </w:p>
    <w:p>
      <w:pPr>
        <w:ind w:left="340" w:right="40"/>
        <w:spacing w:after="0" w:line="239" w:lineRule="auto"/>
        <w:rPr>
          <w:sz w:val="20"/>
          <w:szCs w:val="20"/>
          <w:color w:val="auto"/>
        </w:rPr>
      </w:pPr>
      <w:r>
        <w:rPr>
          <w:rFonts w:ascii="Arial" w:cs="Arial" w:eastAsia="Arial" w:hAnsi="Arial"/>
          <w:sz w:val="19"/>
          <w:szCs w:val="19"/>
          <w:color w:val="auto"/>
        </w:rPr>
        <w:t>Additionally, as permitted by the regulations, the employer-paid portion of the median employee’s health and dental insurance coverage was included in both the median employee’s compensation and the CEO’s compensation. The employer-paid portion of the CEO’s health and dental insurance coverage was not included in the Fiscal 2026 Summary Compensation Table amount.</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78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460"/>
        <w:spacing w:after="0" w:line="273" w:lineRule="auto"/>
        <w:rPr>
          <w:sz w:val="20"/>
          <w:szCs w:val="20"/>
          <w:color w:val="auto"/>
        </w:rPr>
      </w:pPr>
      <w:r>
        <w:rPr>
          <w:rFonts w:ascii="Arial" w:cs="Arial" w:eastAsia="Arial" w:hAnsi="Arial"/>
          <w:sz w:val="19"/>
          <w:szCs w:val="19"/>
          <w:color w:val="auto"/>
        </w:rPr>
        <w:t>As illustrated in the following table and based upon the considerations discussed above, we estimate that our fiscal 2026 CEO to median employee pay ratio is 157:1</w:t>
      </w:r>
      <w:r>
        <w:rPr>
          <w:rFonts w:ascii="Arial" w:cs="Arial" w:eastAsia="Arial" w:hAnsi="Arial"/>
          <w:sz w:val="19"/>
          <w:szCs w:val="19"/>
          <w:b w:val="1"/>
          <w:bCs w:val="1"/>
          <w:color w:val="auto"/>
        </w:rPr>
        <w:t>.</w:t>
      </w:r>
    </w:p>
    <w:p>
      <w:pPr>
        <w:spacing w:after="0" w:line="332"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color w:val="auto"/>
        </w:rPr>
        <w:t>CEO to Median Employee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6260465</wp:posOffset>
            </wp:positionH>
            <wp:positionV relativeFrom="paragraph">
              <wp:posOffset>154305</wp:posOffset>
            </wp:positionV>
            <wp:extent cx="16510" cy="1974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6510" cy="197485"/>
                    </a:xfrm>
                    <a:prstGeom prst="rect">
                      <a:avLst/>
                    </a:prstGeom>
                    <a:noFill/>
                  </pic:spPr>
                </pic:pic>
              </a:graphicData>
            </a:graphic>
          </wp:anchor>
        </w:drawing>
        <w:drawing>
          <wp:anchor simplePos="0" relativeHeight="251657728" behindDoc="1" locked="0" layoutInCell="0" allowOverlap="1">
            <wp:simplePos x="0" y="0"/>
            <wp:positionH relativeFrom="column">
              <wp:posOffset>5520055</wp:posOffset>
            </wp:positionH>
            <wp:positionV relativeFrom="paragraph">
              <wp:posOffset>154305</wp:posOffset>
            </wp:positionV>
            <wp:extent cx="16510" cy="1974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6510" cy="197485"/>
                    </a:xfrm>
                    <a:prstGeom prst="rect">
                      <a:avLst/>
                    </a:prstGeom>
                    <a:noFill/>
                  </pic:spPr>
                </pic:pic>
              </a:graphicData>
            </a:graphic>
          </wp:anchor>
        </w:drawing>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360" w:type="dxa"/>
            <w:vAlign w:val="bottom"/>
            <w:shd w:val="clear" w:color="auto" w:fill="3E8EDE"/>
          </w:tcPr>
          <w:p>
            <w:pPr>
              <w:spacing w:after="0"/>
              <w:rPr>
                <w:sz w:val="14"/>
                <w:szCs w:val="14"/>
                <w:color w:val="auto"/>
              </w:rPr>
            </w:pPr>
          </w:p>
        </w:tc>
        <w:tc>
          <w:tcPr>
            <w:tcW w:w="1220" w:type="dxa"/>
            <w:vAlign w:val="bottom"/>
            <w:shd w:val="clear" w:color="auto" w:fill="3E8EDE"/>
          </w:tcPr>
          <w:p>
            <w:pPr>
              <w:spacing w:after="0"/>
              <w:rPr>
                <w:sz w:val="14"/>
                <w:szCs w:val="14"/>
                <w:color w:val="auto"/>
              </w:rPr>
            </w:pPr>
          </w:p>
        </w:tc>
        <w:tc>
          <w:tcPr>
            <w:tcW w:w="180" w:type="dxa"/>
            <w:vAlign w:val="bottom"/>
            <w:shd w:val="clear" w:color="auto" w:fill="3E8EDE"/>
          </w:tcPr>
          <w:p>
            <w:pPr>
              <w:ind w:left="140"/>
              <w:spacing w:after="0"/>
              <w:rPr>
                <w:sz w:val="20"/>
                <w:szCs w:val="20"/>
                <w:color w:val="auto"/>
              </w:rPr>
            </w:pPr>
            <w:r>
              <w:rPr>
                <w:rFonts w:ascii="Arial" w:cs="Arial" w:eastAsia="Arial" w:hAnsi="Arial"/>
                <w:sz w:val="2"/>
                <w:szCs w:val="2"/>
                <w:b w:val="1"/>
                <w:bCs w:val="1"/>
                <w:color w:val="FFFFFF"/>
                <w:w w:val="97"/>
              </w:rPr>
              <w:t> </w:t>
            </w:r>
          </w:p>
        </w:tc>
        <w:tc>
          <w:tcPr>
            <w:tcW w:w="800" w:type="dxa"/>
            <w:vAlign w:val="bottom"/>
            <w:shd w:val="clear" w:color="auto" w:fill="3E8EDE"/>
          </w:tcPr>
          <w:p>
            <w:pPr>
              <w:jc w:val="right"/>
              <w:ind w:right="142"/>
              <w:spacing w:after="0"/>
              <w:rPr>
                <w:sz w:val="20"/>
                <w:szCs w:val="20"/>
                <w:color w:val="auto"/>
              </w:rPr>
            </w:pPr>
            <w:r>
              <w:rPr>
                <w:rFonts w:ascii="Arial" w:cs="Arial" w:eastAsia="Arial" w:hAnsi="Arial"/>
                <w:sz w:val="14"/>
                <w:szCs w:val="14"/>
                <w:b w:val="1"/>
                <w:bCs w:val="1"/>
                <w:color w:val="FFFFFF"/>
              </w:rPr>
              <w:t>Median</w:t>
            </w:r>
          </w:p>
        </w:tc>
      </w:tr>
      <w:tr>
        <w:trPr>
          <w:trHeight w:val="165"/>
        </w:trPr>
        <w:tc>
          <w:tcPr>
            <w:tcW w:w="8360" w:type="dxa"/>
            <w:vAlign w:val="bottom"/>
            <w:shd w:val="clear" w:color="auto" w:fill="3E8EDE"/>
          </w:tcPr>
          <w:p>
            <w:pPr>
              <w:spacing w:after="0"/>
              <w:rPr>
                <w:sz w:val="14"/>
                <w:szCs w:val="14"/>
                <w:color w:val="auto"/>
              </w:rPr>
            </w:pPr>
          </w:p>
        </w:tc>
        <w:tc>
          <w:tcPr>
            <w:tcW w:w="1220" w:type="dxa"/>
            <w:vAlign w:val="bottom"/>
            <w:shd w:val="clear" w:color="auto" w:fill="3E8EDE"/>
          </w:tcPr>
          <w:p>
            <w:pPr>
              <w:jc w:val="center"/>
              <w:spacing w:after="0"/>
              <w:rPr>
                <w:sz w:val="20"/>
                <w:szCs w:val="20"/>
                <w:color w:val="auto"/>
              </w:rPr>
            </w:pPr>
            <w:r>
              <w:rPr>
                <w:rFonts w:ascii="Arial" w:cs="Arial" w:eastAsia="Arial" w:hAnsi="Arial"/>
                <w:sz w:val="14"/>
                <w:szCs w:val="14"/>
                <w:b w:val="1"/>
                <w:bCs w:val="1"/>
                <w:color w:val="FFFFFF"/>
                <w:w w:val="98"/>
              </w:rPr>
              <w:t>CEO</w:t>
            </w:r>
          </w:p>
        </w:tc>
        <w:tc>
          <w:tcPr>
            <w:tcW w:w="180" w:type="dxa"/>
            <w:vAlign w:val="bottom"/>
            <w:shd w:val="clear" w:color="auto" w:fill="3E8EDE"/>
          </w:tcPr>
          <w:p>
            <w:pPr>
              <w:ind w:left="60"/>
              <w:spacing w:after="0"/>
              <w:rPr>
                <w:sz w:val="20"/>
                <w:szCs w:val="20"/>
                <w:color w:val="auto"/>
              </w:rPr>
            </w:pPr>
            <w:r>
              <w:rPr>
                <w:rFonts w:ascii="Arial" w:cs="Arial" w:eastAsia="Arial" w:hAnsi="Arial"/>
                <w:sz w:val="14"/>
                <w:szCs w:val="14"/>
                <w:b w:val="1"/>
                <w:bCs w:val="1"/>
                <w:color w:val="FFFFFF"/>
                <w:w w:val="71"/>
              </w:rPr>
              <w:t> </w:t>
            </w:r>
          </w:p>
        </w:tc>
        <w:tc>
          <w:tcPr>
            <w:tcW w:w="800" w:type="dxa"/>
            <w:vAlign w:val="bottom"/>
            <w:shd w:val="clear" w:color="auto" w:fill="3E8EDE"/>
          </w:tcPr>
          <w:p>
            <w:pPr>
              <w:jc w:val="right"/>
              <w:ind w:right="62"/>
              <w:spacing w:after="0"/>
              <w:rPr>
                <w:sz w:val="20"/>
                <w:szCs w:val="20"/>
                <w:color w:val="auto"/>
              </w:rPr>
            </w:pPr>
            <w:r>
              <w:rPr>
                <w:rFonts w:ascii="Arial" w:cs="Arial" w:eastAsia="Arial" w:hAnsi="Arial"/>
                <w:sz w:val="14"/>
                <w:szCs w:val="14"/>
                <w:b w:val="1"/>
                <w:bCs w:val="1"/>
                <w:color w:val="FFFFFF"/>
                <w:w w:val="96"/>
              </w:rPr>
              <w:t>Employee</w:t>
            </w:r>
          </w:p>
        </w:tc>
      </w:tr>
      <w:tr>
        <w:trPr>
          <w:trHeight w:val="246"/>
        </w:trPr>
        <w:tc>
          <w:tcPr>
            <w:tcW w:w="8360" w:type="dxa"/>
            <w:vAlign w:val="bottom"/>
            <w:shd w:val="clear" w:color="auto" w:fill="E2EEFA"/>
          </w:tcPr>
          <w:p>
            <w:pPr>
              <w:spacing w:after="0"/>
              <w:rPr>
                <w:sz w:val="20"/>
                <w:szCs w:val="20"/>
                <w:color w:val="auto"/>
              </w:rPr>
            </w:pPr>
            <w:r>
              <w:rPr>
                <w:rFonts w:ascii="Arial" w:cs="Arial" w:eastAsia="Arial" w:hAnsi="Arial"/>
                <w:sz w:val="17"/>
                <w:szCs w:val="17"/>
                <w:color w:val="auto"/>
              </w:rPr>
              <w:t>Annual Total Compensation</w:t>
            </w:r>
          </w:p>
        </w:tc>
        <w:tc>
          <w:tcPr>
            <w:tcW w:w="1220" w:type="dxa"/>
            <w:vAlign w:val="bottom"/>
            <w:shd w:val="clear" w:color="auto" w:fill="E2EEFA"/>
          </w:tcPr>
          <w:p>
            <w:pPr>
              <w:jc w:val="center"/>
              <w:ind w:left="19"/>
              <w:spacing w:after="0"/>
              <w:rPr>
                <w:sz w:val="20"/>
                <w:szCs w:val="20"/>
                <w:color w:val="auto"/>
              </w:rPr>
            </w:pPr>
            <w:r>
              <w:rPr>
                <w:rFonts w:ascii="Arial" w:cs="Arial" w:eastAsia="Arial" w:hAnsi="Arial"/>
                <w:sz w:val="17"/>
                <w:szCs w:val="17"/>
                <w:color w:val="auto"/>
                <w:w w:val="99"/>
              </w:rPr>
              <w:t>$11,530,116 </w:t>
            </w:r>
          </w:p>
        </w:tc>
        <w:tc>
          <w:tcPr>
            <w:tcW w:w="180" w:type="dxa"/>
            <w:vAlign w:val="bottom"/>
            <w:shd w:val="clear" w:color="auto" w:fill="E2EEFA"/>
          </w:tcPr>
          <w:p>
            <w:pPr>
              <w:spacing w:after="0"/>
              <w:rPr>
                <w:sz w:val="21"/>
                <w:szCs w:val="21"/>
                <w:color w:val="auto"/>
              </w:rPr>
            </w:pPr>
          </w:p>
        </w:tc>
        <w:tc>
          <w:tcPr>
            <w:tcW w:w="8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$73,280</w:t>
            </w:r>
          </w:p>
        </w:tc>
      </w:tr>
      <w:tr>
        <w:trPr>
          <w:trHeight w:val="252"/>
        </w:trPr>
        <w:tc>
          <w:tcPr>
            <w:tcW w:w="8360" w:type="dxa"/>
            <w:vAlign w:val="bottom"/>
            <w:tcBorders>
              <w:bottom w:val="single" w:sz="8" w:color="3E8EDE"/>
            </w:tcBorders>
          </w:tcPr>
          <w:p>
            <w:pPr>
              <w:spacing w:after="0"/>
              <w:rPr>
                <w:sz w:val="20"/>
                <w:szCs w:val="20"/>
                <w:color w:val="auto"/>
              </w:rPr>
            </w:pPr>
            <w:r>
              <w:rPr>
                <w:rFonts w:ascii="Arial" w:cs="Arial" w:eastAsia="Arial" w:hAnsi="Arial"/>
                <w:sz w:val="17"/>
                <w:szCs w:val="17"/>
                <w:color w:val="auto"/>
              </w:rPr>
              <w:t>CEO to Median Employee Pay Ratio</w:t>
            </w:r>
          </w:p>
        </w:tc>
        <w:tc>
          <w:tcPr>
            <w:tcW w:w="1220" w:type="dxa"/>
            <w:vAlign w:val="bottom"/>
            <w:tcBorders>
              <w:bottom w:val="single" w:sz="8" w:color="3E8EDE"/>
            </w:tcBorders>
          </w:tcPr>
          <w:p>
            <w:pPr>
              <w:jc w:val="right"/>
              <w:ind w:right="39"/>
              <w:spacing w:after="0"/>
              <w:rPr>
                <w:sz w:val="20"/>
                <w:szCs w:val="20"/>
                <w:color w:val="auto"/>
              </w:rPr>
            </w:pPr>
            <w:r>
              <w:rPr>
                <w:rFonts w:ascii="Arial" w:cs="Arial" w:eastAsia="Arial" w:hAnsi="Arial"/>
                <w:sz w:val="17"/>
                <w:szCs w:val="17"/>
                <w:color w:val="auto"/>
              </w:rPr>
              <w:t>157</w:t>
            </w:r>
          </w:p>
        </w:tc>
        <w:tc>
          <w:tcPr>
            <w:tcW w:w="180" w:type="dxa"/>
            <w:vAlign w:val="bottom"/>
            <w:tcBorders>
              <w:bottom w:val="single" w:sz="8" w:color="3E8EDE"/>
            </w:tcBorders>
          </w:tcPr>
          <w:p>
            <w:pPr>
              <w:spacing w:after="0"/>
              <w:rPr>
                <w:sz w:val="21"/>
                <w:szCs w:val="21"/>
                <w:color w:val="auto"/>
              </w:rPr>
            </w:pPr>
          </w:p>
        </w:tc>
        <w:tc>
          <w:tcPr>
            <w:tcW w:w="800" w:type="dxa"/>
            <w:vAlign w:val="bottom"/>
            <w:tcBorders>
              <w:bottom w:val="single" w:sz="8" w:color="3E8EDE"/>
            </w:tcBorders>
          </w:tcPr>
          <w:p>
            <w:pPr>
              <w:jc w:val="right"/>
              <w:spacing w:after="0"/>
              <w:rPr>
                <w:sz w:val="20"/>
                <w:szCs w:val="20"/>
                <w:color w:val="auto"/>
              </w:rPr>
            </w:pPr>
            <w:r>
              <w:rPr>
                <w:rFonts w:ascii="Arial" w:cs="Arial" w:eastAsia="Arial" w:hAnsi="Arial"/>
                <w:sz w:val="17"/>
                <w:szCs w:val="17"/>
                <w:color w:val="auto"/>
              </w:rPr>
              <w:t>1</w:t>
            </w:r>
          </w:p>
        </w:tc>
      </w:tr>
    </w:tbl>
    <w:p>
      <w:pPr>
        <w:spacing w:after="0" w:line="186" w:lineRule="exact"/>
        <w:rPr>
          <w:sz w:val="20"/>
          <w:szCs w:val="20"/>
          <w:color w:val="auto"/>
        </w:rPr>
      </w:pPr>
    </w:p>
    <w:p>
      <w:pPr>
        <w:ind w:left="340" w:right="60"/>
        <w:spacing w:after="0" w:line="233" w:lineRule="auto"/>
        <w:rPr>
          <w:sz w:val="20"/>
          <w:szCs w:val="20"/>
          <w:color w:val="auto"/>
        </w:rPr>
      </w:pPr>
      <w:r>
        <w:rPr>
          <w:rFonts w:ascii="Arial" w:cs="Arial" w:eastAsia="Arial" w:hAnsi="Arial"/>
          <w:sz w:val="19"/>
          <w:szCs w:val="19"/>
          <w:color w:val="auto"/>
        </w:rPr>
        <w:t>We note that, due to our permitted use of reasonable estimates and assumptions in preparing this CEO pay ratio disclosure, the disclosure may involve a degree of imprecision, and thus this CEO pay ratio disclosure is a reasonable estimate calculated in a manner consistent with Item 402(u) of Regulation S-K using the data and assumptions described above. Because the SEC rules for identifying the median employee and calculating the pay ratio allow companies to adopt a variety of methodologies, to apply certain exclusions, and to make reasonable estimates and assumptions that reflect their employee populations and compensation practices, the pay ratio reported by other companies may not be comparable to the pay ratio for the Company. Neither the Compensation and Organization Development Committee nor management of the Company use the pay ratio measure in making compensation decisions.</w:t>
      </w:r>
    </w:p>
    <w:p>
      <w:pPr>
        <w:spacing w:after="0" w:line="110"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3E8EDE"/>
        </w:rPr>
        <w:t xml:space="preserve">Notice of Annual Meeting of Shareholders </w:t>
      </w:r>
      <w:r>
        <w:rPr>
          <w:rFonts w:ascii="Arial" w:cs="Arial" w:eastAsia="Arial" w:hAnsi="Arial"/>
          <w:sz w:val="14"/>
          <w:szCs w:val="14"/>
          <w:color w:val="000000"/>
        </w:rPr>
        <w:t>and 2026 Proxy Statement   85</w:t>
      </w:r>
    </w:p>
    <w:p>
      <w:pPr>
        <w:sectPr>
          <w:pgSz w:w="11900" w:h="16838" w:orient="portrait"/>
          <w:cols w:equalWidth="0" w:num="1">
            <w:col w:w="10900"/>
          </w:cols>
          <w:pgMar w:left="320" w:top="469" w:right="6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7120" w:val="left"/>
        </w:tabs>
        <w:rPr>
          <w:sz w:val="20"/>
          <w:szCs w:val="20"/>
          <w:color w:val="auto"/>
        </w:rPr>
      </w:pPr>
      <w:r>
        <w:rPr>
          <w:rFonts w:ascii="Arial" w:cs="Arial" w:eastAsia="Arial" w:hAnsi="Arial"/>
          <w:sz w:val="17"/>
          <w:szCs w:val="17"/>
          <w:b w:val="1"/>
          <w:bCs w:val="1"/>
          <w:color w:val="auto"/>
        </w:rPr>
        <w:t> </w:t>
      </w:r>
      <w:r>
        <w:rPr>
          <w:sz w:val="20"/>
          <w:szCs w:val="20"/>
          <w:color w:val="auto"/>
        </w:rPr>
        <w:tab/>
      </w:r>
      <w:r>
        <w:rPr>
          <w:rFonts w:ascii="Arial" w:cs="Arial" w:eastAsia="Arial" w:hAnsi="Arial"/>
          <w:sz w:val="16"/>
          <w:szCs w:val="16"/>
          <w:b w:val="1"/>
          <w:bCs w:val="1"/>
          <w:color w:val="3E8EDE"/>
        </w:rPr>
        <w:t xml:space="preserve">Executive Compensation: </w:t>
      </w:r>
      <w:r>
        <w:rPr>
          <w:rFonts w:ascii="Arial" w:cs="Arial" w:eastAsia="Arial" w:hAnsi="Arial"/>
          <w:sz w:val="16"/>
          <w:szCs w:val="16"/>
          <w:b w:val="1"/>
          <w:bCs w:val="1"/>
          <w:color w:val="000000"/>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43815</wp:posOffset>
            </wp:positionV>
            <wp:extent cx="67100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Pay Versus Performance</w:t>
      </w:r>
    </w:p>
    <w:p>
      <w:pPr>
        <w:spacing w:after="0" w:line="217" w:lineRule="exact"/>
        <w:rPr>
          <w:sz w:val="20"/>
          <w:szCs w:val="20"/>
          <w:color w:val="auto"/>
        </w:rPr>
      </w:pPr>
    </w:p>
    <w:p>
      <w:pPr>
        <w:ind w:left="340" w:right="540"/>
        <w:spacing w:after="0" w:line="239" w:lineRule="auto"/>
        <w:rPr>
          <w:sz w:val="20"/>
          <w:szCs w:val="20"/>
          <w:color w:val="auto"/>
        </w:rPr>
      </w:pPr>
      <w:r>
        <w:rPr>
          <w:rFonts w:ascii="Arial" w:cs="Arial" w:eastAsia="Arial" w:hAnsi="Arial"/>
          <w:sz w:val="19"/>
          <w:szCs w:val="19"/>
          <w:color w:val="auto"/>
        </w:rPr>
        <w:t>We are providing the following information about the relationship between “compensation actually paid” to our named executive officers and certain financial performance as required by Section 953(a) of the Dodd-Frank Wall Street Reform and Consumer Protection Act, and Item 402(v) of Regulation S-K. Please see the Compensation Discussion and Analysis for additional information regarding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135255</wp:posOffset>
            </wp:positionV>
            <wp:extent cx="6985000" cy="12338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85000" cy="1233805"/>
                    </a:xfrm>
                    <a:prstGeom prst="rect">
                      <a:avLst/>
                    </a:prstGeom>
                    <a:noFill/>
                  </pic:spPr>
                </pic:pic>
              </a:graphicData>
            </a:graphic>
          </wp:anchor>
        </w:drawing>
      </w:r>
    </w:p>
    <w:p>
      <w:pPr>
        <w:spacing w:after="0" w:line="237" w:lineRule="exact"/>
        <w:rPr>
          <w:sz w:val="20"/>
          <w:szCs w:val="20"/>
          <w:color w:val="auto"/>
        </w:rPr>
      </w:pPr>
    </w:p>
    <w:p>
      <w:pPr>
        <w:ind w:left="5080"/>
        <w:spacing w:after="0"/>
        <w:rPr>
          <w:sz w:val="20"/>
          <w:szCs w:val="20"/>
          <w:color w:val="auto"/>
        </w:rPr>
      </w:pPr>
      <w:r>
        <w:rPr>
          <w:rFonts w:ascii="Arial" w:cs="Arial" w:eastAsia="Arial" w:hAnsi="Arial"/>
          <w:sz w:val="11"/>
          <w:szCs w:val="11"/>
          <w:b w:val="1"/>
          <w:bCs w:val="1"/>
          <w:color w:val="FFFFFF"/>
        </w:rPr>
        <w:t>PAY VERSUS PERFORMANCE(1)</w:t>
      </w:r>
    </w:p>
    <w:p>
      <w:pPr>
        <w:spacing w:after="0" w:line="50" w:lineRule="exact"/>
        <w:rPr>
          <w:sz w:val="20"/>
          <w:szCs w:val="20"/>
          <w:color w:val="auto"/>
        </w:rPr>
      </w:pPr>
    </w:p>
    <w:tbl>
      <w:tblPr>
        <w:tblLayout w:type="fixed"/>
        <w:tblInd w:w="340" w:type="dxa"/>
        <w:tblCellMar>
          <w:top w:w="0" w:type="dxa"/>
          <w:left w:w="0" w:type="dxa"/>
          <w:bottom w:w="0" w:type="dxa"/>
          <w:right w:w="0" w:type="dxa"/>
        </w:tblCellMar>
      </w:tblPr>
      <w:tr>
        <w:trPr>
          <w:trHeight w:val="52"/>
        </w:trPr>
        <w:tc>
          <w:tcPr>
            <w:tcW w:w="400" w:type="dxa"/>
            <w:vAlign w:val="bottom"/>
            <w:shd w:val="clear" w:color="auto" w:fill="3E8ED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00" w:type="dxa"/>
            <w:vAlign w:val="bottom"/>
            <w:shd w:val="clear" w:color="auto" w:fill="3E8EDE"/>
          </w:tcPr>
          <w:p>
            <w:pPr>
              <w:spacing w:after="0"/>
              <w:rPr>
                <w:sz w:val="10"/>
                <w:szCs w:val="10"/>
                <w:color w:val="auto"/>
              </w:rPr>
            </w:pPr>
          </w:p>
        </w:tc>
        <w:tc>
          <w:tcPr>
            <w:tcW w:w="160" w:type="dxa"/>
            <w:vAlign w:val="bottom"/>
            <w:shd w:val="clear" w:color="auto" w:fill="3E8EDE"/>
          </w:tcPr>
          <w:p>
            <w:pPr>
              <w:spacing w:after="0"/>
              <w:rPr>
                <w:sz w:val="10"/>
                <w:szCs w:val="10"/>
                <w:color w:val="auto"/>
              </w:rPr>
            </w:pPr>
          </w:p>
        </w:tc>
        <w:tc>
          <w:tcPr>
            <w:tcW w:w="800" w:type="dxa"/>
            <w:vAlign w:val="bottom"/>
            <w:shd w:val="clear" w:color="auto" w:fill="3E8EDE"/>
          </w:tcPr>
          <w:p>
            <w:pPr>
              <w:spacing w:after="0"/>
              <w:rPr>
                <w:sz w:val="10"/>
                <w:szCs w:val="10"/>
                <w:color w:val="auto"/>
              </w:rPr>
            </w:pPr>
          </w:p>
        </w:tc>
        <w:tc>
          <w:tcPr>
            <w:tcW w:w="1380" w:type="dxa"/>
            <w:vAlign w:val="bottom"/>
            <w:shd w:val="clear" w:color="auto" w:fill="3E8EDE"/>
          </w:tcPr>
          <w:p>
            <w:pPr>
              <w:spacing w:after="0"/>
              <w:rPr>
                <w:sz w:val="10"/>
                <w:szCs w:val="10"/>
                <w:color w:val="auto"/>
              </w:rPr>
            </w:pPr>
          </w:p>
        </w:tc>
        <w:tc>
          <w:tcPr>
            <w:tcW w:w="480" w:type="dxa"/>
            <w:vAlign w:val="bottom"/>
            <w:shd w:val="clear" w:color="auto" w:fill="3E8EDE"/>
          </w:tcPr>
          <w:p>
            <w:pPr>
              <w:spacing w:after="0"/>
              <w:rPr>
                <w:sz w:val="10"/>
                <w:szCs w:val="10"/>
                <w:color w:val="auto"/>
              </w:rPr>
            </w:pPr>
          </w:p>
        </w:tc>
        <w:tc>
          <w:tcPr>
            <w:tcW w:w="960" w:type="dxa"/>
            <w:vAlign w:val="bottom"/>
            <w:shd w:val="clear" w:color="auto" w:fill="3E8EDE"/>
          </w:tcPr>
          <w:p>
            <w:pPr>
              <w:spacing w:after="0"/>
              <w:rPr>
                <w:sz w:val="10"/>
                <w:szCs w:val="10"/>
                <w:color w:val="auto"/>
              </w:rPr>
            </w:pPr>
          </w:p>
        </w:tc>
        <w:tc>
          <w:tcPr>
            <w:tcW w:w="1800" w:type="dxa"/>
            <w:vAlign w:val="bottom"/>
            <w:shd w:val="clear" w:color="auto" w:fill="3E8EDE"/>
          </w:tcPr>
          <w:p>
            <w:pPr>
              <w:spacing w:after="0"/>
              <w:rPr>
                <w:sz w:val="10"/>
                <w:szCs w:val="10"/>
                <w:color w:val="auto"/>
              </w:rPr>
            </w:pPr>
          </w:p>
        </w:tc>
        <w:tc>
          <w:tcPr>
            <w:tcW w:w="840" w:type="dxa"/>
            <w:vAlign w:val="bottom"/>
            <w:shd w:val="clear" w:color="auto" w:fill="3E8EDE"/>
          </w:tcPr>
          <w:p>
            <w:pPr>
              <w:spacing w:after="0"/>
              <w:rPr>
                <w:sz w:val="10"/>
                <w:szCs w:val="10"/>
                <w:color w:val="auto"/>
              </w:rPr>
            </w:pPr>
          </w:p>
        </w:tc>
        <w:tc>
          <w:tcPr>
            <w:tcW w:w="840" w:type="dxa"/>
            <w:vAlign w:val="bottom"/>
            <w:shd w:val="clear" w:color="auto" w:fill="3E8EDE"/>
          </w:tcPr>
          <w:p>
            <w:pPr>
              <w:spacing w:after="0"/>
              <w:rPr>
                <w:sz w:val="10"/>
                <w:szCs w:val="10"/>
                <w:color w:val="auto"/>
              </w:rPr>
            </w:pPr>
          </w:p>
        </w:tc>
        <w:tc>
          <w:tcPr>
            <w:tcW w:w="40" w:type="dxa"/>
            <w:vAlign w:val="bottom"/>
            <w:shd w:val="clear" w:color="auto" w:fill="3E8EDE"/>
          </w:tcPr>
          <w:p>
            <w:pPr>
              <w:spacing w:after="0"/>
              <w:rPr>
                <w:sz w:val="10"/>
                <w:szCs w:val="10"/>
                <w:color w:val="auto"/>
              </w:rPr>
            </w:pPr>
          </w:p>
        </w:tc>
        <w:tc>
          <w:tcPr>
            <w:tcW w:w="1740" w:type="dxa"/>
            <w:vAlign w:val="bottom"/>
            <w:gridSpan w:val="3"/>
            <w:shd w:val="clear" w:color="auto" w:fill="3E8EDE"/>
          </w:tcPr>
          <w:p>
            <w:pPr>
              <w:jc w:val="center"/>
              <w:ind w:right="21"/>
              <w:spacing w:after="0" w:line="122" w:lineRule="exact"/>
              <w:rPr>
                <w:sz w:val="20"/>
                <w:szCs w:val="20"/>
                <w:color w:val="auto"/>
              </w:rPr>
            </w:pPr>
            <w:r>
              <w:rPr>
                <w:rFonts w:ascii="Arial" w:cs="Arial" w:eastAsia="Arial" w:hAnsi="Arial"/>
                <w:sz w:val="11"/>
                <w:szCs w:val="11"/>
                <w:b w:val="1"/>
                <w:bCs w:val="1"/>
                <w:color w:val="FFFFFF"/>
                <w:w w:val="99"/>
              </w:rPr>
              <w:t>Value of Initial</w:t>
            </w:r>
          </w:p>
        </w:tc>
        <w:tc>
          <w:tcPr>
            <w:tcW w:w="820" w:type="dxa"/>
            <w:vAlign w:val="bottom"/>
            <w:shd w:val="clear" w:color="auto" w:fill="3E8EDE"/>
          </w:tcPr>
          <w:p>
            <w:pPr>
              <w:spacing w:after="0"/>
              <w:rPr>
                <w:sz w:val="10"/>
                <w:szCs w:val="10"/>
                <w:color w:val="auto"/>
              </w:rPr>
            </w:pPr>
          </w:p>
        </w:tc>
        <w:tc>
          <w:tcPr>
            <w:tcW w:w="740" w:type="dxa"/>
            <w:vAlign w:val="bottom"/>
            <w:shd w:val="clear" w:color="auto" w:fill="3E8ED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00" w:type="dxa"/>
            <w:vAlign w:val="bottom"/>
            <w:shd w:val="clear" w:color="auto" w:fill="3E8EDE"/>
          </w:tcPr>
          <w:p>
            <w:pPr>
              <w:spacing w:after="0"/>
              <w:rPr>
                <w:sz w:val="11"/>
                <w:szCs w:val="11"/>
                <w:color w:val="auto"/>
              </w:rPr>
            </w:pPr>
          </w:p>
        </w:tc>
        <w:tc>
          <w:tcPr>
            <w:tcW w:w="160" w:type="dxa"/>
            <w:vAlign w:val="bottom"/>
            <w:shd w:val="clear" w:color="auto" w:fill="3E8EDE"/>
          </w:tcPr>
          <w:p>
            <w:pPr>
              <w:spacing w:after="0"/>
              <w:rPr>
                <w:sz w:val="11"/>
                <w:szCs w:val="11"/>
                <w:color w:val="auto"/>
              </w:rPr>
            </w:pPr>
          </w:p>
        </w:tc>
        <w:tc>
          <w:tcPr>
            <w:tcW w:w="800" w:type="dxa"/>
            <w:vAlign w:val="bottom"/>
            <w:shd w:val="clear" w:color="auto" w:fill="3E8EDE"/>
          </w:tcPr>
          <w:p>
            <w:pPr>
              <w:spacing w:after="0"/>
              <w:rPr>
                <w:sz w:val="11"/>
                <w:szCs w:val="11"/>
                <w:color w:val="auto"/>
              </w:rPr>
            </w:pPr>
          </w:p>
        </w:tc>
        <w:tc>
          <w:tcPr>
            <w:tcW w:w="1380" w:type="dxa"/>
            <w:vAlign w:val="bottom"/>
            <w:shd w:val="clear" w:color="auto" w:fill="3E8EDE"/>
          </w:tcPr>
          <w:p>
            <w:pPr>
              <w:spacing w:after="0"/>
              <w:rPr>
                <w:sz w:val="11"/>
                <w:szCs w:val="11"/>
                <w:color w:val="auto"/>
              </w:rPr>
            </w:pPr>
          </w:p>
        </w:tc>
        <w:tc>
          <w:tcPr>
            <w:tcW w:w="480" w:type="dxa"/>
            <w:vAlign w:val="bottom"/>
            <w:shd w:val="clear" w:color="auto" w:fill="3E8EDE"/>
          </w:tcPr>
          <w:p>
            <w:pPr>
              <w:spacing w:after="0"/>
              <w:rPr>
                <w:sz w:val="11"/>
                <w:szCs w:val="11"/>
                <w:color w:val="auto"/>
              </w:rPr>
            </w:pPr>
          </w:p>
        </w:tc>
        <w:tc>
          <w:tcPr>
            <w:tcW w:w="960" w:type="dxa"/>
            <w:vAlign w:val="bottom"/>
            <w:shd w:val="clear" w:color="auto" w:fill="3E8EDE"/>
          </w:tcPr>
          <w:p>
            <w:pPr>
              <w:spacing w:after="0"/>
              <w:rPr>
                <w:sz w:val="11"/>
                <w:szCs w:val="11"/>
                <w:color w:val="auto"/>
              </w:rPr>
            </w:pPr>
          </w:p>
        </w:tc>
        <w:tc>
          <w:tcPr>
            <w:tcW w:w="1800" w:type="dxa"/>
            <w:vAlign w:val="bottom"/>
            <w:shd w:val="clear" w:color="auto" w:fill="3E8EDE"/>
          </w:tcPr>
          <w:p>
            <w:pPr>
              <w:spacing w:after="0"/>
              <w:rPr>
                <w:sz w:val="11"/>
                <w:szCs w:val="11"/>
                <w:color w:val="auto"/>
              </w:rPr>
            </w:pPr>
          </w:p>
        </w:tc>
        <w:tc>
          <w:tcPr>
            <w:tcW w:w="840" w:type="dxa"/>
            <w:vAlign w:val="bottom"/>
            <w:shd w:val="clear" w:color="auto" w:fill="3E8EDE"/>
          </w:tcPr>
          <w:p>
            <w:pPr>
              <w:spacing w:after="0"/>
              <w:rPr>
                <w:sz w:val="11"/>
                <w:szCs w:val="11"/>
                <w:color w:val="auto"/>
              </w:rPr>
            </w:pPr>
          </w:p>
        </w:tc>
        <w:tc>
          <w:tcPr>
            <w:tcW w:w="840" w:type="dxa"/>
            <w:vAlign w:val="bottom"/>
            <w:shd w:val="clear" w:color="auto" w:fill="3E8EDE"/>
          </w:tcPr>
          <w:p>
            <w:pPr>
              <w:spacing w:after="0"/>
              <w:rPr>
                <w:sz w:val="11"/>
                <w:szCs w:val="11"/>
                <w:color w:val="auto"/>
              </w:rPr>
            </w:pPr>
          </w:p>
        </w:tc>
        <w:tc>
          <w:tcPr>
            <w:tcW w:w="40" w:type="dxa"/>
            <w:vAlign w:val="bottom"/>
            <w:shd w:val="clear" w:color="auto" w:fill="3E8EDE"/>
          </w:tcPr>
          <w:p>
            <w:pPr>
              <w:spacing w:after="0"/>
              <w:rPr>
                <w:sz w:val="11"/>
                <w:szCs w:val="11"/>
                <w:color w:val="auto"/>
              </w:rPr>
            </w:pPr>
          </w:p>
        </w:tc>
        <w:tc>
          <w:tcPr>
            <w:tcW w:w="540" w:type="dxa"/>
            <w:vAlign w:val="bottom"/>
            <w:shd w:val="clear" w:color="auto" w:fill="3E8EDE"/>
          </w:tcPr>
          <w:p>
            <w:pPr>
              <w:spacing w:after="0"/>
              <w:rPr>
                <w:sz w:val="11"/>
                <w:szCs w:val="11"/>
                <w:color w:val="auto"/>
              </w:rPr>
            </w:pPr>
          </w:p>
        </w:tc>
        <w:tc>
          <w:tcPr>
            <w:tcW w:w="600" w:type="dxa"/>
            <w:vAlign w:val="bottom"/>
            <w:shd w:val="clear" w:color="auto" w:fill="3E8EDE"/>
          </w:tcPr>
          <w:p>
            <w:pPr>
              <w:jc w:val="center"/>
              <w:spacing w:after="0"/>
              <w:rPr>
                <w:sz w:val="20"/>
                <w:szCs w:val="20"/>
                <w:color w:val="auto"/>
              </w:rPr>
            </w:pPr>
            <w:r>
              <w:rPr>
                <w:rFonts w:ascii="Arial" w:cs="Arial" w:eastAsia="Arial" w:hAnsi="Arial"/>
                <w:sz w:val="11"/>
                <w:szCs w:val="11"/>
                <w:b w:val="1"/>
                <w:bCs w:val="1"/>
                <w:color w:val="FFFFFF"/>
              </w:rPr>
              <w:t>Fixed $100</w:t>
            </w:r>
          </w:p>
        </w:tc>
        <w:tc>
          <w:tcPr>
            <w:tcW w:w="600" w:type="dxa"/>
            <w:vAlign w:val="bottom"/>
            <w:shd w:val="clear" w:color="auto" w:fill="3E8EDE"/>
          </w:tcPr>
          <w:p>
            <w:pPr>
              <w:spacing w:after="0"/>
              <w:rPr>
                <w:sz w:val="11"/>
                <w:szCs w:val="11"/>
                <w:color w:val="auto"/>
              </w:rPr>
            </w:pPr>
          </w:p>
        </w:tc>
        <w:tc>
          <w:tcPr>
            <w:tcW w:w="820" w:type="dxa"/>
            <w:vAlign w:val="bottom"/>
            <w:shd w:val="clear" w:color="auto" w:fill="3E8EDE"/>
          </w:tcPr>
          <w:p>
            <w:pPr>
              <w:spacing w:after="0"/>
              <w:rPr>
                <w:sz w:val="11"/>
                <w:szCs w:val="11"/>
                <w:color w:val="auto"/>
              </w:rPr>
            </w:pPr>
          </w:p>
        </w:tc>
        <w:tc>
          <w:tcPr>
            <w:tcW w:w="740" w:type="dxa"/>
            <w:vAlign w:val="bottom"/>
            <w:shd w:val="clear" w:color="auto" w:fill="3E8ED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00" w:type="dxa"/>
            <w:vAlign w:val="bottom"/>
            <w:shd w:val="clear" w:color="auto" w:fill="3E8EDE"/>
          </w:tcPr>
          <w:p>
            <w:pPr>
              <w:spacing w:after="0"/>
              <w:rPr>
                <w:sz w:val="11"/>
                <w:szCs w:val="11"/>
                <w:color w:val="auto"/>
              </w:rPr>
            </w:pPr>
          </w:p>
        </w:tc>
        <w:tc>
          <w:tcPr>
            <w:tcW w:w="160" w:type="dxa"/>
            <w:vAlign w:val="bottom"/>
            <w:shd w:val="clear" w:color="auto" w:fill="3E8EDE"/>
          </w:tcPr>
          <w:p>
            <w:pPr>
              <w:spacing w:after="0"/>
              <w:rPr>
                <w:sz w:val="11"/>
                <w:szCs w:val="11"/>
                <w:color w:val="auto"/>
              </w:rPr>
            </w:pPr>
          </w:p>
        </w:tc>
        <w:tc>
          <w:tcPr>
            <w:tcW w:w="800" w:type="dxa"/>
            <w:vAlign w:val="bottom"/>
            <w:shd w:val="clear" w:color="auto" w:fill="3E8EDE"/>
          </w:tcPr>
          <w:p>
            <w:pPr>
              <w:spacing w:after="0"/>
              <w:rPr>
                <w:sz w:val="11"/>
                <w:szCs w:val="11"/>
                <w:color w:val="auto"/>
              </w:rPr>
            </w:pPr>
          </w:p>
        </w:tc>
        <w:tc>
          <w:tcPr>
            <w:tcW w:w="1380" w:type="dxa"/>
            <w:vAlign w:val="bottom"/>
            <w:shd w:val="clear" w:color="auto" w:fill="3E8EDE"/>
          </w:tcPr>
          <w:p>
            <w:pPr>
              <w:spacing w:after="0"/>
              <w:rPr>
                <w:sz w:val="11"/>
                <w:szCs w:val="11"/>
                <w:color w:val="auto"/>
              </w:rPr>
            </w:pPr>
          </w:p>
        </w:tc>
        <w:tc>
          <w:tcPr>
            <w:tcW w:w="480" w:type="dxa"/>
            <w:vAlign w:val="bottom"/>
            <w:shd w:val="clear" w:color="auto" w:fill="3E8EDE"/>
          </w:tcPr>
          <w:p>
            <w:pPr>
              <w:spacing w:after="0"/>
              <w:rPr>
                <w:sz w:val="11"/>
                <w:szCs w:val="11"/>
                <w:color w:val="auto"/>
              </w:rPr>
            </w:pPr>
          </w:p>
        </w:tc>
        <w:tc>
          <w:tcPr>
            <w:tcW w:w="960" w:type="dxa"/>
            <w:vAlign w:val="bottom"/>
            <w:shd w:val="clear" w:color="auto" w:fill="3E8EDE"/>
          </w:tcPr>
          <w:p>
            <w:pPr>
              <w:spacing w:after="0"/>
              <w:rPr>
                <w:sz w:val="11"/>
                <w:szCs w:val="11"/>
                <w:color w:val="auto"/>
              </w:rPr>
            </w:pPr>
          </w:p>
        </w:tc>
        <w:tc>
          <w:tcPr>
            <w:tcW w:w="1800" w:type="dxa"/>
            <w:vAlign w:val="bottom"/>
            <w:shd w:val="clear" w:color="auto" w:fill="3E8EDE"/>
          </w:tcPr>
          <w:p>
            <w:pPr>
              <w:spacing w:after="0"/>
              <w:rPr>
                <w:sz w:val="11"/>
                <w:szCs w:val="11"/>
                <w:color w:val="auto"/>
              </w:rPr>
            </w:pPr>
          </w:p>
        </w:tc>
        <w:tc>
          <w:tcPr>
            <w:tcW w:w="840" w:type="dxa"/>
            <w:vAlign w:val="bottom"/>
            <w:shd w:val="clear" w:color="auto" w:fill="3E8EDE"/>
          </w:tcPr>
          <w:p>
            <w:pPr>
              <w:spacing w:after="0"/>
              <w:rPr>
                <w:sz w:val="11"/>
                <w:szCs w:val="11"/>
                <w:color w:val="auto"/>
              </w:rPr>
            </w:pPr>
          </w:p>
        </w:tc>
        <w:tc>
          <w:tcPr>
            <w:tcW w:w="840" w:type="dxa"/>
            <w:vAlign w:val="bottom"/>
            <w:vMerge w:val="restart"/>
            <w:shd w:val="clear" w:color="auto" w:fill="3E8EDE"/>
          </w:tcPr>
          <w:p>
            <w:pPr>
              <w:jc w:val="center"/>
              <w:ind w:left="61"/>
              <w:spacing w:after="0"/>
              <w:rPr>
                <w:sz w:val="20"/>
                <w:szCs w:val="20"/>
                <w:color w:val="auto"/>
              </w:rPr>
            </w:pPr>
            <w:r>
              <w:rPr>
                <w:rFonts w:ascii="Arial" w:cs="Arial" w:eastAsia="Arial" w:hAnsi="Arial"/>
                <w:sz w:val="11"/>
                <w:szCs w:val="11"/>
                <w:b w:val="1"/>
                <w:bCs w:val="1"/>
                <w:color w:val="FFFFFF"/>
              </w:rPr>
              <w:t>Average</w:t>
            </w:r>
          </w:p>
        </w:tc>
        <w:tc>
          <w:tcPr>
            <w:tcW w:w="40" w:type="dxa"/>
            <w:vAlign w:val="bottom"/>
            <w:shd w:val="clear" w:color="auto" w:fill="3E8EDE"/>
          </w:tcPr>
          <w:p>
            <w:pPr>
              <w:spacing w:after="0"/>
              <w:rPr>
                <w:sz w:val="11"/>
                <w:szCs w:val="11"/>
                <w:color w:val="auto"/>
              </w:rPr>
            </w:pPr>
          </w:p>
        </w:tc>
        <w:tc>
          <w:tcPr>
            <w:tcW w:w="1740" w:type="dxa"/>
            <w:vAlign w:val="bottom"/>
            <w:gridSpan w:val="3"/>
            <w:shd w:val="clear" w:color="auto" w:fill="3E8EDE"/>
          </w:tcPr>
          <w:p>
            <w:pPr>
              <w:jc w:val="center"/>
              <w:ind w:right="41"/>
              <w:spacing w:after="0"/>
              <w:rPr>
                <w:sz w:val="20"/>
                <w:szCs w:val="20"/>
                <w:color w:val="auto"/>
              </w:rPr>
            </w:pPr>
            <w:r>
              <w:rPr>
                <w:rFonts w:ascii="Arial" w:cs="Arial" w:eastAsia="Arial" w:hAnsi="Arial"/>
                <w:sz w:val="11"/>
                <w:szCs w:val="11"/>
                <w:b w:val="1"/>
                <w:bCs w:val="1"/>
                <w:color w:val="FFFFFF"/>
              </w:rPr>
              <w:t>Investment Based</w:t>
            </w:r>
          </w:p>
        </w:tc>
        <w:tc>
          <w:tcPr>
            <w:tcW w:w="820" w:type="dxa"/>
            <w:vAlign w:val="bottom"/>
            <w:shd w:val="clear" w:color="auto" w:fill="3E8EDE"/>
          </w:tcPr>
          <w:p>
            <w:pPr>
              <w:spacing w:after="0"/>
              <w:rPr>
                <w:sz w:val="11"/>
                <w:szCs w:val="11"/>
                <w:color w:val="auto"/>
              </w:rPr>
            </w:pPr>
          </w:p>
        </w:tc>
        <w:tc>
          <w:tcPr>
            <w:tcW w:w="740" w:type="dxa"/>
            <w:vAlign w:val="bottom"/>
            <w:shd w:val="clear" w:color="auto" w:fill="3E8ED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400" w:type="dxa"/>
            <w:vAlign w:val="bottom"/>
            <w:shd w:val="clear" w:color="auto" w:fill="3E8EDE"/>
          </w:tcPr>
          <w:p>
            <w:pPr>
              <w:spacing w:after="0"/>
              <w:rPr>
                <w:sz w:val="4"/>
                <w:szCs w:val="4"/>
                <w:color w:val="auto"/>
              </w:rPr>
            </w:pPr>
          </w:p>
        </w:tc>
        <w:tc>
          <w:tcPr>
            <w:tcW w:w="160" w:type="dxa"/>
            <w:vAlign w:val="bottom"/>
            <w:shd w:val="clear" w:color="auto" w:fill="3E8EDE"/>
          </w:tcPr>
          <w:p>
            <w:pPr>
              <w:spacing w:after="0"/>
              <w:rPr>
                <w:sz w:val="4"/>
                <w:szCs w:val="4"/>
                <w:color w:val="auto"/>
              </w:rPr>
            </w:pPr>
          </w:p>
        </w:tc>
        <w:tc>
          <w:tcPr>
            <w:tcW w:w="800" w:type="dxa"/>
            <w:vAlign w:val="bottom"/>
            <w:shd w:val="clear" w:color="auto" w:fill="3E8EDE"/>
          </w:tcPr>
          <w:p>
            <w:pPr>
              <w:spacing w:after="0"/>
              <w:rPr>
                <w:sz w:val="4"/>
                <w:szCs w:val="4"/>
                <w:color w:val="auto"/>
              </w:rPr>
            </w:pPr>
          </w:p>
        </w:tc>
        <w:tc>
          <w:tcPr>
            <w:tcW w:w="1380" w:type="dxa"/>
            <w:vAlign w:val="bottom"/>
            <w:shd w:val="clear" w:color="auto" w:fill="3E8EDE"/>
          </w:tcPr>
          <w:p>
            <w:pPr>
              <w:spacing w:after="0"/>
              <w:rPr>
                <w:sz w:val="4"/>
                <w:szCs w:val="4"/>
                <w:color w:val="auto"/>
              </w:rPr>
            </w:pPr>
          </w:p>
        </w:tc>
        <w:tc>
          <w:tcPr>
            <w:tcW w:w="480" w:type="dxa"/>
            <w:vAlign w:val="bottom"/>
            <w:shd w:val="clear" w:color="auto" w:fill="3E8EDE"/>
          </w:tcPr>
          <w:p>
            <w:pPr>
              <w:spacing w:after="0"/>
              <w:rPr>
                <w:sz w:val="4"/>
                <w:szCs w:val="4"/>
                <w:color w:val="auto"/>
              </w:rPr>
            </w:pPr>
          </w:p>
        </w:tc>
        <w:tc>
          <w:tcPr>
            <w:tcW w:w="960" w:type="dxa"/>
            <w:vAlign w:val="bottom"/>
            <w:shd w:val="clear" w:color="auto" w:fill="3E8EDE"/>
          </w:tcPr>
          <w:p>
            <w:pPr>
              <w:spacing w:after="0"/>
              <w:rPr>
                <w:sz w:val="4"/>
                <w:szCs w:val="4"/>
                <w:color w:val="auto"/>
              </w:rPr>
            </w:pPr>
          </w:p>
        </w:tc>
        <w:tc>
          <w:tcPr>
            <w:tcW w:w="1800" w:type="dxa"/>
            <w:vAlign w:val="bottom"/>
            <w:shd w:val="clear" w:color="auto" w:fill="3E8EDE"/>
          </w:tcPr>
          <w:p>
            <w:pPr>
              <w:spacing w:after="0"/>
              <w:rPr>
                <w:sz w:val="4"/>
                <w:szCs w:val="4"/>
                <w:color w:val="auto"/>
              </w:rPr>
            </w:pPr>
          </w:p>
        </w:tc>
        <w:tc>
          <w:tcPr>
            <w:tcW w:w="840" w:type="dxa"/>
            <w:vAlign w:val="bottom"/>
            <w:shd w:val="clear" w:color="auto" w:fill="3E8EDE"/>
          </w:tcPr>
          <w:p>
            <w:pPr>
              <w:spacing w:after="0"/>
              <w:rPr>
                <w:sz w:val="4"/>
                <w:szCs w:val="4"/>
                <w:color w:val="auto"/>
              </w:rPr>
            </w:pPr>
          </w:p>
        </w:tc>
        <w:tc>
          <w:tcPr>
            <w:tcW w:w="840" w:type="dxa"/>
            <w:vAlign w:val="bottom"/>
            <w:vMerge w:val="continue"/>
            <w:shd w:val="clear" w:color="auto" w:fill="3E8EDE"/>
          </w:tcPr>
          <w:p>
            <w:pPr>
              <w:spacing w:after="0"/>
              <w:rPr>
                <w:sz w:val="4"/>
                <w:szCs w:val="4"/>
                <w:color w:val="auto"/>
              </w:rPr>
            </w:pPr>
          </w:p>
        </w:tc>
        <w:tc>
          <w:tcPr>
            <w:tcW w:w="40" w:type="dxa"/>
            <w:vAlign w:val="bottom"/>
            <w:shd w:val="clear" w:color="auto" w:fill="3E8EDE"/>
          </w:tcPr>
          <w:p>
            <w:pPr>
              <w:spacing w:after="0"/>
              <w:rPr>
                <w:sz w:val="4"/>
                <w:szCs w:val="4"/>
                <w:color w:val="auto"/>
              </w:rPr>
            </w:pPr>
          </w:p>
        </w:tc>
        <w:tc>
          <w:tcPr>
            <w:tcW w:w="540" w:type="dxa"/>
            <w:vAlign w:val="bottom"/>
            <w:shd w:val="clear" w:color="auto" w:fill="3E8EDE"/>
          </w:tcPr>
          <w:p>
            <w:pPr>
              <w:spacing w:after="0"/>
              <w:rPr>
                <w:sz w:val="4"/>
                <w:szCs w:val="4"/>
                <w:color w:val="auto"/>
              </w:rPr>
            </w:pPr>
          </w:p>
        </w:tc>
        <w:tc>
          <w:tcPr>
            <w:tcW w:w="600" w:type="dxa"/>
            <w:vAlign w:val="bottom"/>
            <w:vMerge w:val="restart"/>
            <w:shd w:val="clear" w:color="auto" w:fill="3E8EDE"/>
          </w:tcPr>
          <w:p>
            <w:pPr>
              <w:jc w:val="center"/>
              <w:spacing w:after="0"/>
              <w:rPr>
                <w:sz w:val="20"/>
                <w:szCs w:val="20"/>
                <w:color w:val="auto"/>
              </w:rPr>
            </w:pPr>
            <w:r>
              <w:rPr>
                <w:rFonts w:ascii="Arial" w:cs="Arial" w:eastAsia="Arial" w:hAnsi="Arial"/>
                <w:sz w:val="11"/>
                <w:szCs w:val="11"/>
                <w:b w:val="1"/>
                <w:bCs w:val="1"/>
                <w:color w:val="FFFFFF"/>
                <w:w w:val="94"/>
              </w:rPr>
              <w:t>On:</w:t>
            </w:r>
          </w:p>
        </w:tc>
        <w:tc>
          <w:tcPr>
            <w:tcW w:w="600" w:type="dxa"/>
            <w:vAlign w:val="bottom"/>
            <w:shd w:val="clear" w:color="auto" w:fill="3E8EDE"/>
          </w:tcPr>
          <w:p>
            <w:pPr>
              <w:spacing w:after="0"/>
              <w:rPr>
                <w:sz w:val="4"/>
                <w:szCs w:val="4"/>
                <w:color w:val="auto"/>
              </w:rPr>
            </w:pPr>
          </w:p>
        </w:tc>
        <w:tc>
          <w:tcPr>
            <w:tcW w:w="820" w:type="dxa"/>
            <w:vAlign w:val="bottom"/>
            <w:shd w:val="clear" w:color="auto" w:fill="3E8EDE"/>
          </w:tcPr>
          <w:p>
            <w:pPr>
              <w:spacing w:after="0"/>
              <w:rPr>
                <w:sz w:val="4"/>
                <w:szCs w:val="4"/>
                <w:color w:val="auto"/>
              </w:rPr>
            </w:pPr>
          </w:p>
        </w:tc>
        <w:tc>
          <w:tcPr>
            <w:tcW w:w="740" w:type="dxa"/>
            <w:vAlign w:val="bottom"/>
            <w:shd w:val="clear" w:color="auto" w:fill="3E8ED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400" w:type="dxa"/>
            <w:vAlign w:val="bottom"/>
            <w:shd w:val="clear" w:color="auto" w:fill="3E8EDE"/>
          </w:tcPr>
          <w:p>
            <w:pPr>
              <w:spacing w:after="0"/>
              <w:rPr>
                <w:sz w:val="8"/>
                <w:szCs w:val="8"/>
                <w:color w:val="auto"/>
              </w:rPr>
            </w:pPr>
          </w:p>
        </w:tc>
        <w:tc>
          <w:tcPr>
            <w:tcW w:w="160" w:type="dxa"/>
            <w:vAlign w:val="bottom"/>
            <w:vMerge w:val="restart"/>
            <w:shd w:val="clear" w:color="auto" w:fill="3E8EDE"/>
          </w:tcPr>
          <w:p>
            <w:pPr>
              <w:jc w:val="right"/>
              <w:spacing w:after="0" w:line="125" w:lineRule="exact"/>
              <w:rPr>
                <w:sz w:val="20"/>
                <w:szCs w:val="20"/>
                <w:color w:val="auto"/>
              </w:rPr>
            </w:pPr>
            <w:r>
              <w:rPr>
                <w:rFonts w:ascii="Arial" w:cs="Arial" w:eastAsia="Arial" w:hAnsi="Arial"/>
                <w:sz w:val="11"/>
                <w:szCs w:val="11"/>
                <w:b w:val="1"/>
                <w:bCs w:val="1"/>
                <w:color w:val="FFFFFF"/>
                <w:w w:val="72"/>
              </w:rPr>
              <w:t> </w:t>
            </w:r>
          </w:p>
        </w:tc>
        <w:tc>
          <w:tcPr>
            <w:tcW w:w="800" w:type="dxa"/>
            <w:vAlign w:val="bottom"/>
            <w:vMerge w:val="restart"/>
            <w:shd w:val="clear" w:color="auto" w:fill="3E8EDE"/>
          </w:tcPr>
          <w:p>
            <w:pPr>
              <w:jc w:val="center"/>
              <w:ind w:right="181"/>
              <w:spacing w:after="0" w:line="125" w:lineRule="exact"/>
              <w:rPr>
                <w:sz w:val="20"/>
                <w:szCs w:val="20"/>
                <w:color w:val="auto"/>
              </w:rPr>
            </w:pPr>
            <w:r>
              <w:rPr>
                <w:rFonts w:ascii="Arial" w:cs="Arial" w:eastAsia="Arial" w:hAnsi="Arial"/>
                <w:sz w:val="11"/>
                <w:szCs w:val="11"/>
                <w:b w:val="1"/>
                <w:bCs w:val="1"/>
                <w:color w:val="FFFFFF"/>
              </w:rPr>
              <w:t>Summary</w:t>
            </w:r>
          </w:p>
        </w:tc>
        <w:tc>
          <w:tcPr>
            <w:tcW w:w="1380" w:type="dxa"/>
            <w:vAlign w:val="bottom"/>
            <w:shd w:val="clear" w:color="auto" w:fill="3E8EDE"/>
          </w:tcPr>
          <w:p>
            <w:pPr>
              <w:spacing w:after="0"/>
              <w:rPr>
                <w:sz w:val="8"/>
                <w:szCs w:val="8"/>
                <w:color w:val="auto"/>
              </w:rPr>
            </w:pPr>
          </w:p>
        </w:tc>
        <w:tc>
          <w:tcPr>
            <w:tcW w:w="480" w:type="dxa"/>
            <w:vAlign w:val="bottom"/>
            <w:shd w:val="clear" w:color="auto" w:fill="3E8EDE"/>
          </w:tcPr>
          <w:p>
            <w:pPr>
              <w:spacing w:after="0"/>
              <w:rPr>
                <w:sz w:val="8"/>
                <w:szCs w:val="8"/>
                <w:color w:val="auto"/>
              </w:rPr>
            </w:pPr>
          </w:p>
        </w:tc>
        <w:tc>
          <w:tcPr>
            <w:tcW w:w="960" w:type="dxa"/>
            <w:vAlign w:val="bottom"/>
            <w:shd w:val="clear" w:color="auto" w:fill="3E8EDE"/>
          </w:tcPr>
          <w:p>
            <w:pPr>
              <w:spacing w:after="0"/>
              <w:rPr>
                <w:sz w:val="8"/>
                <w:szCs w:val="8"/>
                <w:color w:val="auto"/>
              </w:rPr>
            </w:pPr>
          </w:p>
        </w:tc>
        <w:tc>
          <w:tcPr>
            <w:tcW w:w="1800" w:type="dxa"/>
            <w:vAlign w:val="bottom"/>
            <w:shd w:val="clear" w:color="auto" w:fill="3E8EDE"/>
          </w:tcPr>
          <w:p>
            <w:pPr>
              <w:spacing w:after="0"/>
              <w:rPr>
                <w:sz w:val="8"/>
                <w:szCs w:val="8"/>
                <w:color w:val="auto"/>
              </w:rPr>
            </w:pPr>
          </w:p>
        </w:tc>
        <w:tc>
          <w:tcPr>
            <w:tcW w:w="840" w:type="dxa"/>
            <w:vAlign w:val="bottom"/>
            <w:shd w:val="clear" w:color="auto" w:fill="3E8EDE"/>
          </w:tcPr>
          <w:p>
            <w:pPr>
              <w:spacing w:after="0"/>
              <w:rPr>
                <w:sz w:val="8"/>
                <w:szCs w:val="8"/>
                <w:color w:val="auto"/>
              </w:rPr>
            </w:pPr>
          </w:p>
        </w:tc>
        <w:tc>
          <w:tcPr>
            <w:tcW w:w="840" w:type="dxa"/>
            <w:vAlign w:val="bottom"/>
            <w:vMerge w:val="restart"/>
            <w:shd w:val="clear" w:color="auto" w:fill="3E8EDE"/>
          </w:tcPr>
          <w:p>
            <w:pPr>
              <w:jc w:val="center"/>
              <w:ind w:left="61"/>
              <w:spacing w:after="0" w:line="125" w:lineRule="exact"/>
              <w:rPr>
                <w:sz w:val="20"/>
                <w:szCs w:val="20"/>
                <w:color w:val="auto"/>
              </w:rPr>
            </w:pPr>
            <w:r>
              <w:rPr>
                <w:rFonts w:ascii="Arial" w:cs="Arial" w:eastAsia="Arial" w:hAnsi="Arial"/>
                <w:sz w:val="11"/>
                <w:szCs w:val="11"/>
                <w:b w:val="1"/>
                <w:bCs w:val="1"/>
                <w:color w:val="FFFFFF"/>
              </w:rPr>
              <w:t>Compen-</w:t>
            </w:r>
          </w:p>
        </w:tc>
        <w:tc>
          <w:tcPr>
            <w:tcW w:w="40" w:type="dxa"/>
            <w:vAlign w:val="bottom"/>
            <w:shd w:val="clear" w:color="auto" w:fill="3E8EDE"/>
          </w:tcPr>
          <w:p>
            <w:pPr>
              <w:spacing w:after="0"/>
              <w:rPr>
                <w:sz w:val="8"/>
                <w:szCs w:val="8"/>
                <w:color w:val="auto"/>
              </w:rPr>
            </w:pPr>
          </w:p>
        </w:tc>
        <w:tc>
          <w:tcPr>
            <w:tcW w:w="540" w:type="dxa"/>
            <w:vAlign w:val="bottom"/>
            <w:shd w:val="clear" w:color="auto" w:fill="3E8EDE"/>
          </w:tcPr>
          <w:p>
            <w:pPr>
              <w:spacing w:after="0"/>
              <w:rPr>
                <w:sz w:val="8"/>
                <w:szCs w:val="8"/>
                <w:color w:val="auto"/>
              </w:rPr>
            </w:pPr>
          </w:p>
        </w:tc>
        <w:tc>
          <w:tcPr>
            <w:tcW w:w="600" w:type="dxa"/>
            <w:vAlign w:val="bottom"/>
            <w:vMerge w:val="continue"/>
            <w:shd w:val="clear" w:color="auto" w:fill="3E8EDE"/>
          </w:tcPr>
          <w:p>
            <w:pPr>
              <w:spacing w:after="0"/>
              <w:rPr>
                <w:sz w:val="8"/>
                <w:szCs w:val="8"/>
                <w:color w:val="auto"/>
              </w:rPr>
            </w:pPr>
          </w:p>
        </w:tc>
        <w:tc>
          <w:tcPr>
            <w:tcW w:w="600" w:type="dxa"/>
            <w:vAlign w:val="bottom"/>
            <w:shd w:val="clear" w:color="auto" w:fill="3E8EDE"/>
          </w:tcPr>
          <w:p>
            <w:pPr>
              <w:spacing w:after="0"/>
              <w:rPr>
                <w:sz w:val="8"/>
                <w:szCs w:val="8"/>
                <w:color w:val="auto"/>
              </w:rPr>
            </w:pPr>
          </w:p>
        </w:tc>
        <w:tc>
          <w:tcPr>
            <w:tcW w:w="820" w:type="dxa"/>
            <w:vAlign w:val="bottom"/>
            <w:shd w:val="clear" w:color="auto" w:fill="3E8EDE"/>
          </w:tcPr>
          <w:p>
            <w:pPr>
              <w:spacing w:after="0"/>
              <w:rPr>
                <w:sz w:val="8"/>
                <w:szCs w:val="8"/>
                <w:color w:val="auto"/>
              </w:rPr>
            </w:pPr>
          </w:p>
        </w:tc>
        <w:tc>
          <w:tcPr>
            <w:tcW w:w="740" w:type="dxa"/>
            <w:vAlign w:val="bottom"/>
            <w:shd w:val="clear" w:color="auto" w:fill="3E8ED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00" w:type="dxa"/>
            <w:vAlign w:val="bottom"/>
            <w:shd w:val="clear" w:color="auto" w:fill="3E8EDE"/>
          </w:tcPr>
          <w:p>
            <w:pPr>
              <w:spacing w:after="0" w:line="20" w:lineRule="exact"/>
              <w:rPr>
                <w:sz w:val="1"/>
                <w:szCs w:val="1"/>
                <w:color w:val="auto"/>
              </w:rPr>
            </w:pPr>
          </w:p>
        </w:tc>
        <w:tc>
          <w:tcPr>
            <w:tcW w:w="160" w:type="dxa"/>
            <w:vAlign w:val="bottom"/>
            <w:vMerge w:val="continue"/>
            <w:shd w:val="clear" w:color="auto" w:fill="3E8EDE"/>
          </w:tcPr>
          <w:p>
            <w:pPr>
              <w:spacing w:after="0" w:line="20" w:lineRule="exact"/>
              <w:rPr>
                <w:sz w:val="1"/>
                <w:szCs w:val="1"/>
                <w:color w:val="auto"/>
              </w:rPr>
            </w:pPr>
          </w:p>
        </w:tc>
        <w:tc>
          <w:tcPr>
            <w:tcW w:w="800" w:type="dxa"/>
            <w:vAlign w:val="bottom"/>
            <w:vMerge w:val="continue"/>
            <w:shd w:val="clear" w:color="auto" w:fill="3E8EDE"/>
          </w:tcPr>
          <w:p>
            <w:pPr>
              <w:spacing w:after="0" w:line="20" w:lineRule="exact"/>
              <w:rPr>
                <w:sz w:val="1"/>
                <w:szCs w:val="1"/>
                <w:color w:val="auto"/>
              </w:rPr>
            </w:pPr>
          </w:p>
        </w:tc>
        <w:tc>
          <w:tcPr>
            <w:tcW w:w="1380" w:type="dxa"/>
            <w:vAlign w:val="bottom"/>
            <w:shd w:val="clear" w:color="auto" w:fill="3E8EDE"/>
          </w:tcPr>
          <w:p>
            <w:pPr>
              <w:spacing w:after="0" w:line="20" w:lineRule="exact"/>
              <w:rPr>
                <w:sz w:val="1"/>
                <w:szCs w:val="1"/>
                <w:color w:val="auto"/>
              </w:rPr>
            </w:pPr>
          </w:p>
        </w:tc>
        <w:tc>
          <w:tcPr>
            <w:tcW w:w="480" w:type="dxa"/>
            <w:vAlign w:val="bottom"/>
            <w:shd w:val="clear" w:color="auto" w:fill="3E8EDE"/>
          </w:tcPr>
          <w:p>
            <w:pPr>
              <w:spacing w:after="0" w:line="20" w:lineRule="exact"/>
              <w:rPr>
                <w:sz w:val="1"/>
                <w:szCs w:val="1"/>
                <w:color w:val="auto"/>
              </w:rPr>
            </w:pPr>
          </w:p>
        </w:tc>
        <w:tc>
          <w:tcPr>
            <w:tcW w:w="960" w:type="dxa"/>
            <w:vAlign w:val="bottom"/>
            <w:shd w:val="clear" w:color="auto" w:fill="3E8EDE"/>
          </w:tcPr>
          <w:p>
            <w:pPr>
              <w:spacing w:after="0" w:line="20" w:lineRule="exact"/>
              <w:rPr>
                <w:sz w:val="1"/>
                <w:szCs w:val="1"/>
                <w:color w:val="auto"/>
              </w:rPr>
            </w:pPr>
          </w:p>
        </w:tc>
        <w:tc>
          <w:tcPr>
            <w:tcW w:w="1800" w:type="dxa"/>
            <w:vAlign w:val="bottom"/>
            <w:shd w:val="clear" w:color="auto" w:fill="3E8EDE"/>
          </w:tcPr>
          <w:p>
            <w:pPr>
              <w:spacing w:after="0" w:line="20" w:lineRule="exact"/>
              <w:rPr>
                <w:sz w:val="1"/>
                <w:szCs w:val="1"/>
                <w:color w:val="auto"/>
              </w:rPr>
            </w:pPr>
          </w:p>
        </w:tc>
        <w:tc>
          <w:tcPr>
            <w:tcW w:w="840" w:type="dxa"/>
            <w:vAlign w:val="bottom"/>
            <w:shd w:val="clear" w:color="auto" w:fill="3E8EDE"/>
          </w:tcPr>
          <w:p>
            <w:pPr>
              <w:spacing w:after="0" w:line="20" w:lineRule="exact"/>
              <w:rPr>
                <w:sz w:val="1"/>
                <w:szCs w:val="1"/>
                <w:color w:val="auto"/>
              </w:rPr>
            </w:pPr>
          </w:p>
        </w:tc>
        <w:tc>
          <w:tcPr>
            <w:tcW w:w="840" w:type="dxa"/>
            <w:vAlign w:val="bottom"/>
            <w:vMerge w:val="continue"/>
            <w:shd w:val="clear" w:color="auto" w:fill="3E8EDE"/>
          </w:tcPr>
          <w:p>
            <w:pPr>
              <w:spacing w:after="0" w:line="20" w:lineRule="exact"/>
              <w:rPr>
                <w:sz w:val="1"/>
                <w:szCs w:val="1"/>
                <w:color w:val="auto"/>
              </w:rPr>
            </w:pPr>
          </w:p>
        </w:tc>
        <w:tc>
          <w:tcPr>
            <w:tcW w:w="40" w:type="dxa"/>
            <w:vAlign w:val="bottom"/>
            <w:shd w:val="clear" w:color="auto" w:fill="3E8EDE"/>
          </w:tcPr>
          <w:p>
            <w:pPr>
              <w:spacing w:after="0" w:line="20" w:lineRule="exact"/>
              <w:rPr>
                <w:sz w:val="1"/>
                <w:szCs w:val="1"/>
                <w:color w:val="auto"/>
              </w:rPr>
            </w:pPr>
          </w:p>
        </w:tc>
        <w:tc>
          <w:tcPr>
            <w:tcW w:w="540" w:type="dxa"/>
            <w:vAlign w:val="bottom"/>
            <w:shd w:val="clear" w:color="auto" w:fill="3E8EDE"/>
          </w:tcPr>
          <w:p>
            <w:pPr>
              <w:spacing w:after="0" w:line="20" w:lineRule="exact"/>
              <w:rPr>
                <w:sz w:val="1"/>
                <w:szCs w:val="1"/>
                <w:color w:val="auto"/>
              </w:rPr>
            </w:pPr>
          </w:p>
        </w:tc>
        <w:tc>
          <w:tcPr>
            <w:tcW w:w="600" w:type="dxa"/>
            <w:vAlign w:val="bottom"/>
            <w:shd w:val="clear" w:color="auto" w:fill="3E8EDE"/>
          </w:tcPr>
          <w:p>
            <w:pPr>
              <w:spacing w:after="0" w:line="20" w:lineRule="exact"/>
              <w:rPr>
                <w:sz w:val="1"/>
                <w:szCs w:val="1"/>
                <w:color w:val="auto"/>
              </w:rPr>
            </w:pPr>
          </w:p>
        </w:tc>
        <w:tc>
          <w:tcPr>
            <w:tcW w:w="600" w:type="dxa"/>
            <w:vAlign w:val="bottom"/>
            <w:shd w:val="clear" w:color="auto" w:fill="3E8EDE"/>
          </w:tcPr>
          <w:p>
            <w:pPr>
              <w:spacing w:after="0" w:line="20" w:lineRule="exact"/>
              <w:rPr>
                <w:sz w:val="1"/>
                <w:szCs w:val="1"/>
                <w:color w:val="auto"/>
              </w:rPr>
            </w:pPr>
          </w:p>
        </w:tc>
        <w:tc>
          <w:tcPr>
            <w:tcW w:w="820" w:type="dxa"/>
            <w:vAlign w:val="bottom"/>
            <w:shd w:val="clear" w:color="auto" w:fill="3E8EDE"/>
          </w:tcPr>
          <w:p>
            <w:pPr>
              <w:spacing w:after="0" w:line="20" w:lineRule="exact"/>
              <w:rPr>
                <w:sz w:val="1"/>
                <w:szCs w:val="1"/>
                <w:color w:val="auto"/>
              </w:rPr>
            </w:pPr>
          </w:p>
        </w:tc>
        <w:tc>
          <w:tcPr>
            <w:tcW w:w="740" w:type="dxa"/>
            <w:vAlign w:val="bottom"/>
            <w:shd w:val="clear" w:color="auto" w:fill="3E8E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shd w:val="clear" w:color="auto" w:fill="3E8EDE"/>
          </w:tcPr>
          <w:p>
            <w:pPr>
              <w:spacing w:after="0"/>
              <w:rPr>
                <w:sz w:val="11"/>
                <w:szCs w:val="11"/>
                <w:color w:val="auto"/>
              </w:rPr>
            </w:pPr>
          </w:p>
        </w:tc>
        <w:tc>
          <w:tcPr>
            <w:tcW w:w="160" w:type="dxa"/>
            <w:vAlign w:val="bottom"/>
            <w:shd w:val="clear" w:color="auto" w:fill="3E8EDE"/>
          </w:tcPr>
          <w:p>
            <w:pPr>
              <w:spacing w:after="0"/>
              <w:rPr>
                <w:sz w:val="11"/>
                <w:szCs w:val="11"/>
                <w:color w:val="auto"/>
              </w:rPr>
            </w:pPr>
          </w:p>
        </w:tc>
        <w:tc>
          <w:tcPr>
            <w:tcW w:w="800" w:type="dxa"/>
            <w:vAlign w:val="bottom"/>
            <w:shd w:val="clear" w:color="auto" w:fill="3E8EDE"/>
          </w:tcPr>
          <w:p>
            <w:pPr>
              <w:jc w:val="center"/>
              <w:ind w:right="181"/>
              <w:spacing w:after="0"/>
              <w:rPr>
                <w:sz w:val="20"/>
                <w:szCs w:val="20"/>
                <w:color w:val="auto"/>
              </w:rPr>
            </w:pPr>
            <w:r>
              <w:rPr>
                <w:rFonts w:ascii="Arial" w:cs="Arial" w:eastAsia="Arial" w:hAnsi="Arial"/>
                <w:sz w:val="11"/>
                <w:szCs w:val="11"/>
                <w:b w:val="1"/>
                <w:bCs w:val="1"/>
                <w:color w:val="FFFFFF"/>
              </w:rPr>
              <w:t>Compen-</w:t>
            </w:r>
          </w:p>
        </w:tc>
        <w:tc>
          <w:tcPr>
            <w:tcW w:w="1380" w:type="dxa"/>
            <w:vAlign w:val="bottom"/>
            <w:shd w:val="clear" w:color="auto" w:fill="3E8EDE"/>
          </w:tcPr>
          <w:p>
            <w:pPr>
              <w:spacing w:after="0"/>
              <w:rPr>
                <w:sz w:val="11"/>
                <w:szCs w:val="11"/>
                <w:color w:val="auto"/>
              </w:rPr>
            </w:pPr>
          </w:p>
        </w:tc>
        <w:tc>
          <w:tcPr>
            <w:tcW w:w="480" w:type="dxa"/>
            <w:vAlign w:val="bottom"/>
            <w:shd w:val="clear" w:color="auto" w:fill="3E8EDE"/>
          </w:tcPr>
          <w:p>
            <w:pPr>
              <w:spacing w:after="0"/>
              <w:rPr>
                <w:sz w:val="11"/>
                <w:szCs w:val="11"/>
                <w:color w:val="auto"/>
              </w:rPr>
            </w:pPr>
          </w:p>
        </w:tc>
        <w:tc>
          <w:tcPr>
            <w:tcW w:w="960" w:type="dxa"/>
            <w:vAlign w:val="bottom"/>
            <w:shd w:val="clear" w:color="auto" w:fill="3E8EDE"/>
          </w:tcPr>
          <w:p>
            <w:pPr>
              <w:spacing w:after="0"/>
              <w:rPr>
                <w:sz w:val="11"/>
                <w:szCs w:val="11"/>
                <w:color w:val="auto"/>
              </w:rPr>
            </w:pPr>
          </w:p>
        </w:tc>
        <w:tc>
          <w:tcPr>
            <w:tcW w:w="1800" w:type="dxa"/>
            <w:vAlign w:val="bottom"/>
            <w:shd w:val="clear" w:color="auto" w:fill="3E8EDE"/>
          </w:tcPr>
          <w:p>
            <w:pPr>
              <w:spacing w:after="0"/>
              <w:rPr>
                <w:sz w:val="11"/>
                <w:szCs w:val="11"/>
                <w:color w:val="auto"/>
              </w:rPr>
            </w:pPr>
          </w:p>
        </w:tc>
        <w:tc>
          <w:tcPr>
            <w:tcW w:w="840" w:type="dxa"/>
            <w:vAlign w:val="bottom"/>
            <w:shd w:val="clear" w:color="auto" w:fill="3E8EDE"/>
          </w:tcPr>
          <w:p>
            <w:pPr>
              <w:jc w:val="center"/>
              <w:ind w:right="141"/>
              <w:spacing w:after="0"/>
              <w:rPr>
                <w:sz w:val="20"/>
                <w:szCs w:val="20"/>
                <w:color w:val="auto"/>
              </w:rPr>
            </w:pPr>
            <w:r>
              <w:rPr>
                <w:rFonts w:ascii="Arial" w:cs="Arial" w:eastAsia="Arial" w:hAnsi="Arial"/>
                <w:sz w:val="11"/>
                <w:szCs w:val="11"/>
                <w:b w:val="1"/>
                <w:bCs w:val="1"/>
                <w:color w:val="FFFFFF"/>
              </w:rPr>
              <w:t>Average</w:t>
            </w:r>
          </w:p>
        </w:tc>
        <w:tc>
          <w:tcPr>
            <w:tcW w:w="880" w:type="dxa"/>
            <w:vAlign w:val="bottom"/>
            <w:gridSpan w:val="2"/>
            <w:shd w:val="clear" w:color="auto" w:fill="3E8EDE"/>
          </w:tcPr>
          <w:p>
            <w:pPr>
              <w:jc w:val="center"/>
              <w:ind w:left="21"/>
              <w:spacing w:after="0"/>
              <w:rPr>
                <w:sz w:val="20"/>
                <w:szCs w:val="20"/>
                <w:color w:val="auto"/>
              </w:rPr>
            </w:pPr>
            <w:r>
              <w:rPr>
                <w:rFonts w:ascii="Arial" w:cs="Arial" w:eastAsia="Arial" w:hAnsi="Arial"/>
                <w:sz w:val="11"/>
                <w:szCs w:val="11"/>
                <w:b w:val="1"/>
                <w:bCs w:val="1"/>
                <w:color w:val="FFFFFF"/>
                <w:w w:val="98"/>
              </w:rPr>
              <w:t>sation</w:t>
            </w:r>
          </w:p>
        </w:tc>
        <w:tc>
          <w:tcPr>
            <w:tcW w:w="540" w:type="dxa"/>
            <w:vAlign w:val="bottom"/>
            <w:shd w:val="clear" w:color="auto" w:fill="3E8EDE"/>
          </w:tcPr>
          <w:p>
            <w:pPr>
              <w:spacing w:after="0"/>
              <w:rPr>
                <w:sz w:val="11"/>
                <w:szCs w:val="11"/>
                <w:color w:val="auto"/>
              </w:rPr>
            </w:pPr>
          </w:p>
        </w:tc>
        <w:tc>
          <w:tcPr>
            <w:tcW w:w="600" w:type="dxa"/>
            <w:vAlign w:val="bottom"/>
            <w:shd w:val="clear" w:color="auto" w:fill="3E8EDE"/>
          </w:tcPr>
          <w:p>
            <w:pPr>
              <w:jc w:val="center"/>
              <w:spacing w:after="0"/>
              <w:rPr>
                <w:sz w:val="20"/>
                <w:szCs w:val="20"/>
                <w:color w:val="auto"/>
              </w:rPr>
            </w:pPr>
            <w:r>
              <w:rPr>
                <w:rFonts w:ascii="Arial" w:cs="Arial" w:eastAsia="Arial" w:hAnsi="Arial"/>
                <w:sz w:val="11"/>
                <w:szCs w:val="11"/>
                <w:b w:val="1"/>
                <w:bCs w:val="1"/>
                <w:color w:val="FFFFFF"/>
                <w:w w:val="99"/>
              </w:rPr>
              <w:t>PVP</w:t>
            </w:r>
          </w:p>
        </w:tc>
        <w:tc>
          <w:tcPr>
            <w:tcW w:w="600" w:type="dxa"/>
            <w:vAlign w:val="bottom"/>
            <w:shd w:val="clear" w:color="auto" w:fill="3E8EDE"/>
          </w:tcPr>
          <w:p>
            <w:pPr>
              <w:jc w:val="center"/>
              <w:ind w:right="41"/>
              <w:spacing w:after="0"/>
              <w:rPr>
                <w:sz w:val="20"/>
                <w:szCs w:val="20"/>
                <w:color w:val="auto"/>
              </w:rPr>
            </w:pPr>
            <w:r>
              <w:rPr>
                <w:rFonts w:ascii="Arial" w:cs="Arial" w:eastAsia="Arial" w:hAnsi="Arial"/>
                <w:sz w:val="11"/>
                <w:szCs w:val="11"/>
                <w:b w:val="1"/>
                <w:bCs w:val="1"/>
                <w:color w:val="FFFFFF"/>
              </w:rPr>
              <w:t>Prior</w:t>
            </w:r>
          </w:p>
        </w:tc>
        <w:tc>
          <w:tcPr>
            <w:tcW w:w="820" w:type="dxa"/>
            <w:vAlign w:val="bottom"/>
            <w:shd w:val="clear" w:color="auto" w:fill="3E8EDE"/>
          </w:tcPr>
          <w:p>
            <w:pPr>
              <w:spacing w:after="0"/>
              <w:rPr>
                <w:sz w:val="11"/>
                <w:szCs w:val="11"/>
                <w:color w:val="auto"/>
              </w:rPr>
            </w:pPr>
          </w:p>
        </w:tc>
        <w:tc>
          <w:tcPr>
            <w:tcW w:w="740" w:type="dxa"/>
            <w:vAlign w:val="bottom"/>
            <w:shd w:val="clear" w:color="auto" w:fill="3E8ED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00" w:type="dxa"/>
            <w:vAlign w:val="bottom"/>
            <w:shd w:val="clear" w:color="auto" w:fill="3E8EDE"/>
          </w:tcPr>
          <w:p>
            <w:pPr>
              <w:spacing w:after="0"/>
              <w:rPr>
                <w:sz w:val="11"/>
                <w:szCs w:val="11"/>
                <w:color w:val="auto"/>
              </w:rPr>
            </w:pPr>
          </w:p>
        </w:tc>
        <w:tc>
          <w:tcPr>
            <w:tcW w:w="160" w:type="dxa"/>
            <w:vAlign w:val="bottom"/>
            <w:shd w:val="clear" w:color="auto" w:fill="3E8EDE"/>
          </w:tcPr>
          <w:p>
            <w:pPr>
              <w:spacing w:after="0"/>
              <w:rPr>
                <w:sz w:val="11"/>
                <w:szCs w:val="11"/>
                <w:color w:val="auto"/>
              </w:rPr>
            </w:pPr>
          </w:p>
        </w:tc>
        <w:tc>
          <w:tcPr>
            <w:tcW w:w="800" w:type="dxa"/>
            <w:vAlign w:val="bottom"/>
            <w:shd w:val="clear" w:color="auto" w:fill="3E8EDE"/>
          </w:tcPr>
          <w:p>
            <w:pPr>
              <w:jc w:val="center"/>
              <w:ind w:right="181"/>
              <w:spacing w:after="0"/>
              <w:rPr>
                <w:sz w:val="20"/>
                <w:szCs w:val="20"/>
                <w:color w:val="auto"/>
              </w:rPr>
            </w:pPr>
            <w:r>
              <w:rPr>
                <w:rFonts w:ascii="Arial" w:cs="Arial" w:eastAsia="Arial" w:hAnsi="Arial"/>
                <w:sz w:val="11"/>
                <w:szCs w:val="11"/>
                <w:b w:val="1"/>
                <w:bCs w:val="1"/>
                <w:color w:val="FFFFFF"/>
                <w:w w:val="98"/>
              </w:rPr>
              <w:t>sation</w:t>
            </w:r>
          </w:p>
        </w:tc>
        <w:tc>
          <w:tcPr>
            <w:tcW w:w="1380" w:type="dxa"/>
            <w:vAlign w:val="bottom"/>
            <w:shd w:val="clear" w:color="auto" w:fill="3E8EDE"/>
          </w:tcPr>
          <w:p>
            <w:pPr>
              <w:spacing w:after="0"/>
              <w:rPr>
                <w:sz w:val="11"/>
                <w:szCs w:val="11"/>
                <w:color w:val="auto"/>
              </w:rPr>
            </w:pPr>
          </w:p>
        </w:tc>
        <w:tc>
          <w:tcPr>
            <w:tcW w:w="480" w:type="dxa"/>
            <w:vAlign w:val="bottom"/>
            <w:shd w:val="clear" w:color="auto" w:fill="3E8EDE"/>
          </w:tcPr>
          <w:p>
            <w:pPr>
              <w:spacing w:after="0"/>
              <w:rPr>
                <w:sz w:val="11"/>
                <w:szCs w:val="11"/>
                <w:color w:val="auto"/>
              </w:rPr>
            </w:pPr>
          </w:p>
        </w:tc>
        <w:tc>
          <w:tcPr>
            <w:tcW w:w="960" w:type="dxa"/>
            <w:vAlign w:val="bottom"/>
            <w:shd w:val="clear" w:color="auto" w:fill="3E8EDE"/>
          </w:tcPr>
          <w:p>
            <w:pPr>
              <w:spacing w:after="0"/>
              <w:rPr>
                <w:sz w:val="11"/>
                <w:szCs w:val="11"/>
                <w:color w:val="auto"/>
              </w:rPr>
            </w:pPr>
          </w:p>
        </w:tc>
        <w:tc>
          <w:tcPr>
            <w:tcW w:w="1800" w:type="dxa"/>
            <w:vAlign w:val="bottom"/>
            <w:shd w:val="clear" w:color="auto" w:fill="3E8EDE"/>
          </w:tcPr>
          <w:p>
            <w:pPr>
              <w:jc w:val="right"/>
              <w:spacing w:after="0"/>
              <w:rPr>
                <w:sz w:val="20"/>
                <w:szCs w:val="20"/>
                <w:color w:val="auto"/>
              </w:rPr>
            </w:pPr>
            <w:r>
              <w:rPr>
                <w:rFonts w:ascii="Arial" w:cs="Arial" w:eastAsia="Arial" w:hAnsi="Arial"/>
                <w:sz w:val="11"/>
                <w:szCs w:val="11"/>
                <w:b w:val="1"/>
                <w:bCs w:val="1"/>
                <w:color w:val="FFFFFF"/>
              </w:rPr>
              <w:t> </w:t>
            </w:r>
          </w:p>
        </w:tc>
        <w:tc>
          <w:tcPr>
            <w:tcW w:w="840" w:type="dxa"/>
            <w:vAlign w:val="bottom"/>
            <w:shd w:val="clear" w:color="auto" w:fill="3E8EDE"/>
          </w:tcPr>
          <w:p>
            <w:pPr>
              <w:jc w:val="center"/>
              <w:ind w:right="141"/>
              <w:spacing w:after="0"/>
              <w:rPr>
                <w:sz w:val="20"/>
                <w:szCs w:val="20"/>
                <w:color w:val="auto"/>
              </w:rPr>
            </w:pPr>
            <w:r>
              <w:rPr>
                <w:rFonts w:ascii="Arial" w:cs="Arial" w:eastAsia="Arial" w:hAnsi="Arial"/>
                <w:sz w:val="11"/>
                <w:szCs w:val="11"/>
                <w:b w:val="1"/>
                <w:bCs w:val="1"/>
                <w:color w:val="FFFFFF"/>
              </w:rPr>
              <w:t>SCT Total</w:t>
            </w:r>
          </w:p>
        </w:tc>
        <w:tc>
          <w:tcPr>
            <w:tcW w:w="880" w:type="dxa"/>
            <w:vAlign w:val="bottom"/>
            <w:gridSpan w:val="2"/>
            <w:shd w:val="clear" w:color="auto" w:fill="3E8EDE"/>
          </w:tcPr>
          <w:p>
            <w:pPr>
              <w:jc w:val="center"/>
              <w:ind w:left="21"/>
              <w:spacing w:after="0"/>
              <w:rPr>
                <w:sz w:val="20"/>
                <w:szCs w:val="20"/>
                <w:color w:val="auto"/>
              </w:rPr>
            </w:pPr>
            <w:r>
              <w:rPr>
                <w:rFonts w:ascii="Arial" w:cs="Arial" w:eastAsia="Arial" w:hAnsi="Arial"/>
                <w:sz w:val="11"/>
                <w:szCs w:val="11"/>
                <w:b w:val="1"/>
                <w:bCs w:val="1"/>
                <w:color w:val="FFFFFF"/>
              </w:rPr>
              <w:t>Actually</w:t>
            </w:r>
          </w:p>
        </w:tc>
        <w:tc>
          <w:tcPr>
            <w:tcW w:w="540" w:type="dxa"/>
            <w:vAlign w:val="bottom"/>
            <w:shd w:val="clear" w:color="auto" w:fill="3E8EDE"/>
          </w:tcPr>
          <w:p>
            <w:pPr>
              <w:spacing w:after="0"/>
              <w:rPr>
                <w:sz w:val="11"/>
                <w:szCs w:val="11"/>
                <w:color w:val="auto"/>
              </w:rPr>
            </w:pPr>
          </w:p>
        </w:tc>
        <w:tc>
          <w:tcPr>
            <w:tcW w:w="600" w:type="dxa"/>
            <w:vAlign w:val="bottom"/>
            <w:shd w:val="clear" w:color="auto" w:fill="3E8EDE"/>
          </w:tcPr>
          <w:p>
            <w:pPr>
              <w:jc w:val="center"/>
              <w:spacing w:after="0"/>
              <w:rPr>
                <w:sz w:val="20"/>
                <w:szCs w:val="20"/>
                <w:color w:val="auto"/>
              </w:rPr>
            </w:pPr>
            <w:r>
              <w:rPr>
                <w:rFonts w:ascii="Arial" w:cs="Arial" w:eastAsia="Arial" w:hAnsi="Arial"/>
                <w:sz w:val="11"/>
                <w:szCs w:val="11"/>
                <w:b w:val="1"/>
                <w:bCs w:val="1"/>
                <w:color w:val="FFFFFF"/>
              </w:rPr>
              <w:t>Peer</w:t>
            </w:r>
          </w:p>
        </w:tc>
        <w:tc>
          <w:tcPr>
            <w:tcW w:w="600" w:type="dxa"/>
            <w:vAlign w:val="bottom"/>
            <w:shd w:val="clear" w:color="auto" w:fill="3E8EDE"/>
          </w:tcPr>
          <w:p>
            <w:pPr>
              <w:jc w:val="center"/>
              <w:ind w:right="21"/>
              <w:spacing w:after="0"/>
              <w:rPr>
                <w:sz w:val="20"/>
                <w:szCs w:val="20"/>
                <w:color w:val="auto"/>
              </w:rPr>
            </w:pPr>
            <w:r>
              <w:rPr>
                <w:rFonts w:ascii="Arial" w:cs="Arial" w:eastAsia="Arial" w:hAnsi="Arial"/>
                <w:sz w:val="11"/>
                <w:szCs w:val="11"/>
                <w:b w:val="1"/>
                <w:bCs w:val="1"/>
                <w:color w:val="FFFFFF"/>
              </w:rPr>
              <w:t>Peer</w:t>
            </w:r>
          </w:p>
        </w:tc>
        <w:tc>
          <w:tcPr>
            <w:tcW w:w="820" w:type="dxa"/>
            <w:vAlign w:val="bottom"/>
            <w:shd w:val="clear" w:color="auto" w:fill="3E8EDE"/>
          </w:tcPr>
          <w:p>
            <w:pPr>
              <w:spacing w:after="0"/>
              <w:rPr>
                <w:sz w:val="11"/>
                <w:szCs w:val="11"/>
                <w:color w:val="auto"/>
              </w:rPr>
            </w:pPr>
          </w:p>
        </w:tc>
        <w:tc>
          <w:tcPr>
            <w:tcW w:w="740" w:type="dxa"/>
            <w:vAlign w:val="bottom"/>
            <w:shd w:val="clear" w:color="auto" w:fill="3E8ED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00" w:type="dxa"/>
            <w:vAlign w:val="bottom"/>
            <w:shd w:val="clear" w:color="auto" w:fill="3E8EDE"/>
          </w:tcPr>
          <w:p>
            <w:pPr>
              <w:spacing w:after="0"/>
              <w:rPr>
                <w:sz w:val="11"/>
                <w:szCs w:val="11"/>
                <w:color w:val="auto"/>
              </w:rPr>
            </w:pPr>
          </w:p>
        </w:tc>
        <w:tc>
          <w:tcPr>
            <w:tcW w:w="160" w:type="dxa"/>
            <w:vAlign w:val="bottom"/>
            <w:shd w:val="clear" w:color="auto" w:fill="3E8EDE"/>
          </w:tcPr>
          <w:p>
            <w:pPr>
              <w:spacing w:after="0"/>
              <w:rPr>
                <w:sz w:val="11"/>
                <w:szCs w:val="11"/>
                <w:color w:val="auto"/>
              </w:rPr>
            </w:pPr>
          </w:p>
        </w:tc>
        <w:tc>
          <w:tcPr>
            <w:tcW w:w="800" w:type="dxa"/>
            <w:vAlign w:val="bottom"/>
            <w:shd w:val="clear" w:color="auto" w:fill="3E8EDE"/>
          </w:tcPr>
          <w:p>
            <w:pPr>
              <w:jc w:val="center"/>
              <w:ind w:right="181"/>
              <w:spacing w:after="0"/>
              <w:rPr>
                <w:sz w:val="20"/>
                <w:szCs w:val="20"/>
                <w:color w:val="auto"/>
              </w:rPr>
            </w:pPr>
            <w:r>
              <w:rPr>
                <w:rFonts w:ascii="Arial" w:cs="Arial" w:eastAsia="Arial" w:hAnsi="Arial"/>
                <w:sz w:val="11"/>
                <w:szCs w:val="11"/>
                <w:b w:val="1"/>
                <w:bCs w:val="1"/>
                <w:color w:val="FFFFFF"/>
                <w:w w:val="97"/>
              </w:rPr>
              <w:t>Table</w:t>
            </w:r>
          </w:p>
        </w:tc>
        <w:tc>
          <w:tcPr>
            <w:tcW w:w="1380" w:type="dxa"/>
            <w:vAlign w:val="bottom"/>
            <w:shd w:val="clear" w:color="auto" w:fill="3E8EDE"/>
          </w:tcPr>
          <w:p>
            <w:pPr>
              <w:spacing w:after="0"/>
              <w:rPr>
                <w:sz w:val="11"/>
                <w:szCs w:val="11"/>
                <w:color w:val="auto"/>
              </w:rPr>
            </w:pPr>
          </w:p>
        </w:tc>
        <w:tc>
          <w:tcPr>
            <w:tcW w:w="480" w:type="dxa"/>
            <w:vAlign w:val="bottom"/>
            <w:shd w:val="clear" w:color="auto" w:fill="3E8EDE"/>
          </w:tcPr>
          <w:p>
            <w:pPr>
              <w:spacing w:after="0"/>
              <w:rPr>
                <w:sz w:val="11"/>
                <w:szCs w:val="11"/>
                <w:color w:val="auto"/>
              </w:rPr>
            </w:pPr>
          </w:p>
        </w:tc>
        <w:tc>
          <w:tcPr>
            <w:tcW w:w="960" w:type="dxa"/>
            <w:vAlign w:val="bottom"/>
            <w:shd w:val="clear" w:color="auto" w:fill="3E8EDE"/>
          </w:tcPr>
          <w:p>
            <w:pPr>
              <w:spacing w:after="0"/>
              <w:rPr>
                <w:sz w:val="11"/>
                <w:szCs w:val="11"/>
                <w:color w:val="auto"/>
              </w:rPr>
            </w:pPr>
          </w:p>
        </w:tc>
        <w:tc>
          <w:tcPr>
            <w:tcW w:w="1800" w:type="dxa"/>
            <w:vAlign w:val="bottom"/>
            <w:shd w:val="clear" w:color="auto" w:fill="3E8EDE"/>
          </w:tcPr>
          <w:p>
            <w:pPr>
              <w:spacing w:after="0"/>
              <w:rPr>
                <w:sz w:val="11"/>
                <w:szCs w:val="11"/>
                <w:color w:val="auto"/>
              </w:rPr>
            </w:pPr>
          </w:p>
        </w:tc>
        <w:tc>
          <w:tcPr>
            <w:tcW w:w="840" w:type="dxa"/>
            <w:vAlign w:val="bottom"/>
            <w:shd w:val="clear" w:color="auto" w:fill="3E8EDE"/>
          </w:tcPr>
          <w:p>
            <w:pPr>
              <w:jc w:val="center"/>
              <w:ind w:right="121"/>
              <w:spacing w:after="0"/>
              <w:rPr>
                <w:sz w:val="20"/>
                <w:szCs w:val="20"/>
                <w:color w:val="auto"/>
              </w:rPr>
            </w:pPr>
            <w:r>
              <w:rPr>
                <w:rFonts w:ascii="Arial" w:cs="Arial" w:eastAsia="Arial" w:hAnsi="Arial"/>
                <w:sz w:val="11"/>
                <w:szCs w:val="11"/>
                <w:b w:val="1"/>
                <w:bCs w:val="1"/>
                <w:color w:val="FFFFFF"/>
                <w:w w:val="95"/>
              </w:rPr>
              <w:t>for</w:t>
            </w:r>
          </w:p>
        </w:tc>
        <w:tc>
          <w:tcPr>
            <w:tcW w:w="880" w:type="dxa"/>
            <w:vAlign w:val="bottom"/>
            <w:gridSpan w:val="2"/>
            <w:shd w:val="clear" w:color="auto" w:fill="3E8EDE"/>
          </w:tcPr>
          <w:p>
            <w:pPr>
              <w:jc w:val="center"/>
              <w:ind w:left="21"/>
              <w:spacing w:after="0"/>
              <w:rPr>
                <w:sz w:val="20"/>
                <w:szCs w:val="20"/>
                <w:color w:val="auto"/>
              </w:rPr>
            </w:pPr>
            <w:r>
              <w:rPr>
                <w:rFonts w:ascii="Arial" w:cs="Arial" w:eastAsia="Arial" w:hAnsi="Arial"/>
                <w:sz w:val="11"/>
                <w:szCs w:val="11"/>
                <w:b w:val="1"/>
                <w:bCs w:val="1"/>
                <w:color w:val="FFFFFF"/>
                <w:w w:val="98"/>
              </w:rPr>
              <w:t>Paid to</w:t>
            </w:r>
          </w:p>
        </w:tc>
        <w:tc>
          <w:tcPr>
            <w:tcW w:w="540" w:type="dxa"/>
            <w:vAlign w:val="bottom"/>
            <w:shd w:val="clear" w:color="auto" w:fill="3E8EDE"/>
          </w:tcPr>
          <w:p>
            <w:pPr>
              <w:spacing w:after="0"/>
              <w:rPr>
                <w:sz w:val="11"/>
                <w:szCs w:val="11"/>
                <w:color w:val="auto"/>
              </w:rPr>
            </w:pPr>
          </w:p>
        </w:tc>
        <w:tc>
          <w:tcPr>
            <w:tcW w:w="600" w:type="dxa"/>
            <w:vAlign w:val="bottom"/>
            <w:shd w:val="clear" w:color="auto" w:fill="3E8EDE"/>
          </w:tcPr>
          <w:p>
            <w:pPr>
              <w:jc w:val="center"/>
              <w:spacing w:after="0"/>
              <w:rPr>
                <w:sz w:val="20"/>
                <w:szCs w:val="20"/>
                <w:color w:val="auto"/>
              </w:rPr>
            </w:pPr>
            <w:r>
              <w:rPr>
                <w:rFonts w:ascii="Arial" w:cs="Arial" w:eastAsia="Arial" w:hAnsi="Arial"/>
                <w:sz w:val="11"/>
                <w:szCs w:val="11"/>
                <w:b w:val="1"/>
                <w:bCs w:val="1"/>
                <w:color w:val="FFFFFF"/>
              </w:rPr>
              <w:t>Group</w:t>
            </w:r>
          </w:p>
        </w:tc>
        <w:tc>
          <w:tcPr>
            <w:tcW w:w="600" w:type="dxa"/>
            <w:vAlign w:val="bottom"/>
            <w:shd w:val="clear" w:color="auto" w:fill="3E8EDE"/>
          </w:tcPr>
          <w:p>
            <w:pPr>
              <w:jc w:val="center"/>
              <w:ind w:right="41"/>
              <w:spacing w:after="0"/>
              <w:rPr>
                <w:sz w:val="20"/>
                <w:szCs w:val="20"/>
                <w:color w:val="auto"/>
              </w:rPr>
            </w:pPr>
            <w:r>
              <w:rPr>
                <w:rFonts w:ascii="Arial" w:cs="Arial" w:eastAsia="Arial" w:hAnsi="Arial"/>
                <w:sz w:val="11"/>
                <w:szCs w:val="11"/>
                <w:b w:val="1"/>
                <w:bCs w:val="1"/>
                <w:color w:val="FFFFFF"/>
              </w:rPr>
              <w:t>Group</w:t>
            </w:r>
          </w:p>
        </w:tc>
        <w:tc>
          <w:tcPr>
            <w:tcW w:w="820" w:type="dxa"/>
            <w:vAlign w:val="bottom"/>
            <w:shd w:val="clear" w:color="auto" w:fill="3E8EDE"/>
          </w:tcPr>
          <w:p>
            <w:pPr>
              <w:spacing w:after="0"/>
              <w:rPr>
                <w:sz w:val="11"/>
                <w:szCs w:val="11"/>
                <w:color w:val="auto"/>
              </w:rPr>
            </w:pPr>
          </w:p>
        </w:tc>
        <w:tc>
          <w:tcPr>
            <w:tcW w:w="740" w:type="dxa"/>
            <w:vAlign w:val="bottom"/>
            <w:shd w:val="clear" w:color="auto" w:fill="3E8ED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00" w:type="dxa"/>
            <w:vAlign w:val="bottom"/>
            <w:shd w:val="clear" w:color="auto" w:fill="3E8EDE"/>
          </w:tcPr>
          <w:p>
            <w:pPr>
              <w:spacing w:after="0"/>
              <w:rPr>
                <w:sz w:val="11"/>
                <w:szCs w:val="11"/>
                <w:color w:val="auto"/>
              </w:rPr>
            </w:pPr>
          </w:p>
        </w:tc>
        <w:tc>
          <w:tcPr>
            <w:tcW w:w="160" w:type="dxa"/>
            <w:vAlign w:val="bottom"/>
            <w:shd w:val="clear" w:color="auto" w:fill="3E8EDE"/>
          </w:tcPr>
          <w:p>
            <w:pPr>
              <w:spacing w:after="0"/>
              <w:rPr>
                <w:sz w:val="11"/>
                <w:szCs w:val="11"/>
                <w:color w:val="auto"/>
              </w:rPr>
            </w:pPr>
          </w:p>
        </w:tc>
        <w:tc>
          <w:tcPr>
            <w:tcW w:w="800" w:type="dxa"/>
            <w:vAlign w:val="bottom"/>
            <w:shd w:val="clear" w:color="auto" w:fill="3E8EDE"/>
          </w:tcPr>
          <w:p>
            <w:pPr>
              <w:jc w:val="center"/>
              <w:ind w:right="181"/>
              <w:spacing w:after="0"/>
              <w:rPr>
                <w:sz w:val="20"/>
                <w:szCs w:val="20"/>
                <w:color w:val="auto"/>
              </w:rPr>
            </w:pPr>
            <w:r>
              <w:rPr>
                <w:rFonts w:ascii="Arial" w:cs="Arial" w:eastAsia="Arial" w:hAnsi="Arial"/>
                <w:sz w:val="11"/>
                <w:szCs w:val="11"/>
                <w:b w:val="1"/>
                <w:bCs w:val="1"/>
                <w:color w:val="FFFFFF"/>
                <w:w w:val="99"/>
              </w:rPr>
              <w:t>(“SCT”)</w:t>
            </w:r>
          </w:p>
        </w:tc>
        <w:tc>
          <w:tcPr>
            <w:tcW w:w="1380" w:type="dxa"/>
            <w:vAlign w:val="bottom"/>
            <w:shd w:val="clear" w:color="auto" w:fill="3E8EDE"/>
          </w:tcPr>
          <w:p>
            <w:pPr>
              <w:spacing w:after="0"/>
              <w:rPr>
                <w:sz w:val="11"/>
                <w:szCs w:val="11"/>
                <w:color w:val="auto"/>
              </w:rPr>
            </w:pPr>
          </w:p>
        </w:tc>
        <w:tc>
          <w:tcPr>
            <w:tcW w:w="1440" w:type="dxa"/>
            <w:vAlign w:val="bottom"/>
            <w:gridSpan w:val="2"/>
            <w:shd w:val="clear" w:color="auto" w:fill="3E8EDE"/>
          </w:tcPr>
          <w:p>
            <w:pPr>
              <w:ind w:left="260"/>
              <w:spacing w:after="0"/>
              <w:rPr>
                <w:sz w:val="20"/>
                <w:szCs w:val="20"/>
                <w:color w:val="auto"/>
              </w:rPr>
            </w:pPr>
            <w:r>
              <w:rPr>
                <w:rFonts w:ascii="Arial" w:cs="Arial" w:eastAsia="Arial" w:hAnsi="Arial"/>
                <w:sz w:val="11"/>
                <w:szCs w:val="11"/>
                <w:b w:val="1"/>
                <w:bCs w:val="1"/>
                <w:color w:val="FFFFFF"/>
              </w:rPr>
              <w:t>   Compensation</w:t>
            </w:r>
          </w:p>
        </w:tc>
        <w:tc>
          <w:tcPr>
            <w:tcW w:w="1800" w:type="dxa"/>
            <w:vAlign w:val="bottom"/>
            <w:shd w:val="clear" w:color="auto" w:fill="3E8EDE"/>
          </w:tcPr>
          <w:p>
            <w:pPr>
              <w:jc w:val="right"/>
              <w:ind w:right="560"/>
              <w:spacing w:after="0"/>
              <w:rPr>
                <w:sz w:val="20"/>
                <w:szCs w:val="20"/>
                <w:color w:val="auto"/>
              </w:rPr>
            </w:pPr>
            <w:r>
              <w:rPr>
                <w:rFonts w:ascii="Arial" w:cs="Arial" w:eastAsia="Arial" w:hAnsi="Arial"/>
                <w:sz w:val="11"/>
                <w:szCs w:val="11"/>
                <w:b w:val="1"/>
                <w:bCs w:val="1"/>
                <w:color w:val="FFFFFF"/>
              </w:rPr>
              <w:t>   Compensation</w:t>
            </w:r>
          </w:p>
        </w:tc>
        <w:tc>
          <w:tcPr>
            <w:tcW w:w="840" w:type="dxa"/>
            <w:vAlign w:val="bottom"/>
            <w:shd w:val="clear" w:color="auto" w:fill="3E8EDE"/>
          </w:tcPr>
          <w:p>
            <w:pPr>
              <w:jc w:val="center"/>
              <w:ind w:right="121"/>
              <w:spacing w:after="0"/>
              <w:rPr>
                <w:sz w:val="20"/>
                <w:szCs w:val="20"/>
                <w:color w:val="auto"/>
              </w:rPr>
            </w:pPr>
            <w:r>
              <w:rPr>
                <w:rFonts w:ascii="Arial" w:cs="Arial" w:eastAsia="Arial" w:hAnsi="Arial"/>
                <w:sz w:val="11"/>
                <w:szCs w:val="11"/>
                <w:b w:val="1"/>
                <w:bCs w:val="1"/>
                <w:color w:val="FFFFFF"/>
              </w:rPr>
              <w:t>Non-PEO</w:t>
            </w:r>
          </w:p>
        </w:tc>
        <w:tc>
          <w:tcPr>
            <w:tcW w:w="880" w:type="dxa"/>
            <w:vAlign w:val="bottom"/>
            <w:gridSpan w:val="2"/>
            <w:shd w:val="clear" w:color="auto" w:fill="3E8EDE"/>
          </w:tcPr>
          <w:p>
            <w:pPr>
              <w:jc w:val="center"/>
              <w:ind w:left="21"/>
              <w:spacing w:after="0"/>
              <w:rPr>
                <w:sz w:val="20"/>
                <w:szCs w:val="20"/>
                <w:color w:val="auto"/>
              </w:rPr>
            </w:pPr>
            <w:r>
              <w:rPr>
                <w:rFonts w:ascii="Arial" w:cs="Arial" w:eastAsia="Arial" w:hAnsi="Arial"/>
                <w:sz w:val="11"/>
                <w:szCs w:val="11"/>
                <w:b w:val="1"/>
                <w:bCs w:val="1"/>
                <w:color w:val="FFFFFF"/>
                <w:w w:val="99"/>
              </w:rPr>
              <w:t>Non-PEO</w:t>
            </w:r>
          </w:p>
        </w:tc>
        <w:tc>
          <w:tcPr>
            <w:tcW w:w="540" w:type="dxa"/>
            <w:vAlign w:val="bottom"/>
            <w:shd w:val="clear" w:color="auto" w:fill="3E8EDE"/>
          </w:tcPr>
          <w:p>
            <w:pPr>
              <w:jc w:val="center"/>
              <w:spacing w:after="0"/>
              <w:rPr>
                <w:sz w:val="20"/>
                <w:szCs w:val="20"/>
                <w:color w:val="auto"/>
              </w:rPr>
            </w:pPr>
            <w:r>
              <w:rPr>
                <w:rFonts w:ascii="Arial" w:cs="Arial" w:eastAsia="Arial" w:hAnsi="Arial"/>
                <w:sz w:val="11"/>
                <w:szCs w:val="11"/>
                <w:b w:val="1"/>
                <w:bCs w:val="1"/>
                <w:color w:val="FFFFFF"/>
                <w:w w:val="98"/>
              </w:rPr>
              <w:t>Total</w:t>
            </w:r>
          </w:p>
        </w:tc>
        <w:tc>
          <w:tcPr>
            <w:tcW w:w="600" w:type="dxa"/>
            <w:vAlign w:val="bottom"/>
            <w:shd w:val="clear" w:color="auto" w:fill="3E8EDE"/>
          </w:tcPr>
          <w:p>
            <w:pPr>
              <w:jc w:val="center"/>
              <w:spacing w:after="0"/>
              <w:rPr>
                <w:sz w:val="20"/>
                <w:szCs w:val="20"/>
                <w:color w:val="auto"/>
              </w:rPr>
            </w:pPr>
            <w:r>
              <w:rPr>
                <w:rFonts w:ascii="Arial" w:cs="Arial" w:eastAsia="Arial" w:hAnsi="Arial"/>
                <w:sz w:val="11"/>
                <w:szCs w:val="11"/>
                <w:b w:val="1"/>
                <w:bCs w:val="1"/>
                <w:color w:val="FFFFFF"/>
                <w:w w:val="98"/>
              </w:rPr>
              <w:t>Total</w:t>
            </w:r>
          </w:p>
        </w:tc>
        <w:tc>
          <w:tcPr>
            <w:tcW w:w="600" w:type="dxa"/>
            <w:vAlign w:val="bottom"/>
            <w:shd w:val="clear" w:color="auto" w:fill="3E8EDE"/>
          </w:tcPr>
          <w:p>
            <w:pPr>
              <w:jc w:val="center"/>
              <w:ind w:right="41"/>
              <w:spacing w:after="0"/>
              <w:rPr>
                <w:sz w:val="20"/>
                <w:szCs w:val="20"/>
                <w:color w:val="auto"/>
              </w:rPr>
            </w:pPr>
            <w:r>
              <w:rPr>
                <w:rFonts w:ascii="Arial" w:cs="Arial" w:eastAsia="Arial" w:hAnsi="Arial"/>
                <w:sz w:val="11"/>
                <w:szCs w:val="11"/>
                <w:b w:val="1"/>
                <w:bCs w:val="1"/>
                <w:color w:val="FFFFFF"/>
                <w:w w:val="98"/>
              </w:rPr>
              <w:t>Total</w:t>
            </w:r>
          </w:p>
        </w:tc>
        <w:tc>
          <w:tcPr>
            <w:tcW w:w="820" w:type="dxa"/>
            <w:vAlign w:val="bottom"/>
            <w:shd w:val="clear" w:color="auto" w:fill="3E8EDE"/>
          </w:tcPr>
          <w:p>
            <w:pPr>
              <w:jc w:val="center"/>
              <w:spacing w:after="0"/>
              <w:rPr>
                <w:sz w:val="20"/>
                <w:szCs w:val="20"/>
                <w:color w:val="auto"/>
              </w:rPr>
            </w:pPr>
            <w:r>
              <w:rPr>
                <w:rFonts w:ascii="Arial" w:cs="Arial" w:eastAsia="Arial" w:hAnsi="Arial"/>
                <w:sz w:val="11"/>
                <w:szCs w:val="11"/>
                <w:b w:val="1"/>
                <w:bCs w:val="1"/>
                <w:color w:val="FFFFFF"/>
              </w:rPr>
              <w:t>Net</w:t>
            </w:r>
          </w:p>
        </w:tc>
        <w:tc>
          <w:tcPr>
            <w:tcW w:w="740" w:type="dxa"/>
            <w:vAlign w:val="bottom"/>
            <w:shd w:val="clear" w:color="auto" w:fill="3E8ED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00" w:type="dxa"/>
            <w:vAlign w:val="bottom"/>
            <w:shd w:val="clear" w:color="auto" w:fill="3E8EDE"/>
          </w:tcPr>
          <w:p>
            <w:pPr>
              <w:spacing w:after="0"/>
              <w:rPr>
                <w:sz w:val="11"/>
                <w:szCs w:val="11"/>
                <w:color w:val="auto"/>
              </w:rPr>
            </w:pPr>
          </w:p>
        </w:tc>
        <w:tc>
          <w:tcPr>
            <w:tcW w:w="160" w:type="dxa"/>
            <w:vAlign w:val="bottom"/>
            <w:shd w:val="clear" w:color="auto" w:fill="3E8EDE"/>
          </w:tcPr>
          <w:p>
            <w:pPr>
              <w:spacing w:after="0"/>
              <w:rPr>
                <w:sz w:val="11"/>
                <w:szCs w:val="11"/>
                <w:color w:val="auto"/>
              </w:rPr>
            </w:pPr>
          </w:p>
        </w:tc>
        <w:tc>
          <w:tcPr>
            <w:tcW w:w="800" w:type="dxa"/>
            <w:vAlign w:val="bottom"/>
            <w:shd w:val="clear" w:color="auto" w:fill="3E8EDE"/>
          </w:tcPr>
          <w:p>
            <w:pPr>
              <w:jc w:val="center"/>
              <w:ind w:right="181"/>
              <w:spacing w:after="0"/>
              <w:rPr>
                <w:sz w:val="20"/>
                <w:szCs w:val="20"/>
                <w:color w:val="auto"/>
              </w:rPr>
            </w:pPr>
            <w:r>
              <w:rPr>
                <w:rFonts w:ascii="Arial" w:cs="Arial" w:eastAsia="Arial" w:hAnsi="Arial"/>
                <w:sz w:val="11"/>
                <w:szCs w:val="11"/>
                <w:b w:val="1"/>
                <w:bCs w:val="1"/>
                <w:color w:val="FFFFFF"/>
                <w:w w:val="99"/>
              </w:rPr>
              <w:t>Total for</w:t>
            </w:r>
          </w:p>
        </w:tc>
        <w:tc>
          <w:tcPr>
            <w:tcW w:w="1380" w:type="dxa"/>
            <w:vAlign w:val="bottom"/>
            <w:shd w:val="clear" w:color="auto" w:fill="3E8EDE"/>
          </w:tcPr>
          <w:p>
            <w:pPr>
              <w:jc w:val="center"/>
              <w:ind w:right="79"/>
              <w:spacing w:after="0"/>
              <w:rPr>
                <w:sz w:val="20"/>
                <w:szCs w:val="20"/>
                <w:color w:val="auto"/>
              </w:rPr>
            </w:pPr>
            <w:r>
              <w:rPr>
                <w:rFonts w:ascii="Arial" w:cs="Arial" w:eastAsia="Arial" w:hAnsi="Arial"/>
                <w:sz w:val="11"/>
                <w:szCs w:val="11"/>
                <w:b w:val="1"/>
                <w:bCs w:val="1"/>
                <w:color w:val="FFFFFF"/>
                <w:w w:val="96"/>
              </w:rPr>
              <w:t xml:space="preserve">     SCT Total for    </w:t>
            </w:r>
          </w:p>
        </w:tc>
        <w:tc>
          <w:tcPr>
            <w:tcW w:w="1440" w:type="dxa"/>
            <w:vAlign w:val="bottom"/>
            <w:gridSpan w:val="2"/>
            <w:shd w:val="clear" w:color="auto" w:fill="3E8EDE"/>
          </w:tcPr>
          <w:p>
            <w:pPr>
              <w:ind w:left="400"/>
              <w:spacing w:after="0"/>
              <w:rPr>
                <w:sz w:val="20"/>
                <w:szCs w:val="20"/>
                <w:color w:val="auto"/>
              </w:rPr>
            </w:pPr>
            <w:r>
              <w:rPr>
                <w:rFonts w:ascii="Arial" w:cs="Arial" w:eastAsia="Arial" w:hAnsi="Arial"/>
                <w:sz w:val="11"/>
                <w:szCs w:val="11"/>
                <w:b w:val="1"/>
                <w:bCs w:val="1"/>
                <w:color w:val="FFFFFF"/>
              </w:rPr>
              <w:t>Actually Paid</w:t>
            </w:r>
          </w:p>
        </w:tc>
        <w:tc>
          <w:tcPr>
            <w:tcW w:w="1800" w:type="dxa"/>
            <w:vAlign w:val="bottom"/>
            <w:shd w:val="clear" w:color="auto" w:fill="3E8EDE"/>
          </w:tcPr>
          <w:p>
            <w:pPr>
              <w:jc w:val="center"/>
              <w:ind w:right="160"/>
              <w:spacing w:after="0"/>
              <w:rPr>
                <w:sz w:val="20"/>
                <w:szCs w:val="20"/>
                <w:color w:val="auto"/>
              </w:rPr>
            </w:pPr>
            <w:r>
              <w:rPr>
                <w:rFonts w:ascii="Arial" w:cs="Arial" w:eastAsia="Arial" w:hAnsi="Arial"/>
                <w:sz w:val="11"/>
                <w:szCs w:val="11"/>
                <w:b w:val="1"/>
                <w:bCs w:val="1"/>
                <w:color w:val="FFFFFF"/>
              </w:rPr>
              <w:t>Actually Paid</w:t>
            </w:r>
          </w:p>
        </w:tc>
        <w:tc>
          <w:tcPr>
            <w:tcW w:w="840" w:type="dxa"/>
            <w:vAlign w:val="bottom"/>
            <w:shd w:val="clear" w:color="auto" w:fill="3E8EDE"/>
          </w:tcPr>
          <w:p>
            <w:pPr>
              <w:jc w:val="center"/>
              <w:ind w:right="121"/>
              <w:spacing w:after="0"/>
              <w:rPr>
                <w:sz w:val="20"/>
                <w:szCs w:val="20"/>
                <w:color w:val="auto"/>
              </w:rPr>
            </w:pPr>
            <w:r>
              <w:rPr>
                <w:rFonts w:ascii="Arial" w:cs="Arial" w:eastAsia="Arial" w:hAnsi="Arial"/>
                <w:sz w:val="11"/>
                <w:szCs w:val="11"/>
                <w:b w:val="1"/>
                <w:bCs w:val="1"/>
                <w:color w:val="FFFFFF"/>
              </w:rPr>
              <w:t>Named</w:t>
            </w:r>
          </w:p>
        </w:tc>
        <w:tc>
          <w:tcPr>
            <w:tcW w:w="880" w:type="dxa"/>
            <w:vAlign w:val="bottom"/>
            <w:gridSpan w:val="2"/>
            <w:shd w:val="clear" w:color="auto" w:fill="3E8EDE"/>
          </w:tcPr>
          <w:p>
            <w:pPr>
              <w:jc w:val="center"/>
              <w:ind w:left="21"/>
              <w:spacing w:after="0"/>
              <w:rPr>
                <w:sz w:val="20"/>
                <w:szCs w:val="20"/>
                <w:color w:val="auto"/>
              </w:rPr>
            </w:pPr>
            <w:r>
              <w:rPr>
                <w:rFonts w:ascii="Arial" w:cs="Arial" w:eastAsia="Arial" w:hAnsi="Arial"/>
                <w:sz w:val="11"/>
                <w:szCs w:val="11"/>
                <w:b w:val="1"/>
                <w:bCs w:val="1"/>
                <w:color w:val="FFFFFF"/>
                <w:w w:val="98"/>
              </w:rPr>
              <w:t>Named</w:t>
            </w:r>
          </w:p>
        </w:tc>
        <w:tc>
          <w:tcPr>
            <w:tcW w:w="540" w:type="dxa"/>
            <w:vAlign w:val="bottom"/>
            <w:shd w:val="clear" w:color="auto" w:fill="3E8EDE"/>
          </w:tcPr>
          <w:p>
            <w:pPr>
              <w:jc w:val="center"/>
              <w:spacing w:after="0"/>
              <w:rPr>
                <w:sz w:val="20"/>
                <w:szCs w:val="20"/>
                <w:color w:val="auto"/>
              </w:rPr>
            </w:pPr>
            <w:r>
              <w:rPr>
                <w:rFonts w:ascii="Arial" w:cs="Arial" w:eastAsia="Arial" w:hAnsi="Arial"/>
                <w:sz w:val="11"/>
                <w:szCs w:val="11"/>
                <w:b w:val="1"/>
                <w:bCs w:val="1"/>
                <w:color w:val="FFFFFF"/>
              </w:rPr>
              <w:t>Share-</w:t>
            </w:r>
          </w:p>
        </w:tc>
        <w:tc>
          <w:tcPr>
            <w:tcW w:w="600" w:type="dxa"/>
            <w:vAlign w:val="bottom"/>
            <w:shd w:val="clear" w:color="auto" w:fill="3E8EDE"/>
          </w:tcPr>
          <w:p>
            <w:pPr>
              <w:jc w:val="center"/>
              <w:spacing w:after="0"/>
              <w:rPr>
                <w:sz w:val="20"/>
                <w:szCs w:val="20"/>
                <w:color w:val="auto"/>
              </w:rPr>
            </w:pPr>
            <w:r>
              <w:rPr>
                <w:rFonts w:ascii="Arial" w:cs="Arial" w:eastAsia="Arial" w:hAnsi="Arial"/>
                <w:sz w:val="11"/>
                <w:szCs w:val="11"/>
                <w:b w:val="1"/>
                <w:bCs w:val="1"/>
                <w:color w:val="FFFFFF"/>
                <w:w w:val="99"/>
              </w:rPr>
              <w:t>Share-</w:t>
            </w:r>
          </w:p>
        </w:tc>
        <w:tc>
          <w:tcPr>
            <w:tcW w:w="600" w:type="dxa"/>
            <w:vAlign w:val="bottom"/>
            <w:shd w:val="clear" w:color="auto" w:fill="3E8EDE"/>
          </w:tcPr>
          <w:p>
            <w:pPr>
              <w:jc w:val="center"/>
              <w:ind w:right="21"/>
              <w:spacing w:after="0"/>
              <w:rPr>
                <w:sz w:val="20"/>
                <w:szCs w:val="20"/>
                <w:color w:val="auto"/>
              </w:rPr>
            </w:pPr>
            <w:r>
              <w:rPr>
                <w:rFonts w:ascii="Arial" w:cs="Arial" w:eastAsia="Arial" w:hAnsi="Arial"/>
                <w:sz w:val="11"/>
                <w:szCs w:val="11"/>
                <w:b w:val="1"/>
                <w:bCs w:val="1"/>
                <w:color w:val="FFFFFF"/>
              </w:rPr>
              <w:t>Share-</w:t>
            </w:r>
          </w:p>
        </w:tc>
        <w:tc>
          <w:tcPr>
            <w:tcW w:w="820" w:type="dxa"/>
            <w:vAlign w:val="bottom"/>
            <w:shd w:val="clear" w:color="auto" w:fill="3E8EDE"/>
          </w:tcPr>
          <w:p>
            <w:pPr>
              <w:jc w:val="center"/>
              <w:spacing w:after="0"/>
              <w:rPr>
                <w:sz w:val="20"/>
                <w:szCs w:val="20"/>
                <w:color w:val="auto"/>
              </w:rPr>
            </w:pPr>
            <w:r>
              <w:rPr>
                <w:rFonts w:ascii="Arial" w:cs="Arial" w:eastAsia="Arial" w:hAnsi="Arial"/>
                <w:sz w:val="11"/>
                <w:szCs w:val="11"/>
                <w:b w:val="1"/>
                <w:bCs w:val="1"/>
                <w:color w:val="FFFFFF"/>
              </w:rPr>
              <w:t>Income –</w:t>
            </w:r>
          </w:p>
        </w:tc>
        <w:tc>
          <w:tcPr>
            <w:tcW w:w="740" w:type="dxa"/>
            <w:vAlign w:val="bottom"/>
            <w:shd w:val="clear" w:color="auto" w:fill="3E8EDE"/>
          </w:tcPr>
          <w:p>
            <w:pPr>
              <w:jc w:val="center"/>
              <w:ind w:left="199"/>
              <w:spacing w:after="0"/>
              <w:rPr>
                <w:sz w:val="20"/>
                <w:szCs w:val="20"/>
                <w:color w:val="auto"/>
              </w:rPr>
            </w:pPr>
            <w:r>
              <w:rPr>
                <w:rFonts w:ascii="Arial" w:cs="Arial" w:eastAsia="Arial" w:hAnsi="Arial"/>
                <w:sz w:val="11"/>
                <w:szCs w:val="11"/>
                <w:b w:val="1"/>
                <w:bCs w:val="1"/>
                <w:color w:val="FFFFFF"/>
              </w:rPr>
              <w:t>Adjusted</w:t>
            </w:r>
          </w:p>
        </w:tc>
        <w:tc>
          <w:tcPr>
            <w:tcW w:w="0" w:type="dxa"/>
            <w:vAlign w:val="bottom"/>
          </w:tcPr>
          <w:p>
            <w:pPr>
              <w:spacing w:after="0"/>
              <w:rPr>
                <w:sz w:val="1"/>
                <w:szCs w:val="1"/>
                <w:color w:val="auto"/>
              </w:rPr>
            </w:pPr>
          </w:p>
        </w:tc>
      </w:tr>
      <w:tr>
        <w:trPr>
          <w:trHeight w:val="130"/>
        </w:trPr>
        <w:tc>
          <w:tcPr>
            <w:tcW w:w="400" w:type="dxa"/>
            <w:vAlign w:val="bottom"/>
            <w:shd w:val="clear" w:color="auto" w:fill="3E8EDE"/>
          </w:tcPr>
          <w:p>
            <w:pPr>
              <w:spacing w:after="0"/>
              <w:rPr>
                <w:sz w:val="11"/>
                <w:szCs w:val="11"/>
                <w:color w:val="auto"/>
              </w:rPr>
            </w:pPr>
          </w:p>
        </w:tc>
        <w:tc>
          <w:tcPr>
            <w:tcW w:w="160" w:type="dxa"/>
            <w:vAlign w:val="bottom"/>
            <w:shd w:val="clear" w:color="auto" w:fill="3E8EDE"/>
          </w:tcPr>
          <w:p>
            <w:pPr>
              <w:spacing w:after="0"/>
              <w:rPr>
                <w:sz w:val="11"/>
                <w:szCs w:val="11"/>
                <w:color w:val="auto"/>
              </w:rPr>
            </w:pPr>
          </w:p>
        </w:tc>
        <w:tc>
          <w:tcPr>
            <w:tcW w:w="800" w:type="dxa"/>
            <w:vAlign w:val="bottom"/>
            <w:shd w:val="clear" w:color="auto" w:fill="3E8EDE"/>
          </w:tcPr>
          <w:p>
            <w:pPr>
              <w:jc w:val="center"/>
              <w:ind w:right="181"/>
              <w:spacing w:after="0"/>
              <w:rPr>
                <w:sz w:val="20"/>
                <w:szCs w:val="20"/>
                <w:color w:val="auto"/>
              </w:rPr>
            </w:pPr>
            <w:r>
              <w:rPr>
                <w:rFonts w:ascii="Arial" w:cs="Arial" w:eastAsia="Arial" w:hAnsi="Arial"/>
                <w:sz w:val="11"/>
                <w:szCs w:val="11"/>
                <w:b w:val="1"/>
                <w:bCs w:val="1"/>
                <w:color w:val="FFFFFF"/>
              </w:rPr>
              <w:t>PEO</w:t>
            </w:r>
          </w:p>
        </w:tc>
        <w:tc>
          <w:tcPr>
            <w:tcW w:w="1380" w:type="dxa"/>
            <w:vAlign w:val="bottom"/>
            <w:shd w:val="clear" w:color="auto" w:fill="3E8EDE"/>
          </w:tcPr>
          <w:p>
            <w:pPr>
              <w:jc w:val="center"/>
              <w:ind w:right="39"/>
              <w:spacing w:after="0"/>
              <w:rPr>
                <w:sz w:val="20"/>
                <w:szCs w:val="20"/>
                <w:color w:val="auto"/>
              </w:rPr>
            </w:pPr>
            <w:r>
              <w:rPr>
                <w:rFonts w:ascii="Arial" w:cs="Arial" w:eastAsia="Arial" w:hAnsi="Arial"/>
                <w:sz w:val="11"/>
                <w:szCs w:val="11"/>
                <w:b w:val="1"/>
                <w:bCs w:val="1"/>
                <w:color w:val="FFFFFF"/>
              </w:rPr>
              <w:t>PEO</w:t>
            </w:r>
          </w:p>
        </w:tc>
        <w:tc>
          <w:tcPr>
            <w:tcW w:w="480" w:type="dxa"/>
            <w:vAlign w:val="bottom"/>
            <w:shd w:val="clear" w:color="auto" w:fill="3E8EDE"/>
          </w:tcPr>
          <w:p>
            <w:pPr>
              <w:spacing w:after="0"/>
              <w:rPr>
                <w:sz w:val="11"/>
                <w:szCs w:val="11"/>
                <w:color w:val="auto"/>
              </w:rPr>
            </w:pPr>
          </w:p>
        </w:tc>
        <w:tc>
          <w:tcPr>
            <w:tcW w:w="960" w:type="dxa"/>
            <w:vAlign w:val="bottom"/>
            <w:shd w:val="clear" w:color="auto" w:fill="3E8EDE"/>
          </w:tcPr>
          <w:p>
            <w:pPr>
              <w:jc w:val="center"/>
              <w:ind w:right="339"/>
              <w:spacing w:after="0"/>
              <w:rPr>
                <w:sz w:val="20"/>
                <w:szCs w:val="20"/>
                <w:color w:val="auto"/>
              </w:rPr>
            </w:pPr>
            <w:r>
              <w:rPr>
                <w:rFonts w:ascii="Arial" w:cs="Arial" w:eastAsia="Arial" w:hAnsi="Arial"/>
                <w:sz w:val="11"/>
                <w:szCs w:val="11"/>
                <w:b w:val="1"/>
                <w:bCs w:val="1"/>
                <w:color w:val="FFFFFF"/>
                <w:w w:val="98"/>
              </w:rPr>
              <w:t>to PEO</w:t>
            </w:r>
          </w:p>
        </w:tc>
        <w:tc>
          <w:tcPr>
            <w:tcW w:w="1800" w:type="dxa"/>
            <w:vAlign w:val="bottom"/>
            <w:shd w:val="clear" w:color="auto" w:fill="3E8EDE"/>
          </w:tcPr>
          <w:p>
            <w:pPr>
              <w:jc w:val="center"/>
              <w:ind w:right="160"/>
              <w:spacing w:after="0"/>
              <w:rPr>
                <w:sz w:val="20"/>
                <w:szCs w:val="20"/>
                <w:color w:val="auto"/>
              </w:rPr>
            </w:pPr>
            <w:r>
              <w:rPr>
                <w:rFonts w:ascii="Arial" w:cs="Arial" w:eastAsia="Arial" w:hAnsi="Arial"/>
                <w:sz w:val="11"/>
                <w:szCs w:val="11"/>
                <w:b w:val="1"/>
                <w:bCs w:val="1"/>
                <w:color w:val="FFFFFF"/>
              </w:rPr>
              <w:t>to PEO</w:t>
            </w:r>
          </w:p>
        </w:tc>
        <w:tc>
          <w:tcPr>
            <w:tcW w:w="840" w:type="dxa"/>
            <w:vAlign w:val="bottom"/>
            <w:shd w:val="clear" w:color="auto" w:fill="3E8EDE"/>
          </w:tcPr>
          <w:p>
            <w:pPr>
              <w:jc w:val="center"/>
              <w:ind w:right="141"/>
              <w:spacing w:after="0"/>
              <w:rPr>
                <w:sz w:val="20"/>
                <w:szCs w:val="20"/>
                <w:color w:val="auto"/>
              </w:rPr>
            </w:pPr>
            <w:r>
              <w:rPr>
                <w:rFonts w:ascii="Arial" w:cs="Arial" w:eastAsia="Arial" w:hAnsi="Arial"/>
                <w:sz w:val="11"/>
                <w:szCs w:val="11"/>
                <w:b w:val="1"/>
                <w:bCs w:val="1"/>
                <w:color w:val="FFFFFF"/>
              </w:rPr>
              <w:t>Executive</w:t>
            </w:r>
          </w:p>
        </w:tc>
        <w:tc>
          <w:tcPr>
            <w:tcW w:w="880" w:type="dxa"/>
            <w:vAlign w:val="bottom"/>
            <w:gridSpan w:val="2"/>
            <w:shd w:val="clear" w:color="auto" w:fill="3E8EDE"/>
          </w:tcPr>
          <w:p>
            <w:pPr>
              <w:jc w:val="center"/>
              <w:ind w:left="21"/>
              <w:spacing w:after="0"/>
              <w:rPr>
                <w:sz w:val="20"/>
                <w:szCs w:val="20"/>
                <w:color w:val="auto"/>
              </w:rPr>
            </w:pPr>
            <w:r>
              <w:rPr>
                <w:rFonts w:ascii="Arial" w:cs="Arial" w:eastAsia="Arial" w:hAnsi="Arial"/>
                <w:sz w:val="11"/>
                <w:szCs w:val="11"/>
                <w:b w:val="1"/>
                <w:bCs w:val="1"/>
                <w:color w:val="FFFFFF"/>
              </w:rPr>
              <w:t>Executive</w:t>
            </w:r>
          </w:p>
        </w:tc>
        <w:tc>
          <w:tcPr>
            <w:tcW w:w="540" w:type="dxa"/>
            <w:vAlign w:val="bottom"/>
            <w:shd w:val="clear" w:color="auto" w:fill="3E8EDE"/>
          </w:tcPr>
          <w:p>
            <w:pPr>
              <w:jc w:val="center"/>
              <w:spacing w:after="0"/>
              <w:rPr>
                <w:sz w:val="20"/>
                <w:szCs w:val="20"/>
                <w:color w:val="auto"/>
              </w:rPr>
            </w:pPr>
            <w:r>
              <w:rPr>
                <w:rFonts w:ascii="Arial" w:cs="Arial" w:eastAsia="Arial" w:hAnsi="Arial"/>
                <w:sz w:val="11"/>
                <w:szCs w:val="11"/>
                <w:b w:val="1"/>
                <w:bCs w:val="1"/>
                <w:color w:val="FFFFFF"/>
              </w:rPr>
              <w:t>holder</w:t>
            </w:r>
          </w:p>
        </w:tc>
        <w:tc>
          <w:tcPr>
            <w:tcW w:w="600" w:type="dxa"/>
            <w:vAlign w:val="bottom"/>
            <w:shd w:val="clear" w:color="auto" w:fill="3E8EDE"/>
          </w:tcPr>
          <w:p>
            <w:pPr>
              <w:jc w:val="center"/>
              <w:spacing w:after="0"/>
              <w:rPr>
                <w:sz w:val="20"/>
                <w:szCs w:val="20"/>
                <w:color w:val="auto"/>
              </w:rPr>
            </w:pPr>
            <w:r>
              <w:rPr>
                <w:rFonts w:ascii="Arial" w:cs="Arial" w:eastAsia="Arial" w:hAnsi="Arial"/>
                <w:sz w:val="11"/>
                <w:szCs w:val="11"/>
                <w:b w:val="1"/>
                <w:bCs w:val="1"/>
                <w:color w:val="FFFFFF"/>
              </w:rPr>
              <w:t>holder</w:t>
            </w:r>
          </w:p>
        </w:tc>
        <w:tc>
          <w:tcPr>
            <w:tcW w:w="600" w:type="dxa"/>
            <w:vAlign w:val="bottom"/>
            <w:shd w:val="clear" w:color="auto" w:fill="3E8EDE"/>
          </w:tcPr>
          <w:p>
            <w:pPr>
              <w:jc w:val="center"/>
              <w:ind w:right="41"/>
              <w:spacing w:after="0"/>
              <w:rPr>
                <w:sz w:val="20"/>
                <w:szCs w:val="20"/>
                <w:color w:val="auto"/>
              </w:rPr>
            </w:pPr>
            <w:r>
              <w:rPr>
                <w:rFonts w:ascii="Arial" w:cs="Arial" w:eastAsia="Arial" w:hAnsi="Arial"/>
                <w:sz w:val="11"/>
                <w:szCs w:val="11"/>
                <w:b w:val="1"/>
                <w:bCs w:val="1"/>
                <w:color w:val="FFFFFF"/>
              </w:rPr>
              <w:t>holder</w:t>
            </w:r>
          </w:p>
        </w:tc>
        <w:tc>
          <w:tcPr>
            <w:tcW w:w="820" w:type="dxa"/>
            <w:vAlign w:val="bottom"/>
            <w:shd w:val="clear" w:color="auto" w:fill="3E8EDE"/>
          </w:tcPr>
          <w:p>
            <w:pPr>
              <w:jc w:val="center"/>
              <w:spacing w:after="0"/>
              <w:rPr>
                <w:sz w:val="20"/>
                <w:szCs w:val="20"/>
                <w:color w:val="auto"/>
              </w:rPr>
            </w:pPr>
            <w:r>
              <w:rPr>
                <w:rFonts w:ascii="Arial" w:cs="Arial" w:eastAsia="Arial" w:hAnsi="Arial"/>
                <w:sz w:val="11"/>
                <w:szCs w:val="11"/>
                <w:b w:val="1"/>
                <w:bCs w:val="1"/>
                <w:color w:val="FFFFFF"/>
              </w:rPr>
              <w:t>in</w:t>
            </w:r>
          </w:p>
        </w:tc>
        <w:tc>
          <w:tcPr>
            <w:tcW w:w="740" w:type="dxa"/>
            <w:vAlign w:val="bottom"/>
            <w:shd w:val="clear" w:color="auto" w:fill="3E8EDE"/>
          </w:tcPr>
          <w:p>
            <w:pPr>
              <w:jc w:val="center"/>
              <w:ind w:left="199"/>
              <w:spacing w:after="0"/>
              <w:rPr>
                <w:sz w:val="20"/>
                <w:szCs w:val="20"/>
                <w:color w:val="auto"/>
              </w:rPr>
            </w:pPr>
            <w:r>
              <w:rPr>
                <w:rFonts w:ascii="Arial" w:cs="Arial" w:eastAsia="Arial" w:hAnsi="Arial"/>
                <w:sz w:val="11"/>
                <w:szCs w:val="11"/>
                <w:b w:val="1"/>
                <w:bCs w:val="1"/>
                <w:color w:val="FFFFFF"/>
              </w:rPr>
              <w:t>EBIT – in</w:t>
            </w:r>
          </w:p>
        </w:tc>
        <w:tc>
          <w:tcPr>
            <w:tcW w:w="0" w:type="dxa"/>
            <w:vAlign w:val="bottom"/>
          </w:tcPr>
          <w:p>
            <w:pPr>
              <w:spacing w:after="0"/>
              <w:rPr>
                <w:sz w:val="1"/>
                <w:szCs w:val="1"/>
                <w:color w:val="auto"/>
              </w:rPr>
            </w:pPr>
          </w:p>
        </w:tc>
      </w:tr>
      <w:tr>
        <w:trPr>
          <w:trHeight w:val="130"/>
        </w:trPr>
        <w:tc>
          <w:tcPr>
            <w:tcW w:w="400" w:type="dxa"/>
            <w:vAlign w:val="bottom"/>
            <w:shd w:val="clear" w:color="auto" w:fill="3E8EDE"/>
          </w:tcPr>
          <w:p>
            <w:pPr>
              <w:jc w:val="center"/>
              <w:spacing w:after="0"/>
              <w:rPr>
                <w:sz w:val="20"/>
                <w:szCs w:val="20"/>
                <w:color w:val="auto"/>
              </w:rPr>
            </w:pPr>
            <w:r>
              <w:rPr>
                <w:rFonts w:ascii="Arial" w:cs="Arial" w:eastAsia="Arial" w:hAnsi="Arial"/>
                <w:sz w:val="11"/>
                <w:szCs w:val="11"/>
                <w:b w:val="1"/>
                <w:bCs w:val="1"/>
                <w:color w:val="FFFFFF"/>
              </w:rPr>
              <w:t>Year</w:t>
            </w:r>
          </w:p>
        </w:tc>
        <w:tc>
          <w:tcPr>
            <w:tcW w:w="160" w:type="dxa"/>
            <w:vAlign w:val="bottom"/>
            <w:shd w:val="clear" w:color="auto" w:fill="3E8EDE"/>
          </w:tcPr>
          <w:p>
            <w:pPr>
              <w:spacing w:after="0"/>
              <w:rPr>
                <w:sz w:val="11"/>
                <w:szCs w:val="11"/>
                <w:color w:val="auto"/>
              </w:rPr>
            </w:pPr>
          </w:p>
        </w:tc>
        <w:tc>
          <w:tcPr>
            <w:tcW w:w="800" w:type="dxa"/>
            <w:vAlign w:val="bottom"/>
            <w:shd w:val="clear" w:color="auto" w:fill="3E8EDE"/>
          </w:tcPr>
          <w:p>
            <w:pPr>
              <w:jc w:val="center"/>
              <w:ind w:right="181"/>
              <w:spacing w:after="0"/>
              <w:rPr>
                <w:sz w:val="20"/>
                <w:szCs w:val="20"/>
                <w:color w:val="auto"/>
              </w:rPr>
            </w:pPr>
            <w:r>
              <w:rPr>
                <w:rFonts w:ascii="Arial" w:cs="Arial" w:eastAsia="Arial" w:hAnsi="Arial"/>
                <w:sz w:val="11"/>
                <w:szCs w:val="11"/>
                <w:b w:val="1"/>
                <w:bCs w:val="1"/>
                <w:color w:val="FFFFFF"/>
              </w:rPr>
              <w:t>(Carestio)</w:t>
            </w:r>
          </w:p>
        </w:tc>
        <w:tc>
          <w:tcPr>
            <w:tcW w:w="1380" w:type="dxa"/>
            <w:vAlign w:val="bottom"/>
            <w:shd w:val="clear" w:color="auto" w:fill="3E8EDE"/>
          </w:tcPr>
          <w:p>
            <w:pPr>
              <w:jc w:val="center"/>
              <w:ind w:right="59"/>
              <w:spacing w:after="0"/>
              <w:rPr>
                <w:sz w:val="20"/>
                <w:szCs w:val="20"/>
                <w:color w:val="auto"/>
              </w:rPr>
            </w:pPr>
            <w:r>
              <w:rPr>
                <w:rFonts w:ascii="Arial" w:cs="Arial" w:eastAsia="Arial" w:hAnsi="Arial"/>
                <w:sz w:val="11"/>
                <w:szCs w:val="11"/>
                <w:b w:val="1"/>
                <w:bCs w:val="1"/>
                <w:color w:val="FFFFFF"/>
              </w:rPr>
              <w:t>(Rosebrough)</w:t>
            </w:r>
          </w:p>
        </w:tc>
        <w:tc>
          <w:tcPr>
            <w:tcW w:w="480" w:type="dxa"/>
            <w:vAlign w:val="bottom"/>
            <w:shd w:val="clear" w:color="auto" w:fill="3E8EDE"/>
          </w:tcPr>
          <w:p>
            <w:pPr>
              <w:spacing w:after="0"/>
              <w:rPr>
                <w:sz w:val="11"/>
                <w:szCs w:val="11"/>
                <w:color w:val="auto"/>
              </w:rPr>
            </w:pPr>
          </w:p>
        </w:tc>
        <w:tc>
          <w:tcPr>
            <w:tcW w:w="960" w:type="dxa"/>
            <w:vAlign w:val="bottom"/>
            <w:shd w:val="clear" w:color="auto" w:fill="3E8EDE"/>
          </w:tcPr>
          <w:p>
            <w:pPr>
              <w:jc w:val="center"/>
              <w:ind w:right="339"/>
              <w:spacing w:after="0"/>
              <w:rPr>
                <w:sz w:val="20"/>
                <w:szCs w:val="20"/>
                <w:color w:val="auto"/>
              </w:rPr>
            </w:pPr>
            <w:r>
              <w:rPr>
                <w:rFonts w:ascii="Arial" w:cs="Arial" w:eastAsia="Arial" w:hAnsi="Arial"/>
                <w:sz w:val="11"/>
                <w:szCs w:val="11"/>
                <w:b w:val="1"/>
                <w:bCs w:val="1"/>
                <w:color w:val="FFFFFF"/>
              </w:rPr>
              <w:t>(Carestio)</w:t>
            </w:r>
          </w:p>
        </w:tc>
        <w:tc>
          <w:tcPr>
            <w:tcW w:w="1800" w:type="dxa"/>
            <w:vAlign w:val="bottom"/>
            <w:shd w:val="clear" w:color="auto" w:fill="3E8EDE"/>
          </w:tcPr>
          <w:p>
            <w:pPr>
              <w:jc w:val="center"/>
              <w:ind w:right="160"/>
              <w:spacing w:after="0"/>
              <w:rPr>
                <w:sz w:val="20"/>
                <w:szCs w:val="20"/>
                <w:color w:val="auto"/>
              </w:rPr>
            </w:pPr>
            <w:r>
              <w:rPr>
                <w:rFonts w:ascii="Arial" w:cs="Arial" w:eastAsia="Arial" w:hAnsi="Arial"/>
                <w:sz w:val="11"/>
                <w:szCs w:val="11"/>
                <w:b w:val="1"/>
                <w:bCs w:val="1"/>
                <w:color w:val="FFFFFF"/>
              </w:rPr>
              <w:t>(Rosebrough)</w:t>
            </w:r>
          </w:p>
        </w:tc>
        <w:tc>
          <w:tcPr>
            <w:tcW w:w="840" w:type="dxa"/>
            <w:vAlign w:val="bottom"/>
            <w:shd w:val="clear" w:color="auto" w:fill="3E8EDE"/>
          </w:tcPr>
          <w:p>
            <w:pPr>
              <w:jc w:val="center"/>
              <w:ind w:right="121"/>
              <w:spacing w:after="0"/>
              <w:rPr>
                <w:sz w:val="20"/>
                <w:szCs w:val="20"/>
                <w:color w:val="auto"/>
              </w:rPr>
            </w:pPr>
            <w:r>
              <w:rPr>
                <w:rFonts w:ascii="Arial" w:cs="Arial" w:eastAsia="Arial" w:hAnsi="Arial"/>
                <w:sz w:val="11"/>
                <w:szCs w:val="11"/>
                <w:b w:val="1"/>
                <w:bCs w:val="1"/>
                <w:color w:val="FFFFFF"/>
              </w:rPr>
              <w:t>Officers</w:t>
            </w:r>
          </w:p>
        </w:tc>
        <w:tc>
          <w:tcPr>
            <w:tcW w:w="880" w:type="dxa"/>
            <w:vAlign w:val="bottom"/>
            <w:gridSpan w:val="2"/>
            <w:shd w:val="clear" w:color="auto" w:fill="3E8EDE"/>
          </w:tcPr>
          <w:p>
            <w:pPr>
              <w:jc w:val="center"/>
              <w:ind w:left="1"/>
              <w:spacing w:after="0"/>
              <w:rPr>
                <w:sz w:val="20"/>
                <w:szCs w:val="20"/>
                <w:color w:val="auto"/>
              </w:rPr>
            </w:pPr>
            <w:r>
              <w:rPr>
                <w:rFonts w:ascii="Arial" w:cs="Arial" w:eastAsia="Arial" w:hAnsi="Arial"/>
                <w:sz w:val="11"/>
                <w:szCs w:val="11"/>
                <w:b w:val="1"/>
                <w:bCs w:val="1"/>
                <w:color w:val="FFFFFF"/>
              </w:rPr>
              <w:t>Officers</w:t>
            </w:r>
          </w:p>
        </w:tc>
        <w:tc>
          <w:tcPr>
            <w:tcW w:w="540" w:type="dxa"/>
            <w:vAlign w:val="bottom"/>
            <w:shd w:val="clear" w:color="auto" w:fill="3E8EDE"/>
          </w:tcPr>
          <w:p>
            <w:pPr>
              <w:jc w:val="center"/>
              <w:spacing w:after="0"/>
              <w:rPr>
                <w:sz w:val="20"/>
                <w:szCs w:val="20"/>
                <w:color w:val="auto"/>
              </w:rPr>
            </w:pPr>
            <w:r>
              <w:rPr>
                <w:rFonts w:ascii="Arial" w:cs="Arial" w:eastAsia="Arial" w:hAnsi="Arial"/>
                <w:sz w:val="11"/>
                <w:szCs w:val="11"/>
                <w:b w:val="1"/>
                <w:bCs w:val="1"/>
                <w:color w:val="FFFFFF"/>
              </w:rPr>
              <w:t>Return</w:t>
            </w:r>
          </w:p>
        </w:tc>
        <w:tc>
          <w:tcPr>
            <w:tcW w:w="600" w:type="dxa"/>
            <w:vAlign w:val="bottom"/>
            <w:shd w:val="clear" w:color="auto" w:fill="3E8EDE"/>
          </w:tcPr>
          <w:p>
            <w:pPr>
              <w:jc w:val="center"/>
              <w:spacing w:after="0"/>
              <w:rPr>
                <w:sz w:val="20"/>
                <w:szCs w:val="20"/>
                <w:color w:val="auto"/>
              </w:rPr>
            </w:pPr>
            <w:r>
              <w:rPr>
                <w:rFonts w:ascii="Arial" w:cs="Arial" w:eastAsia="Arial" w:hAnsi="Arial"/>
                <w:sz w:val="11"/>
                <w:szCs w:val="11"/>
                <w:b w:val="1"/>
                <w:bCs w:val="1"/>
                <w:color w:val="FFFFFF"/>
              </w:rPr>
              <w:t>Return</w:t>
            </w:r>
          </w:p>
        </w:tc>
        <w:tc>
          <w:tcPr>
            <w:tcW w:w="600" w:type="dxa"/>
            <w:vAlign w:val="bottom"/>
            <w:shd w:val="clear" w:color="auto" w:fill="3E8EDE"/>
          </w:tcPr>
          <w:p>
            <w:pPr>
              <w:jc w:val="center"/>
              <w:ind w:right="21"/>
              <w:spacing w:after="0"/>
              <w:rPr>
                <w:sz w:val="20"/>
                <w:szCs w:val="20"/>
                <w:color w:val="auto"/>
              </w:rPr>
            </w:pPr>
            <w:r>
              <w:rPr>
                <w:rFonts w:ascii="Arial" w:cs="Arial" w:eastAsia="Arial" w:hAnsi="Arial"/>
                <w:sz w:val="11"/>
                <w:szCs w:val="11"/>
                <w:b w:val="1"/>
                <w:bCs w:val="1"/>
                <w:color w:val="FFFFFF"/>
              </w:rPr>
              <w:t>Return</w:t>
            </w:r>
          </w:p>
        </w:tc>
        <w:tc>
          <w:tcPr>
            <w:tcW w:w="820" w:type="dxa"/>
            <w:vAlign w:val="bottom"/>
            <w:shd w:val="clear" w:color="auto" w:fill="3E8EDE"/>
          </w:tcPr>
          <w:p>
            <w:pPr>
              <w:ind w:left="60"/>
              <w:spacing w:after="0"/>
              <w:rPr>
                <w:sz w:val="20"/>
                <w:szCs w:val="20"/>
                <w:color w:val="auto"/>
              </w:rPr>
            </w:pPr>
            <w:r>
              <w:rPr>
                <w:rFonts w:ascii="Arial" w:cs="Arial" w:eastAsia="Arial" w:hAnsi="Arial"/>
                <w:sz w:val="11"/>
                <w:szCs w:val="11"/>
                <w:b w:val="1"/>
                <w:bCs w:val="1"/>
                <w:color w:val="FFFFFF"/>
              </w:rPr>
              <w:t>   millions</w:t>
            </w:r>
          </w:p>
        </w:tc>
        <w:tc>
          <w:tcPr>
            <w:tcW w:w="740" w:type="dxa"/>
            <w:vAlign w:val="bottom"/>
            <w:shd w:val="clear" w:color="auto" w:fill="3E8EDE"/>
          </w:tcPr>
          <w:p>
            <w:pPr>
              <w:ind w:left="180"/>
              <w:spacing w:after="0"/>
              <w:rPr>
                <w:sz w:val="20"/>
                <w:szCs w:val="20"/>
                <w:color w:val="auto"/>
              </w:rPr>
            </w:pPr>
            <w:r>
              <w:rPr>
                <w:rFonts w:ascii="Arial" w:cs="Arial" w:eastAsia="Arial" w:hAnsi="Arial"/>
                <w:sz w:val="11"/>
                <w:szCs w:val="11"/>
                <w:b w:val="1"/>
                <w:bCs w:val="1"/>
                <w:color w:val="FFFFFF"/>
                <w:w w:val="91"/>
              </w:rPr>
              <w:t>   millions</w:t>
            </w:r>
          </w:p>
        </w:tc>
        <w:tc>
          <w:tcPr>
            <w:tcW w:w="0" w:type="dxa"/>
            <w:vAlign w:val="bottom"/>
          </w:tcPr>
          <w:p>
            <w:pPr>
              <w:spacing w:after="0"/>
              <w:rPr>
                <w:sz w:val="1"/>
                <w:szCs w:val="1"/>
                <w:color w:val="auto"/>
              </w:rPr>
            </w:pPr>
          </w:p>
        </w:tc>
      </w:tr>
      <w:tr>
        <w:trPr>
          <w:trHeight w:val="169"/>
        </w:trPr>
        <w:tc>
          <w:tcPr>
            <w:tcW w:w="400" w:type="dxa"/>
            <w:vAlign w:val="bottom"/>
            <w:tcBorders>
              <w:bottom w:val="single" w:sz="8" w:color="3E8EDE"/>
            </w:tcBorders>
            <w:shd w:val="clear" w:color="auto" w:fill="3E8EDE"/>
          </w:tcPr>
          <w:p>
            <w:pPr>
              <w:jc w:val="center"/>
              <w:spacing w:after="0"/>
              <w:rPr>
                <w:sz w:val="20"/>
                <w:szCs w:val="20"/>
                <w:color w:val="auto"/>
              </w:rPr>
            </w:pPr>
            <w:r>
              <w:rPr>
                <w:rFonts w:ascii="Arial" w:cs="Arial" w:eastAsia="Arial" w:hAnsi="Arial"/>
                <w:sz w:val="11"/>
                <w:szCs w:val="11"/>
                <w:b w:val="1"/>
                <w:bCs w:val="1"/>
                <w:color w:val="FFFFFF"/>
              </w:rPr>
              <w:t>(a)</w:t>
            </w:r>
          </w:p>
        </w:tc>
        <w:tc>
          <w:tcPr>
            <w:tcW w:w="160" w:type="dxa"/>
            <w:vAlign w:val="bottom"/>
            <w:tcBorders>
              <w:bottom w:val="single" w:sz="8" w:color="3E8EDE"/>
            </w:tcBorders>
            <w:shd w:val="clear" w:color="auto" w:fill="3E8EDE"/>
          </w:tcPr>
          <w:p>
            <w:pPr>
              <w:spacing w:after="0"/>
              <w:rPr>
                <w:sz w:val="14"/>
                <w:szCs w:val="14"/>
                <w:color w:val="auto"/>
              </w:rPr>
            </w:pPr>
          </w:p>
        </w:tc>
        <w:tc>
          <w:tcPr>
            <w:tcW w:w="800" w:type="dxa"/>
            <w:vAlign w:val="bottom"/>
            <w:tcBorders>
              <w:bottom w:val="single" w:sz="8" w:color="3E8EDE"/>
            </w:tcBorders>
            <w:shd w:val="clear" w:color="auto" w:fill="3E8EDE"/>
          </w:tcPr>
          <w:p>
            <w:pPr>
              <w:jc w:val="center"/>
              <w:ind w:right="201"/>
              <w:spacing w:after="0"/>
              <w:rPr>
                <w:sz w:val="20"/>
                <w:szCs w:val="20"/>
                <w:color w:val="auto"/>
              </w:rPr>
            </w:pPr>
            <w:r>
              <w:rPr>
                <w:rFonts w:ascii="Arial" w:cs="Arial" w:eastAsia="Arial" w:hAnsi="Arial"/>
                <w:sz w:val="11"/>
                <w:szCs w:val="11"/>
                <w:b w:val="1"/>
                <w:bCs w:val="1"/>
                <w:color w:val="FFFFFF"/>
                <w:w w:val="99"/>
              </w:rPr>
              <w:t>(b)</w:t>
            </w:r>
          </w:p>
        </w:tc>
        <w:tc>
          <w:tcPr>
            <w:tcW w:w="1380" w:type="dxa"/>
            <w:vAlign w:val="bottom"/>
            <w:tcBorders>
              <w:bottom w:val="single" w:sz="8" w:color="3E8EDE"/>
            </w:tcBorders>
            <w:shd w:val="clear" w:color="auto" w:fill="3E8EDE"/>
          </w:tcPr>
          <w:p>
            <w:pPr>
              <w:jc w:val="center"/>
              <w:ind w:right="59"/>
              <w:spacing w:after="0"/>
              <w:rPr>
                <w:sz w:val="20"/>
                <w:szCs w:val="20"/>
                <w:color w:val="auto"/>
              </w:rPr>
            </w:pPr>
            <w:r>
              <w:rPr>
                <w:rFonts w:ascii="Arial" w:cs="Arial" w:eastAsia="Arial" w:hAnsi="Arial"/>
                <w:sz w:val="11"/>
                <w:szCs w:val="11"/>
                <w:b w:val="1"/>
                <w:bCs w:val="1"/>
                <w:color w:val="FFFFFF"/>
                <w:w w:val="99"/>
              </w:rPr>
              <w:t>(b)</w:t>
            </w:r>
          </w:p>
        </w:tc>
        <w:tc>
          <w:tcPr>
            <w:tcW w:w="480" w:type="dxa"/>
            <w:vAlign w:val="bottom"/>
            <w:tcBorders>
              <w:bottom w:val="single" w:sz="8" w:color="3E8EDE"/>
            </w:tcBorders>
            <w:shd w:val="clear" w:color="auto" w:fill="3E8EDE"/>
          </w:tcPr>
          <w:p>
            <w:pPr>
              <w:spacing w:after="0"/>
              <w:rPr>
                <w:sz w:val="14"/>
                <w:szCs w:val="14"/>
                <w:color w:val="auto"/>
              </w:rPr>
            </w:pPr>
          </w:p>
        </w:tc>
        <w:tc>
          <w:tcPr>
            <w:tcW w:w="960" w:type="dxa"/>
            <w:vAlign w:val="bottom"/>
            <w:tcBorders>
              <w:bottom w:val="single" w:sz="8" w:color="3E8EDE"/>
            </w:tcBorders>
            <w:shd w:val="clear" w:color="auto" w:fill="3E8EDE"/>
          </w:tcPr>
          <w:p>
            <w:pPr>
              <w:jc w:val="center"/>
              <w:ind w:right="339"/>
              <w:spacing w:after="0"/>
              <w:rPr>
                <w:sz w:val="20"/>
                <w:szCs w:val="20"/>
                <w:color w:val="auto"/>
              </w:rPr>
            </w:pPr>
            <w:r>
              <w:rPr>
                <w:rFonts w:ascii="Arial" w:cs="Arial" w:eastAsia="Arial" w:hAnsi="Arial"/>
                <w:sz w:val="11"/>
                <w:szCs w:val="11"/>
                <w:b w:val="1"/>
                <w:bCs w:val="1"/>
                <w:color w:val="FFFFFF"/>
              </w:rPr>
              <w:t>(c)(2)</w:t>
            </w:r>
          </w:p>
        </w:tc>
        <w:tc>
          <w:tcPr>
            <w:tcW w:w="1800" w:type="dxa"/>
            <w:vAlign w:val="bottom"/>
            <w:tcBorders>
              <w:bottom w:val="single" w:sz="8" w:color="3E8EDE"/>
            </w:tcBorders>
            <w:shd w:val="clear" w:color="auto" w:fill="3E8EDE"/>
          </w:tcPr>
          <w:p>
            <w:pPr>
              <w:jc w:val="center"/>
              <w:ind w:right="140"/>
              <w:spacing w:after="0"/>
              <w:rPr>
                <w:sz w:val="20"/>
                <w:szCs w:val="20"/>
                <w:color w:val="auto"/>
              </w:rPr>
            </w:pPr>
            <w:r>
              <w:rPr>
                <w:rFonts w:ascii="Arial" w:cs="Arial" w:eastAsia="Arial" w:hAnsi="Arial"/>
                <w:sz w:val="11"/>
                <w:szCs w:val="11"/>
                <w:b w:val="1"/>
                <w:bCs w:val="1"/>
                <w:color w:val="FFFFFF"/>
              </w:rPr>
              <w:t>(c)(2)</w:t>
            </w:r>
          </w:p>
        </w:tc>
        <w:tc>
          <w:tcPr>
            <w:tcW w:w="840" w:type="dxa"/>
            <w:vAlign w:val="bottom"/>
            <w:tcBorders>
              <w:bottom w:val="single" w:sz="8" w:color="3E8EDE"/>
            </w:tcBorders>
            <w:shd w:val="clear" w:color="auto" w:fill="3E8EDE"/>
          </w:tcPr>
          <w:p>
            <w:pPr>
              <w:jc w:val="center"/>
              <w:ind w:right="121"/>
              <w:spacing w:after="0"/>
              <w:rPr>
                <w:sz w:val="20"/>
                <w:szCs w:val="20"/>
                <w:color w:val="auto"/>
              </w:rPr>
            </w:pPr>
            <w:r>
              <w:rPr>
                <w:rFonts w:ascii="Arial" w:cs="Arial" w:eastAsia="Arial" w:hAnsi="Arial"/>
                <w:sz w:val="11"/>
                <w:szCs w:val="11"/>
                <w:b w:val="1"/>
                <w:bCs w:val="1"/>
                <w:color w:val="FFFFFF"/>
                <w:w w:val="99"/>
              </w:rPr>
              <w:t>(d)</w:t>
            </w:r>
          </w:p>
        </w:tc>
        <w:tc>
          <w:tcPr>
            <w:tcW w:w="880" w:type="dxa"/>
            <w:vAlign w:val="bottom"/>
            <w:tcBorders>
              <w:bottom w:val="single" w:sz="8" w:color="3E8EDE"/>
            </w:tcBorders>
            <w:gridSpan w:val="2"/>
            <w:shd w:val="clear" w:color="auto" w:fill="3E8EDE"/>
          </w:tcPr>
          <w:p>
            <w:pPr>
              <w:jc w:val="center"/>
              <w:ind w:left="21"/>
              <w:spacing w:after="0"/>
              <w:rPr>
                <w:sz w:val="20"/>
                <w:szCs w:val="20"/>
                <w:color w:val="auto"/>
              </w:rPr>
            </w:pPr>
            <w:r>
              <w:rPr>
                <w:rFonts w:ascii="Arial" w:cs="Arial" w:eastAsia="Arial" w:hAnsi="Arial"/>
                <w:sz w:val="11"/>
                <w:szCs w:val="11"/>
                <w:b w:val="1"/>
                <w:bCs w:val="1"/>
                <w:color w:val="FFFFFF"/>
              </w:rPr>
              <w:t>(e)(2)</w:t>
            </w:r>
          </w:p>
        </w:tc>
        <w:tc>
          <w:tcPr>
            <w:tcW w:w="540" w:type="dxa"/>
            <w:vAlign w:val="bottom"/>
            <w:tcBorders>
              <w:bottom w:val="single" w:sz="8" w:color="3E8EDE"/>
            </w:tcBorders>
            <w:shd w:val="clear" w:color="auto" w:fill="3E8EDE"/>
          </w:tcPr>
          <w:p>
            <w:pPr>
              <w:jc w:val="center"/>
              <w:spacing w:after="0"/>
              <w:rPr>
                <w:sz w:val="20"/>
                <w:szCs w:val="20"/>
                <w:color w:val="auto"/>
              </w:rPr>
            </w:pPr>
            <w:r>
              <w:rPr>
                <w:rFonts w:ascii="Arial" w:cs="Arial" w:eastAsia="Arial" w:hAnsi="Arial"/>
                <w:sz w:val="11"/>
                <w:szCs w:val="11"/>
                <w:b w:val="1"/>
                <w:bCs w:val="1"/>
                <w:color w:val="FFFFFF"/>
                <w:w w:val="98"/>
              </w:rPr>
              <w:t>(f)(3)</w:t>
            </w:r>
          </w:p>
        </w:tc>
        <w:tc>
          <w:tcPr>
            <w:tcW w:w="600" w:type="dxa"/>
            <w:vAlign w:val="bottom"/>
            <w:tcBorders>
              <w:bottom w:val="single" w:sz="8" w:color="3E8EDE"/>
            </w:tcBorders>
            <w:shd w:val="clear" w:color="auto" w:fill="3E8EDE"/>
          </w:tcPr>
          <w:p>
            <w:pPr>
              <w:jc w:val="center"/>
              <w:spacing w:after="0"/>
              <w:rPr>
                <w:sz w:val="20"/>
                <w:szCs w:val="20"/>
                <w:color w:val="auto"/>
              </w:rPr>
            </w:pPr>
            <w:r>
              <w:rPr>
                <w:rFonts w:ascii="Arial" w:cs="Arial" w:eastAsia="Arial" w:hAnsi="Arial"/>
                <w:sz w:val="11"/>
                <w:szCs w:val="11"/>
                <w:b w:val="1"/>
                <w:bCs w:val="1"/>
                <w:color w:val="FFFFFF"/>
              </w:rPr>
              <w:t>(g)(4)</w:t>
            </w:r>
          </w:p>
        </w:tc>
        <w:tc>
          <w:tcPr>
            <w:tcW w:w="600" w:type="dxa"/>
            <w:vAlign w:val="bottom"/>
            <w:tcBorders>
              <w:bottom w:val="single" w:sz="8" w:color="3E8EDE"/>
            </w:tcBorders>
            <w:shd w:val="clear" w:color="auto" w:fill="3E8EDE"/>
          </w:tcPr>
          <w:p>
            <w:pPr>
              <w:jc w:val="center"/>
              <w:ind w:right="21"/>
              <w:spacing w:after="0"/>
              <w:rPr>
                <w:sz w:val="20"/>
                <w:szCs w:val="20"/>
                <w:color w:val="auto"/>
              </w:rPr>
            </w:pPr>
            <w:r>
              <w:rPr>
                <w:rFonts w:ascii="Arial" w:cs="Arial" w:eastAsia="Arial" w:hAnsi="Arial"/>
                <w:sz w:val="11"/>
                <w:szCs w:val="11"/>
                <w:b w:val="1"/>
                <w:bCs w:val="1"/>
                <w:color w:val="FFFFFF"/>
              </w:rPr>
              <w:t>(h)(5)</w:t>
            </w:r>
          </w:p>
        </w:tc>
        <w:tc>
          <w:tcPr>
            <w:tcW w:w="820" w:type="dxa"/>
            <w:vAlign w:val="bottom"/>
            <w:tcBorders>
              <w:bottom w:val="single" w:sz="8" w:color="3E8EDE"/>
            </w:tcBorders>
            <w:shd w:val="clear" w:color="auto" w:fill="3E8EDE"/>
          </w:tcPr>
          <w:p>
            <w:pPr>
              <w:jc w:val="center"/>
              <w:spacing w:after="0"/>
              <w:rPr>
                <w:sz w:val="20"/>
                <w:szCs w:val="20"/>
                <w:color w:val="auto"/>
              </w:rPr>
            </w:pPr>
            <w:r>
              <w:rPr>
                <w:rFonts w:ascii="Arial" w:cs="Arial" w:eastAsia="Arial" w:hAnsi="Arial"/>
                <w:sz w:val="11"/>
                <w:szCs w:val="11"/>
                <w:b w:val="1"/>
                <w:bCs w:val="1"/>
                <w:color w:val="FFFFFF"/>
              </w:rPr>
              <w:t>(i)(6)</w:t>
            </w:r>
          </w:p>
        </w:tc>
        <w:tc>
          <w:tcPr>
            <w:tcW w:w="740" w:type="dxa"/>
            <w:vAlign w:val="bottom"/>
            <w:tcBorders>
              <w:bottom w:val="single" w:sz="8" w:color="3E8EDE"/>
            </w:tcBorders>
            <w:shd w:val="clear" w:color="auto" w:fill="3E8EDE"/>
          </w:tcPr>
          <w:p>
            <w:pPr>
              <w:jc w:val="center"/>
              <w:ind w:left="199"/>
              <w:spacing w:after="0"/>
              <w:rPr>
                <w:sz w:val="20"/>
                <w:szCs w:val="20"/>
                <w:color w:val="auto"/>
              </w:rPr>
            </w:pPr>
            <w:r>
              <w:rPr>
                <w:rFonts w:ascii="Arial" w:cs="Arial" w:eastAsia="Arial" w:hAnsi="Arial"/>
                <w:sz w:val="11"/>
                <w:szCs w:val="11"/>
                <w:b w:val="1"/>
                <w:bCs w:val="1"/>
                <w:color w:val="FFFFFF"/>
              </w:rPr>
              <w:t>(j)(7)</w:t>
            </w:r>
          </w:p>
        </w:tc>
        <w:tc>
          <w:tcPr>
            <w:tcW w:w="0" w:type="dxa"/>
            <w:vAlign w:val="bottom"/>
          </w:tcPr>
          <w:p>
            <w:pPr>
              <w:spacing w:after="0"/>
              <w:rPr>
                <w:sz w:val="1"/>
                <w:szCs w:val="1"/>
                <w:color w:val="auto"/>
              </w:rPr>
            </w:pPr>
          </w:p>
        </w:tc>
      </w:tr>
      <w:tr>
        <w:trPr>
          <w:trHeight w:val="252"/>
        </w:trPr>
        <w:tc>
          <w:tcPr>
            <w:tcW w:w="400" w:type="dxa"/>
            <w:vAlign w:val="bottom"/>
            <w:tcBorders>
              <w:bottom w:val="single" w:sz="8" w:color="E2EEFA"/>
            </w:tcBorders>
            <w:shd w:val="clear" w:color="auto" w:fill="E2EEFA"/>
          </w:tcPr>
          <w:p>
            <w:pPr>
              <w:jc w:val="center"/>
              <w:spacing w:after="0"/>
              <w:rPr>
                <w:sz w:val="20"/>
                <w:szCs w:val="20"/>
                <w:color w:val="auto"/>
              </w:rPr>
            </w:pPr>
            <w:r>
              <w:rPr>
                <w:rFonts w:ascii="Arial" w:cs="Arial" w:eastAsia="Arial" w:hAnsi="Arial"/>
                <w:sz w:val="13"/>
                <w:szCs w:val="13"/>
                <w:color w:val="auto"/>
                <w:w w:val="88"/>
                <w:shd w:val="clear" w:color="auto" w:fill="E2EEFA"/>
              </w:rPr>
              <w:t>2026 </w:t>
            </w:r>
          </w:p>
        </w:tc>
        <w:tc>
          <w:tcPr>
            <w:tcW w:w="16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2EEFA"/>
            </w:tcBorders>
            <w:shd w:val="clear" w:color="auto" w:fill="E2EEFA"/>
          </w:tcPr>
          <w:p>
            <w:pPr>
              <w:jc w:val="right"/>
              <w:ind w:right="61"/>
              <w:spacing w:after="0"/>
              <w:rPr>
                <w:sz w:val="20"/>
                <w:szCs w:val="20"/>
                <w:color w:val="auto"/>
              </w:rPr>
            </w:pPr>
            <w:r>
              <w:rPr>
                <w:rFonts w:ascii="Arial" w:cs="Arial" w:eastAsia="Arial" w:hAnsi="Arial"/>
                <w:sz w:val="13"/>
                <w:szCs w:val="13"/>
                <w:color w:val="auto"/>
              </w:rPr>
              <w:t>11,508,522</w:t>
            </w:r>
          </w:p>
        </w:tc>
        <w:tc>
          <w:tcPr>
            <w:tcW w:w="1380" w:type="dxa"/>
            <w:vAlign w:val="bottom"/>
            <w:tcBorders>
              <w:bottom w:val="single" w:sz="8" w:color="E2EEFA"/>
            </w:tcBorders>
            <w:shd w:val="clear" w:color="auto" w:fill="E2EEFA"/>
          </w:tcPr>
          <w:p>
            <w:pPr>
              <w:jc w:val="right"/>
              <w:ind w:right="339"/>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E2EEFA"/>
            </w:tcBorders>
            <w:shd w:val="clear" w:color="auto" w:fill="E2EEFA"/>
          </w:tcPr>
          <w:p>
            <w:pPr>
              <w:ind w:left="400"/>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E2EEFA"/>
            </w:tcBorders>
            <w:shd w:val="clear" w:color="auto" w:fill="E2EEFA"/>
          </w:tcPr>
          <w:p>
            <w:pPr>
              <w:jc w:val="right"/>
              <w:ind w:right="239"/>
              <w:spacing w:after="0"/>
              <w:rPr>
                <w:sz w:val="20"/>
                <w:szCs w:val="20"/>
                <w:color w:val="auto"/>
              </w:rPr>
            </w:pPr>
            <w:r>
              <w:rPr>
                <w:rFonts w:ascii="Arial" w:cs="Arial" w:eastAsia="Arial" w:hAnsi="Arial"/>
                <w:sz w:val="13"/>
                <w:szCs w:val="13"/>
                <w:color w:val="auto"/>
              </w:rPr>
              <w:t>3,321,857</w:t>
            </w:r>
          </w:p>
        </w:tc>
        <w:tc>
          <w:tcPr>
            <w:tcW w:w="1800" w:type="dxa"/>
            <w:vAlign w:val="bottom"/>
            <w:tcBorders>
              <w:bottom w:val="single" w:sz="8" w:color="E2EEFA"/>
            </w:tcBorders>
            <w:shd w:val="clear" w:color="auto" w:fill="E2EEFA"/>
          </w:tcPr>
          <w:p>
            <w:pPr>
              <w:jc w:val="right"/>
              <w:ind w:right="60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2EEFA"/>
            </w:tcBorders>
            <w:shd w:val="clear" w:color="auto" w:fill="E2EEFA"/>
          </w:tcPr>
          <w:p>
            <w:pPr>
              <w:jc w:val="center"/>
              <w:ind w:right="121"/>
              <w:spacing w:after="0"/>
              <w:rPr>
                <w:sz w:val="20"/>
                <w:szCs w:val="20"/>
                <w:color w:val="auto"/>
              </w:rPr>
            </w:pPr>
            <w:r>
              <w:rPr>
                <w:rFonts w:ascii="Arial" w:cs="Arial" w:eastAsia="Arial" w:hAnsi="Arial"/>
                <w:sz w:val="13"/>
                <w:szCs w:val="13"/>
                <w:color w:val="auto"/>
              </w:rPr>
              <w:t>$2,580,204</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3"/>
                <w:szCs w:val="13"/>
                <w:color w:val="auto"/>
              </w:rPr>
              <w:t>$2,064,220</w:t>
            </w:r>
          </w:p>
        </w:tc>
        <w:tc>
          <w:tcPr>
            <w:tcW w:w="40" w:type="dxa"/>
            <w:vAlign w:val="bottom"/>
            <w:tcBorders>
              <w:bottom w:val="single" w:sz="8" w:color="E2EEFA"/>
            </w:tcBorders>
            <w:shd w:val="clear" w:color="auto" w:fill="E2EEFA"/>
          </w:tcPr>
          <w:p>
            <w:pPr>
              <w:spacing w:after="0"/>
              <w:rPr>
                <w:sz w:val="21"/>
                <w:szCs w:val="21"/>
                <w:color w:val="auto"/>
              </w:rPr>
            </w:pPr>
          </w:p>
        </w:tc>
        <w:tc>
          <w:tcPr>
            <w:tcW w:w="5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3"/>
                <w:szCs w:val="13"/>
                <w:color w:val="auto"/>
              </w:rPr>
              <w:t>$121.45</w:t>
            </w:r>
          </w:p>
        </w:tc>
        <w:tc>
          <w:tcPr>
            <w:tcW w:w="60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3"/>
                <w:szCs w:val="13"/>
                <w:color w:val="auto"/>
              </w:rPr>
              <w:t>$106.94</w:t>
            </w:r>
          </w:p>
        </w:tc>
        <w:tc>
          <w:tcPr>
            <w:tcW w:w="600" w:type="dxa"/>
            <w:vAlign w:val="bottom"/>
            <w:tcBorders>
              <w:bottom w:val="single" w:sz="8" w:color="E2EEFA"/>
            </w:tcBorders>
            <w:shd w:val="clear" w:color="auto" w:fill="E2EEFA"/>
          </w:tcPr>
          <w:p>
            <w:pPr>
              <w:jc w:val="right"/>
              <w:ind w:right="21"/>
              <w:spacing w:after="0"/>
              <w:rPr>
                <w:sz w:val="20"/>
                <w:szCs w:val="20"/>
                <w:color w:val="auto"/>
              </w:rPr>
            </w:pPr>
            <w:r>
              <w:rPr>
                <w:rFonts w:ascii="Arial" w:cs="Arial" w:eastAsia="Arial" w:hAnsi="Arial"/>
                <w:sz w:val="13"/>
                <w:szCs w:val="13"/>
                <w:color w:val="auto"/>
              </w:rPr>
              <w:t>$146.82</w:t>
            </w:r>
          </w:p>
        </w:tc>
        <w:tc>
          <w:tcPr>
            <w:tcW w:w="820" w:type="dxa"/>
            <w:vAlign w:val="bottom"/>
            <w:tcBorders>
              <w:bottom w:val="single" w:sz="8" w:color="E2EEFA"/>
            </w:tcBorders>
            <w:shd w:val="clear" w:color="auto" w:fill="E2EEFA"/>
          </w:tcPr>
          <w:p>
            <w:pPr>
              <w:jc w:val="center"/>
              <w:spacing w:after="0"/>
              <w:rPr>
                <w:sz w:val="20"/>
                <w:szCs w:val="20"/>
                <w:color w:val="auto"/>
              </w:rPr>
            </w:pPr>
            <w:r>
              <w:rPr>
                <w:rFonts w:ascii="Arial" w:cs="Arial" w:eastAsia="Arial" w:hAnsi="Arial"/>
                <w:sz w:val="13"/>
                <w:szCs w:val="13"/>
                <w:color w:val="auto"/>
                <w:w w:val="96"/>
              </w:rPr>
              <w:t>$ 782.3</w:t>
            </w:r>
          </w:p>
        </w:tc>
        <w:tc>
          <w:tcPr>
            <w:tcW w:w="740" w:type="dxa"/>
            <w:vAlign w:val="bottom"/>
            <w:tcBorders>
              <w:bottom w:val="single" w:sz="8" w:color="E2EEFA"/>
            </w:tcBorders>
            <w:shd w:val="clear" w:color="auto" w:fill="E2EEFA"/>
          </w:tcPr>
          <w:p>
            <w:pPr>
              <w:jc w:val="center"/>
              <w:ind w:left="179"/>
              <w:spacing w:after="0"/>
              <w:rPr>
                <w:sz w:val="20"/>
                <w:szCs w:val="20"/>
                <w:color w:val="auto"/>
              </w:rPr>
            </w:pPr>
            <w:r>
              <w:rPr>
                <w:rFonts w:ascii="Arial" w:cs="Arial" w:eastAsia="Arial" w:hAnsi="Arial"/>
                <w:sz w:val="13"/>
                <w:szCs w:val="13"/>
                <w:color w:val="auto"/>
                <w:w w:val="98"/>
              </w:rPr>
              <w:t>$1,382.0</w:t>
            </w:r>
          </w:p>
        </w:tc>
        <w:tc>
          <w:tcPr>
            <w:tcW w:w="0" w:type="dxa"/>
            <w:vAlign w:val="bottom"/>
          </w:tcPr>
          <w:p>
            <w:pPr>
              <w:spacing w:after="0"/>
              <w:rPr>
                <w:sz w:val="1"/>
                <w:szCs w:val="1"/>
                <w:color w:val="auto"/>
              </w:rPr>
            </w:pPr>
          </w:p>
        </w:tc>
      </w:tr>
      <w:tr>
        <w:trPr>
          <w:trHeight w:val="221"/>
        </w:trPr>
        <w:tc>
          <w:tcPr>
            <w:tcW w:w="400" w:type="dxa"/>
            <w:vAlign w:val="bottom"/>
          </w:tcPr>
          <w:p>
            <w:pPr>
              <w:jc w:val="center"/>
              <w:spacing w:after="0"/>
              <w:rPr>
                <w:sz w:val="20"/>
                <w:szCs w:val="20"/>
                <w:color w:val="auto"/>
              </w:rPr>
            </w:pPr>
            <w:r>
              <w:rPr>
                <w:rFonts w:ascii="Arial" w:cs="Arial" w:eastAsia="Arial" w:hAnsi="Arial"/>
                <w:sz w:val="13"/>
                <w:szCs w:val="13"/>
                <w:color w:val="auto"/>
                <w:w w:val="88"/>
              </w:rPr>
              <w:t>2025 </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61"/>
              <w:spacing w:after="0"/>
              <w:rPr>
                <w:sz w:val="20"/>
                <w:szCs w:val="20"/>
                <w:color w:val="auto"/>
              </w:rPr>
            </w:pPr>
            <w:r>
              <w:rPr>
                <w:rFonts w:ascii="Arial" w:cs="Arial" w:eastAsia="Arial" w:hAnsi="Arial"/>
                <w:sz w:val="13"/>
                <w:szCs w:val="13"/>
                <w:color w:val="auto"/>
              </w:rPr>
              <w:t>10,673,062</w:t>
            </w:r>
          </w:p>
        </w:tc>
        <w:tc>
          <w:tcPr>
            <w:tcW w:w="1380" w:type="dxa"/>
            <w:vAlign w:val="bottom"/>
          </w:tcPr>
          <w:p>
            <w:pPr>
              <w:jc w:val="right"/>
              <w:ind w:right="339"/>
              <w:spacing w:after="0"/>
              <w:rPr>
                <w:sz w:val="20"/>
                <w:szCs w:val="20"/>
                <w:color w:val="auto"/>
              </w:rPr>
            </w:pPr>
            <w:r>
              <w:rPr>
                <w:rFonts w:ascii="Arial" w:cs="Arial" w:eastAsia="Arial" w:hAnsi="Arial"/>
                <w:sz w:val="13"/>
                <w:szCs w:val="13"/>
                <w:color w:val="auto"/>
              </w:rPr>
              <w:t>—</w:t>
            </w:r>
          </w:p>
        </w:tc>
        <w:tc>
          <w:tcPr>
            <w:tcW w:w="480" w:type="dxa"/>
            <w:vAlign w:val="bottom"/>
          </w:tcPr>
          <w:p>
            <w:pPr>
              <w:ind w:left="400"/>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239"/>
              <w:spacing w:after="0"/>
              <w:rPr>
                <w:sz w:val="20"/>
                <w:szCs w:val="20"/>
                <w:color w:val="auto"/>
              </w:rPr>
            </w:pPr>
            <w:r>
              <w:rPr>
                <w:rFonts w:ascii="Arial" w:cs="Arial" w:eastAsia="Arial" w:hAnsi="Arial"/>
                <w:sz w:val="13"/>
                <w:szCs w:val="13"/>
                <w:color w:val="auto"/>
              </w:rPr>
              <w:t>7,946,737</w:t>
            </w:r>
          </w:p>
        </w:tc>
        <w:tc>
          <w:tcPr>
            <w:tcW w:w="1800" w:type="dxa"/>
            <w:vAlign w:val="bottom"/>
          </w:tcPr>
          <w:p>
            <w:pPr>
              <w:jc w:val="right"/>
              <w:ind w:right="600"/>
              <w:spacing w:after="0"/>
              <w:rPr>
                <w:sz w:val="20"/>
                <w:szCs w:val="20"/>
                <w:color w:val="auto"/>
              </w:rPr>
            </w:pPr>
            <w:r>
              <w:rPr>
                <w:rFonts w:ascii="Arial" w:cs="Arial" w:eastAsia="Arial" w:hAnsi="Arial"/>
                <w:sz w:val="13"/>
                <w:szCs w:val="13"/>
                <w:color w:val="auto"/>
              </w:rPr>
              <w:t>—</w:t>
            </w:r>
          </w:p>
        </w:tc>
        <w:tc>
          <w:tcPr>
            <w:tcW w:w="840" w:type="dxa"/>
            <w:vAlign w:val="bottom"/>
          </w:tcPr>
          <w:p>
            <w:pPr>
              <w:jc w:val="center"/>
              <w:ind w:right="121"/>
              <w:spacing w:after="0"/>
              <w:rPr>
                <w:sz w:val="20"/>
                <w:szCs w:val="20"/>
                <w:color w:val="auto"/>
              </w:rPr>
            </w:pPr>
            <w:r>
              <w:rPr>
                <w:rFonts w:ascii="Arial" w:cs="Arial" w:eastAsia="Arial" w:hAnsi="Arial"/>
                <w:sz w:val="13"/>
                <w:szCs w:val="13"/>
                <w:color w:val="auto"/>
              </w:rPr>
              <w:t>$2,590,199</w:t>
            </w:r>
          </w:p>
        </w:tc>
        <w:tc>
          <w:tcPr>
            <w:tcW w:w="840" w:type="dxa"/>
            <w:vAlign w:val="bottom"/>
          </w:tcPr>
          <w:p>
            <w:pPr>
              <w:jc w:val="right"/>
              <w:spacing w:after="0"/>
              <w:rPr>
                <w:sz w:val="20"/>
                <w:szCs w:val="20"/>
                <w:color w:val="auto"/>
              </w:rPr>
            </w:pPr>
            <w:r>
              <w:rPr>
                <w:rFonts w:ascii="Arial" w:cs="Arial" w:eastAsia="Arial" w:hAnsi="Arial"/>
                <w:sz w:val="13"/>
                <w:szCs w:val="13"/>
                <w:color w:val="auto"/>
              </w:rPr>
              <w:t>$1,912,845</w:t>
            </w:r>
          </w:p>
        </w:tc>
        <w:tc>
          <w:tcPr>
            <w:tcW w:w="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$123.06</w:t>
            </w:r>
          </w:p>
        </w:tc>
        <w:tc>
          <w:tcPr>
            <w:tcW w:w="600" w:type="dxa"/>
            <w:vAlign w:val="bottom"/>
          </w:tcPr>
          <w:p>
            <w:pPr>
              <w:jc w:val="right"/>
              <w:spacing w:after="0"/>
              <w:rPr>
                <w:sz w:val="20"/>
                <w:szCs w:val="20"/>
                <w:color w:val="auto"/>
              </w:rPr>
            </w:pPr>
            <w:r>
              <w:rPr>
                <w:rFonts w:ascii="Arial" w:cs="Arial" w:eastAsia="Arial" w:hAnsi="Arial"/>
                <w:sz w:val="13"/>
                <w:szCs w:val="13"/>
                <w:color w:val="auto"/>
              </w:rPr>
              <w:t>$122.54</w:t>
            </w:r>
          </w:p>
        </w:tc>
        <w:tc>
          <w:tcPr>
            <w:tcW w:w="600" w:type="dxa"/>
            <w:vAlign w:val="bottom"/>
          </w:tcPr>
          <w:p>
            <w:pPr>
              <w:jc w:val="right"/>
              <w:ind w:right="21"/>
              <w:spacing w:after="0"/>
              <w:rPr>
                <w:sz w:val="20"/>
                <w:szCs w:val="20"/>
                <w:color w:val="auto"/>
              </w:rPr>
            </w:pPr>
            <w:r>
              <w:rPr>
                <w:rFonts w:ascii="Arial" w:cs="Arial" w:eastAsia="Arial" w:hAnsi="Arial"/>
                <w:sz w:val="13"/>
                <w:szCs w:val="13"/>
                <w:color w:val="auto"/>
              </w:rPr>
              <w:t>$126.34</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$ 614.6</w:t>
            </w:r>
          </w:p>
        </w:tc>
        <w:tc>
          <w:tcPr>
            <w:tcW w:w="740" w:type="dxa"/>
            <w:vAlign w:val="bottom"/>
          </w:tcPr>
          <w:p>
            <w:pPr>
              <w:jc w:val="center"/>
              <w:ind w:left="179"/>
              <w:spacing w:after="0"/>
              <w:rPr>
                <w:sz w:val="20"/>
                <w:szCs w:val="20"/>
                <w:color w:val="auto"/>
              </w:rPr>
            </w:pPr>
            <w:r>
              <w:rPr>
                <w:rFonts w:ascii="Arial" w:cs="Arial" w:eastAsia="Arial" w:hAnsi="Arial"/>
                <w:sz w:val="13"/>
                <w:szCs w:val="13"/>
                <w:color w:val="auto"/>
                <w:w w:val="98"/>
              </w:rPr>
              <w:t>$1,286.7</w:t>
            </w:r>
          </w:p>
        </w:tc>
        <w:tc>
          <w:tcPr>
            <w:tcW w:w="0" w:type="dxa"/>
            <w:vAlign w:val="bottom"/>
          </w:tcPr>
          <w:p>
            <w:pPr>
              <w:spacing w:after="0"/>
              <w:rPr>
                <w:sz w:val="1"/>
                <w:szCs w:val="1"/>
                <w:color w:val="auto"/>
              </w:rPr>
            </w:pPr>
          </w:p>
        </w:tc>
      </w:tr>
      <w:tr>
        <w:trPr>
          <w:trHeight w:val="51"/>
        </w:trPr>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400" w:type="dxa"/>
            <w:vAlign w:val="bottom"/>
            <w:tcBorders>
              <w:bottom w:val="single" w:sz="8" w:color="E2EEFA"/>
            </w:tcBorders>
            <w:shd w:val="clear" w:color="auto" w:fill="E2EEFA"/>
          </w:tcPr>
          <w:p>
            <w:pPr>
              <w:jc w:val="center"/>
              <w:spacing w:after="0"/>
              <w:rPr>
                <w:sz w:val="20"/>
                <w:szCs w:val="20"/>
                <w:color w:val="auto"/>
              </w:rPr>
            </w:pPr>
            <w:r>
              <w:rPr>
                <w:rFonts w:ascii="Arial" w:cs="Arial" w:eastAsia="Arial" w:hAnsi="Arial"/>
                <w:sz w:val="13"/>
                <w:szCs w:val="13"/>
                <w:color w:val="auto"/>
                <w:w w:val="88"/>
                <w:shd w:val="clear" w:color="auto" w:fill="E2EEFA"/>
              </w:rPr>
              <w:t>2024 </w:t>
            </w:r>
          </w:p>
        </w:tc>
        <w:tc>
          <w:tcPr>
            <w:tcW w:w="16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2EEFA"/>
            </w:tcBorders>
            <w:shd w:val="clear" w:color="auto" w:fill="E2EEFA"/>
          </w:tcPr>
          <w:p>
            <w:pPr>
              <w:jc w:val="right"/>
              <w:ind w:right="61"/>
              <w:spacing w:after="0"/>
              <w:rPr>
                <w:sz w:val="20"/>
                <w:szCs w:val="20"/>
                <w:color w:val="auto"/>
              </w:rPr>
            </w:pPr>
            <w:r>
              <w:rPr>
                <w:rFonts w:ascii="Arial" w:cs="Arial" w:eastAsia="Arial" w:hAnsi="Arial"/>
                <w:sz w:val="13"/>
                <w:szCs w:val="13"/>
                <w:color w:val="auto"/>
              </w:rPr>
              <w:t>9,550,776</w:t>
            </w:r>
          </w:p>
        </w:tc>
        <w:tc>
          <w:tcPr>
            <w:tcW w:w="1380" w:type="dxa"/>
            <w:vAlign w:val="bottom"/>
            <w:tcBorders>
              <w:bottom w:val="single" w:sz="8" w:color="E2EEFA"/>
            </w:tcBorders>
            <w:shd w:val="clear" w:color="auto" w:fill="E2EEFA"/>
          </w:tcPr>
          <w:p>
            <w:pPr>
              <w:jc w:val="right"/>
              <w:ind w:right="339"/>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E2EEFA"/>
            </w:tcBorders>
            <w:shd w:val="clear" w:color="auto" w:fill="E2EEFA"/>
          </w:tcPr>
          <w:p>
            <w:pPr>
              <w:ind w:left="400"/>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E2EEFA"/>
            </w:tcBorders>
            <w:shd w:val="clear" w:color="auto" w:fill="E2EEFA"/>
          </w:tcPr>
          <w:p>
            <w:pPr>
              <w:jc w:val="right"/>
              <w:ind w:right="239"/>
              <w:spacing w:after="0"/>
              <w:rPr>
                <w:sz w:val="20"/>
                <w:szCs w:val="20"/>
                <w:color w:val="auto"/>
              </w:rPr>
            </w:pPr>
            <w:r>
              <w:rPr>
                <w:rFonts w:ascii="Arial" w:cs="Arial" w:eastAsia="Arial" w:hAnsi="Arial"/>
                <w:sz w:val="13"/>
                <w:szCs w:val="13"/>
                <w:color w:val="auto"/>
                <w:w w:val="98"/>
              </w:rPr>
              <w:t>14,143,349</w:t>
            </w:r>
          </w:p>
        </w:tc>
        <w:tc>
          <w:tcPr>
            <w:tcW w:w="1800" w:type="dxa"/>
            <w:vAlign w:val="bottom"/>
            <w:tcBorders>
              <w:bottom w:val="single" w:sz="8" w:color="E2EEFA"/>
            </w:tcBorders>
            <w:shd w:val="clear" w:color="auto" w:fill="E2EEFA"/>
          </w:tcPr>
          <w:p>
            <w:pPr>
              <w:jc w:val="right"/>
              <w:ind w:right="60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2EEFA"/>
            </w:tcBorders>
            <w:shd w:val="clear" w:color="auto" w:fill="E2EEFA"/>
          </w:tcPr>
          <w:p>
            <w:pPr>
              <w:jc w:val="center"/>
              <w:ind w:right="121"/>
              <w:spacing w:after="0"/>
              <w:rPr>
                <w:sz w:val="20"/>
                <w:szCs w:val="20"/>
                <w:color w:val="auto"/>
              </w:rPr>
            </w:pPr>
            <w:r>
              <w:rPr>
                <w:rFonts w:ascii="Arial" w:cs="Arial" w:eastAsia="Arial" w:hAnsi="Arial"/>
                <w:sz w:val="13"/>
                <w:szCs w:val="13"/>
                <w:color w:val="auto"/>
              </w:rPr>
              <w:t>$2,468,192</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3"/>
                <w:szCs w:val="13"/>
                <w:color w:val="auto"/>
              </w:rPr>
              <w:t>$3,588,373</w:t>
            </w:r>
          </w:p>
        </w:tc>
        <w:tc>
          <w:tcPr>
            <w:tcW w:w="40" w:type="dxa"/>
            <w:vAlign w:val="bottom"/>
            <w:tcBorders>
              <w:bottom w:val="single" w:sz="8" w:color="E2EEFA"/>
            </w:tcBorders>
            <w:shd w:val="clear" w:color="auto" w:fill="E2EEFA"/>
          </w:tcPr>
          <w:p>
            <w:pPr>
              <w:spacing w:after="0"/>
              <w:rPr>
                <w:sz w:val="21"/>
                <w:szCs w:val="21"/>
                <w:color w:val="auto"/>
              </w:rPr>
            </w:pPr>
          </w:p>
        </w:tc>
        <w:tc>
          <w:tcPr>
            <w:tcW w:w="5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3"/>
                <w:szCs w:val="13"/>
                <w:color w:val="auto"/>
                <w:w w:val="98"/>
              </w:rPr>
              <w:t>$ 119.77</w:t>
            </w:r>
          </w:p>
        </w:tc>
        <w:tc>
          <w:tcPr>
            <w:tcW w:w="60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3"/>
                <w:szCs w:val="13"/>
                <w:color w:val="auto"/>
              </w:rPr>
              <w:t>$ 115.34</w:t>
            </w:r>
          </w:p>
        </w:tc>
        <w:tc>
          <w:tcPr>
            <w:tcW w:w="600" w:type="dxa"/>
            <w:vAlign w:val="bottom"/>
            <w:tcBorders>
              <w:bottom w:val="single" w:sz="8" w:color="E2EEFA"/>
            </w:tcBorders>
            <w:shd w:val="clear" w:color="auto" w:fill="E2EEFA"/>
          </w:tcPr>
          <w:p>
            <w:pPr>
              <w:jc w:val="right"/>
              <w:ind w:right="21"/>
              <w:spacing w:after="0"/>
              <w:rPr>
                <w:sz w:val="20"/>
                <w:szCs w:val="20"/>
                <w:color w:val="auto"/>
              </w:rPr>
            </w:pPr>
            <w:r>
              <w:rPr>
                <w:rFonts w:ascii="Arial" w:cs="Arial" w:eastAsia="Arial" w:hAnsi="Arial"/>
                <w:sz w:val="13"/>
                <w:szCs w:val="13"/>
                <w:color w:val="auto"/>
              </w:rPr>
              <w:t>$126.64</w:t>
            </w:r>
          </w:p>
        </w:tc>
        <w:tc>
          <w:tcPr>
            <w:tcW w:w="820" w:type="dxa"/>
            <w:vAlign w:val="bottom"/>
            <w:tcBorders>
              <w:bottom w:val="single" w:sz="8" w:color="E2EEFA"/>
            </w:tcBorders>
            <w:shd w:val="clear" w:color="auto" w:fill="E2EEFA"/>
          </w:tcPr>
          <w:p>
            <w:pPr>
              <w:jc w:val="center"/>
              <w:spacing w:after="0"/>
              <w:rPr>
                <w:sz w:val="20"/>
                <w:szCs w:val="20"/>
                <w:color w:val="auto"/>
              </w:rPr>
            </w:pPr>
            <w:r>
              <w:rPr>
                <w:rFonts w:ascii="Arial" w:cs="Arial" w:eastAsia="Arial" w:hAnsi="Arial"/>
                <w:sz w:val="13"/>
                <w:szCs w:val="13"/>
                <w:color w:val="auto"/>
                <w:w w:val="96"/>
              </w:rPr>
              <w:t>$ 378.2</w:t>
            </w:r>
          </w:p>
        </w:tc>
        <w:tc>
          <w:tcPr>
            <w:tcW w:w="740" w:type="dxa"/>
            <w:vAlign w:val="bottom"/>
            <w:tcBorders>
              <w:bottom w:val="single" w:sz="8" w:color="E2EEFA"/>
            </w:tcBorders>
            <w:shd w:val="clear" w:color="auto" w:fill="E2EEFA"/>
          </w:tcPr>
          <w:p>
            <w:pPr>
              <w:jc w:val="center"/>
              <w:ind w:left="179"/>
              <w:spacing w:after="0"/>
              <w:rPr>
                <w:sz w:val="20"/>
                <w:szCs w:val="20"/>
                <w:color w:val="auto"/>
              </w:rPr>
            </w:pPr>
            <w:r>
              <w:rPr>
                <w:rFonts w:ascii="Arial" w:cs="Arial" w:eastAsia="Arial" w:hAnsi="Arial"/>
                <w:sz w:val="13"/>
                <w:szCs w:val="13"/>
                <w:color w:val="auto"/>
                <w:w w:val="98"/>
              </w:rPr>
              <w:t>$1,270.4</w:t>
            </w:r>
          </w:p>
        </w:tc>
        <w:tc>
          <w:tcPr>
            <w:tcW w:w="0" w:type="dxa"/>
            <w:vAlign w:val="bottom"/>
          </w:tcPr>
          <w:p>
            <w:pPr>
              <w:spacing w:after="0"/>
              <w:rPr>
                <w:sz w:val="1"/>
                <w:szCs w:val="1"/>
                <w:color w:val="auto"/>
              </w:rPr>
            </w:pPr>
          </w:p>
        </w:tc>
      </w:tr>
      <w:tr>
        <w:trPr>
          <w:trHeight w:val="221"/>
        </w:trPr>
        <w:tc>
          <w:tcPr>
            <w:tcW w:w="400" w:type="dxa"/>
            <w:vAlign w:val="bottom"/>
          </w:tcPr>
          <w:p>
            <w:pPr>
              <w:jc w:val="center"/>
              <w:spacing w:after="0"/>
              <w:rPr>
                <w:sz w:val="20"/>
                <w:szCs w:val="20"/>
                <w:color w:val="auto"/>
              </w:rPr>
            </w:pPr>
            <w:r>
              <w:rPr>
                <w:rFonts w:ascii="Arial" w:cs="Arial" w:eastAsia="Arial" w:hAnsi="Arial"/>
                <w:sz w:val="13"/>
                <w:szCs w:val="13"/>
                <w:color w:val="auto"/>
                <w:w w:val="88"/>
              </w:rPr>
              <w:t>2023 </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61"/>
              <w:spacing w:after="0"/>
              <w:rPr>
                <w:sz w:val="20"/>
                <w:szCs w:val="20"/>
                <w:color w:val="auto"/>
              </w:rPr>
            </w:pPr>
            <w:r>
              <w:rPr>
                <w:rFonts w:ascii="Arial" w:cs="Arial" w:eastAsia="Arial" w:hAnsi="Arial"/>
                <w:sz w:val="13"/>
                <w:szCs w:val="13"/>
                <w:color w:val="auto"/>
              </w:rPr>
              <w:t>7,740,184</w:t>
            </w:r>
          </w:p>
        </w:tc>
        <w:tc>
          <w:tcPr>
            <w:tcW w:w="1380" w:type="dxa"/>
            <w:vAlign w:val="bottom"/>
          </w:tcPr>
          <w:p>
            <w:pPr>
              <w:jc w:val="right"/>
              <w:ind w:right="339"/>
              <w:spacing w:after="0"/>
              <w:rPr>
                <w:sz w:val="20"/>
                <w:szCs w:val="20"/>
                <w:color w:val="auto"/>
              </w:rPr>
            </w:pPr>
            <w:r>
              <w:rPr>
                <w:rFonts w:ascii="Arial" w:cs="Arial" w:eastAsia="Arial" w:hAnsi="Arial"/>
                <w:sz w:val="13"/>
                <w:szCs w:val="13"/>
                <w:color w:val="auto"/>
              </w:rPr>
              <w:t>—</w:t>
            </w:r>
          </w:p>
        </w:tc>
        <w:tc>
          <w:tcPr>
            <w:tcW w:w="480" w:type="dxa"/>
            <w:vAlign w:val="bottom"/>
          </w:tcPr>
          <w:p>
            <w:pPr>
              <w:ind w:left="400"/>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239"/>
              <w:spacing w:after="0"/>
              <w:rPr>
                <w:sz w:val="20"/>
                <w:szCs w:val="20"/>
                <w:color w:val="auto"/>
              </w:rPr>
            </w:pPr>
            <w:r>
              <w:rPr>
                <w:rFonts w:ascii="Arial" w:cs="Arial" w:eastAsia="Arial" w:hAnsi="Arial"/>
                <w:sz w:val="13"/>
                <w:szCs w:val="13"/>
                <w:color w:val="auto"/>
              </w:rPr>
              <w:t>2,167,818</w:t>
            </w:r>
          </w:p>
        </w:tc>
        <w:tc>
          <w:tcPr>
            <w:tcW w:w="1800" w:type="dxa"/>
            <w:vAlign w:val="bottom"/>
          </w:tcPr>
          <w:p>
            <w:pPr>
              <w:jc w:val="right"/>
              <w:ind w:right="600"/>
              <w:spacing w:after="0"/>
              <w:rPr>
                <w:sz w:val="20"/>
                <w:szCs w:val="20"/>
                <w:color w:val="auto"/>
              </w:rPr>
            </w:pPr>
            <w:r>
              <w:rPr>
                <w:rFonts w:ascii="Arial" w:cs="Arial" w:eastAsia="Arial" w:hAnsi="Arial"/>
                <w:sz w:val="13"/>
                <w:szCs w:val="13"/>
                <w:color w:val="auto"/>
              </w:rPr>
              <w:t>—</w:t>
            </w:r>
          </w:p>
        </w:tc>
        <w:tc>
          <w:tcPr>
            <w:tcW w:w="840" w:type="dxa"/>
            <w:vAlign w:val="bottom"/>
          </w:tcPr>
          <w:p>
            <w:pPr>
              <w:jc w:val="center"/>
              <w:ind w:right="121"/>
              <w:spacing w:after="0"/>
              <w:rPr>
                <w:sz w:val="20"/>
                <w:szCs w:val="20"/>
                <w:color w:val="auto"/>
              </w:rPr>
            </w:pPr>
            <w:r>
              <w:rPr>
                <w:rFonts w:ascii="Arial" w:cs="Arial" w:eastAsia="Arial" w:hAnsi="Arial"/>
                <w:sz w:val="13"/>
                <w:szCs w:val="13"/>
                <w:color w:val="auto"/>
              </w:rPr>
              <w:t>$2,053,642</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   15,524</w:t>
            </w:r>
          </w:p>
        </w:tc>
        <w:tc>
          <w:tcPr>
            <w:tcW w:w="540" w:type="dxa"/>
            <w:vAlign w:val="bottom"/>
          </w:tcPr>
          <w:p>
            <w:pPr>
              <w:jc w:val="right"/>
              <w:spacing w:after="0"/>
              <w:rPr>
                <w:sz w:val="20"/>
                <w:szCs w:val="20"/>
                <w:color w:val="auto"/>
              </w:rPr>
            </w:pPr>
            <w:r>
              <w:rPr>
                <w:rFonts w:ascii="Arial" w:cs="Arial" w:eastAsia="Arial" w:hAnsi="Arial"/>
                <w:sz w:val="13"/>
                <w:szCs w:val="13"/>
                <w:color w:val="auto"/>
              </w:rPr>
              <w:t>$102.25</w:t>
            </w:r>
          </w:p>
        </w:tc>
        <w:tc>
          <w:tcPr>
            <w:tcW w:w="600" w:type="dxa"/>
            <w:vAlign w:val="bottom"/>
          </w:tcPr>
          <w:p>
            <w:pPr>
              <w:jc w:val="right"/>
              <w:spacing w:after="0"/>
              <w:rPr>
                <w:sz w:val="20"/>
                <w:szCs w:val="20"/>
                <w:color w:val="auto"/>
              </w:rPr>
            </w:pPr>
            <w:r>
              <w:rPr>
                <w:rFonts w:ascii="Arial" w:cs="Arial" w:eastAsia="Arial" w:hAnsi="Arial"/>
                <w:sz w:val="13"/>
                <w:szCs w:val="13"/>
                <w:color w:val="auto"/>
              </w:rPr>
              <w:t>$ 98.74</w:t>
            </w:r>
          </w:p>
        </w:tc>
        <w:tc>
          <w:tcPr>
            <w:tcW w:w="600" w:type="dxa"/>
            <w:vAlign w:val="bottom"/>
          </w:tcPr>
          <w:p>
            <w:pPr>
              <w:jc w:val="right"/>
              <w:ind w:right="21"/>
              <w:spacing w:after="0"/>
              <w:rPr>
                <w:sz w:val="20"/>
                <w:szCs w:val="20"/>
                <w:color w:val="auto"/>
              </w:rPr>
            </w:pPr>
            <w:r>
              <w:rPr>
                <w:rFonts w:ascii="Arial" w:cs="Arial" w:eastAsia="Arial" w:hAnsi="Arial"/>
                <w:sz w:val="13"/>
                <w:szCs w:val="13"/>
                <w:color w:val="auto"/>
              </w:rPr>
              <w:t>$105.87</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$ 107.0</w:t>
            </w:r>
          </w:p>
        </w:tc>
        <w:tc>
          <w:tcPr>
            <w:tcW w:w="740" w:type="dxa"/>
            <w:vAlign w:val="bottom"/>
          </w:tcPr>
          <w:p>
            <w:pPr>
              <w:jc w:val="center"/>
              <w:ind w:left="179"/>
              <w:spacing w:after="0"/>
              <w:rPr>
                <w:sz w:val="20"/>
                <w:szCs w:val="20"/>
                <w:color w:val="auto"/>
              </w:rPr>
            </w:pPr>
            <w:r>
              <w:rPr>
                <w:rFonts w:ascii="Arial" w:cs="Arial" w:eastAsia="Arial" w:hAnsi="Arial"/>
                <w:sz w:val="13"/>
                <w:szCs w:val="13"/>
                <w:color w:val="auto"/>
                <w:w w:val="98"/>
              </w:rPr>
              <w:t>$1,170.0</w:t>
            </w:r>
          </w:p>
        </w:tc>
        <w:tc>
          <w:tcPr>
            <w:tcW w:w="0" w:type="dxa"/>
            <w:vAlign w:val="bottom"/>
          </w:tcPr>
          <w:p>
            <w:pPr>
              <w:spacing w:after="0"/>
              <w:rPr>
                <w:sz w:val="1"/>
                <w:szCs w:val="1"/>
                <w:color w:val="auto"/>
              </w:rPr>
            </w:pPr>
          </w:p>
        </w:tc>
      </w:tr>
      <w:tr>
        <w:trPr>
          <w:trHeight w:val="51"/>
        </w:trPr>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400" w:type="dxa"/>
            <w:vAlign w:val="bottom"/>
            <w:tcBorders>
              <w:bottom w:val="single" w:sz="8" w:color="E2EEFA"/>
            </w:tcBorders>
            <w:shd w:val="clear" w:color="auto" w:fill="E2EEFA"/>
          </w:tcPr>
          <w:p>
            <w:pPr>
              <w:jc w:val="center"/>
              <w:spacing w:after="0"/>
              <w:rPr>
                <w:sz w:val="20"/>
                <w:szCs w:val="20"/>
                <w:color w:val="auto"/>
              </w:rPr>
            </w:pPr>
            <w:r>
              <w:rPr>
                <w:rFonts w:ascii="Arial" w:cs="Arial" w:eastAsia="Arial" w:hAnsi="Arial"/>
                <w:sz w:val="13"/>
                <w:szCs w:val="13"/>
                <w:color w:val="auto"/>
                <w:w w:val="88"/>
                <w:shd w:val="clear" w:color="auto" w:fill="E2EEFA"/>
              </w:rPr>
              <w:t>2022 </w:t>
            </w:r>
          </w:p>
        </w:tc>
        <w:tc>
          <w:tcPr>
            <w:tcW w:w="16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2EEFA"/>
            </w:tcBorders>
            <w:shd w:val="clear" w:color="auto" w:fill="E2EEFA"/>
          </w:tcPr>
          <w:p>
            <w:pPr>
              <w:jc w:val="right"/>
              <w:ind w:right="61"/>
              <w:spacing w:after="0"/>
              <w:rPr>
                <w:sz w:val="20"/>
                <w:szCs w:val="20"/>
                <w:color w:val="auto"/>
              </w:rPr>
            </w:pPr>
            <w:r>
              <w:rPr>
                <w:rFonts w:ascii="Arial" w:cs="Arial" w:eastAsia="Arial" w:hAnsi="Arial"/>
                <w:sz w:val="13"/>
                <w:szCs w:val="13"/>
                <w:color w:val="auto"/>
              </w:rPr>
              <w:t>5,903,168</w:t>
            </w:r>
          </w:p>
        </w:tc>
        <w:tc>
          <w:tcPr>
            <w:tcW w:w="1380" w:type="dxa"/>
            <w:vAlign w:val="bottom"/>
            <w:tcBorders>
              <w:bottom w:val="single" w:sz="8" w:color="E2EEFA"/>
            </w:tcBorders>
            <w:shd w:val="clear" w:color="auto" w:fill="E2EEFA"/>
          </w:tcPr>
          <w:p>
            <w:pPr>
              <w:jc w:val="right"/>
              <w:ind w:right="339"/>
              <w:spacing w:after="0"/>
              <w:rPr>
                <w:sz w:val="20"/>
                <w:szCs w:val="20"/>
                <w:color w:val="auto"/>
              </w:rPr>
            </w:pPr>
            <w:r>
              <w:rPr>
                <w:rFonts w:ascii="Arial" w:cs="Arial" w:eastAsia="Arial" w:hAnsi="Arial"/>
                <w:sz w:val="13"/>
                <w:szCs w:val="13"/>
                <w:color w:val="auto"/>
              </w:rPr>
              <w:t>$1,156,398</w:t>
            </w:r>
          </w:p>
        </w:tc>
        <w:tc>
          <w:tcPr>
            <w:tcW w:w="480" w:type="dxa"/>
            <w:vAlign w:val="bottom"/>
            <w:tcBorders>
              <w:bottom w:val="single" w:sz="8" w:color="E2EEFA"/>
            </w:tcBorders>
            <w:shd w:val="clear" w:color="auto" w:fill="E2EEFA"/>
          </w:tcPr>
          <w:p>
            <w:pPr>
              <w:ind w:left="400"/>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E2EEFA"/>
            </w:tcBorders>
            <w:shd w:val="clear" w:color="auto" w:fill="E2EEFA"/>
          </w:tcPr>
          <w:p>
            <w:pPr>
              <w:jc w:val="right"/>
              <w:ind w:right="239"/>
              <w:spacing w:after="0"/>
              <w:rPr>
                <w:sz w:val="20"/>
                <w:szCs w:val="20"/>
                <w:color w:val="auto"/>
              </w:rPr>
            </w:pPr>
            <w:r>
              <w:rPr>
                <w:rFonts w:ascii="Arial" w:cs="Arial" w:eastAsia="Arial" w:hAnsi="Arial"/>
                <w:sz w:val="13"/>
                <w:szCs w:val="13"/>
                <w:color w:val="auto"/>
                <w:w w:val="98"/>
              </w:rPr>
              <w:t>11,823,596</w:t>
            </w:r>
          </w:p>
        </w:tc>
        <w:tc>
          <w:tcPr>
            <w:tcW w:w="1800" w:type="dxa"/>
            <w:vAlign w:val="bottom"/>
            <w:tcBorders>
              <w:bottom w:val="single" w:sz="8" w:color="E2EEFA"/>
            </w:tcBorders>
            <w:shd w:val="clear" w:color="auto" w:fill="E2EEFA"/>
          </w:tcPr>
          <w:p>
            <w:pPr>
              <w:jc w:val="right"/>
              <w:ind w:right="620"/>
              <w:spacing w:after="0"/>
              <w:rPr>
                <w:sz w:val="20"/>
                <w:szCs w:val="20"/>
                <w:color w:val="auto"/>
              </w:rPr>
            </w:pPr>
            <w:r>
              <w:rPr>
                <w:rFonts w:ascii="Arial" w:cs="Arial" w:eastAsia="Arial" w:hAnsi="Arial"/>
                <w:sz w:val="13"/>
                <w:szCs w:val="13"/>
                <w:color w:val="auto"/>
              </w:rPr>
              <w:t>$9,584,917</w:t>
            </w:r>
          </w:p>
        </w:tc>
        <w:tc>
          <w:tcPr>
            <w:tcW w:w="840" w:type="dxa"/>
            <w:vAlign w:val="bottom"/>
            <w:tcBorders>
              <w:bottom w:val="single" w:sz="8" w:color="E2EEFA"/>
            </w:tcBorders>
            <w:shd w:val="clear" w:color="auto" w:fill="E2EEFA"/>
          </w:tcPr>
          <w:p>
            <w:pPr>
              <w:jc w:val="center"/>
              <w:ind w:right="121"/>
              <w:spacing w:after="0"/>
              <w:rPr>
                <w:sz w:val="20"/>
                <w:szCs w:val="20"/>
                <w:color w:val="auto"/>
              </w:rPr>
            </w:pPr>
            <w:r>
              <w:rPr>
                <w:rFonts w:ascii="Arial" w:cs="Arial" w:eastAsia="Arial" w:hAnsi="Arial"/>
                <w:sz w:val="13"/>
                <w:szCs w:val="13"/>
                <w:color w:val="auto"/>
              </w:rPr>
              <w:t>$2,354,427</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3"/>
                <w:szCs w:val="13"/>
                <w:color w:val="auto"/>
              </w:rPr>
              <w:t>$5,031,228</w:t>
            </w:r>
          </w:p>
        </w:tc>
        <w:tc>
          <w:tcPr>
            <w:tcW w:w="40" w:type="dxa"/>
            <w:vAlign w:val="bottom"/>
            <w:tcBorders>
              <w:bottom w:val="single" w:sz="8" w:color="E2EEFA"/>
            </w:tcBorders>
            <w:shd w:val="clear" w:color="auto" w:fill="E2EEFA"/>
          </w:tcPr>
          <w:p>
            <w:pPr>
              <w:spacing w:after="0"/>
              <w:rPr>
                <w:sz w:val="21"/>
                <w:szCs w:val="21"/>
                <w:color w:val="auto"/>
              </w:rPr>
            </w:pPr>
          </w:p>
        </w:tc>
        <w:tc>
          <w:tcPr>
            <w:tcW w:w="5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3"/>
                <w:szCs w:val="13"/>
                <w:color w:val="auto"/>
              </w:rPr>
              <w:t>$127.81</w:t>
            </w:r>
          </w:p>
        </w:tc>
        <w:tc>
          <w:tcPr>
            <w:tcW w:w="60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3"/>
                <w:szCs w:val="13"/>
                <w:color w:val="auto"/>
              </w:rPr>
              <w:t>$ 111.17</w:t>
            </w:r>
          </w:p>
        </w:tc>
        <w:tc>
          <w:tcPr>
            <w:tcW w:w="600" w:type="dxa"/>
            <w:vAlign w:val="bottom"/>
            <w:tcBorders>
              <w:bottom w:val="single" w:sz="8" w:color="E2EEFA"/>
            </w:tcBorders>
            <w:shd w:val="clear" w:color="auto" w:fill="E2EEFA"/>
          </w:tcPr>
          <w:p>
            <w:pPr>
              <w:jc w:val="right"/>
              <w:ind w:right="21"/>
              <w:spacing w:after="0"/>
              <w:rPr>
                <w:sz w:val="20"/>
                <w:szCs w:val="20"/>
                <w:color w:val="auto"/>
              </w:rPr>
            </w:pPr>
            <w:r>
              <w:rPr>
                <w:rFonts w:ascii="Arial" w:cs="Arial" w:eastAsia="Arial" w:hAnsi="Arial"/>
                <w:sz w:val="13"/>
                <w:szCs w:val="13"/>
                <w:color w:val="auto"/>
                <w:w w:val="98"/>
              </w:rPr>
              <w:t>$ 110.01</w:t>
            </w:r>
          </w:p>
        </w:tc>
        <w:tc>
          <w:tcPr>
            <w:tcW w:w="820" w:type="dxa"/>
            <w:vAlign w:val="bottom"/>
            <w:tcBorders>
              <w:bottom w:val="single" w:sz="8" w:color="E2EEFA"/>
            </w:tcBorders>
            <w:shd w:val="clear" w:color="auto" w:fill="E2EEFA"/>
          </w:tcPr>
          <w:p>
            <w:pPr>
              <w:jc w:val="center"/>
              <w:spacing w:after="0"/>
              <w:rPr>
                <w:sz w:val="20"/>
                <w:szCs w:val="20"/>
                <w:color w:val="auto"/>
              </w:rPr>
            </w:pPr>
            <w:r>
              <w:rPr>
                <w:rFonts w:ascii="Arial" w:cs="Arial" w:eastAsia="Arial" w:hAnsi="Arial"/>
                <w:sz w:val="13"/>
                <w:szCs w:val="13"/>
                <w:color w:val="auto"/>
                <w:w w:val="96"/>
              </w:rPr>
              <w:t>$ 243.9</w:t>
            </w:r>
          </w:p>
        </w:tc>
        <w:tc>
          <w:tcPr>
            <w:tcW w:w="740" w:type="dxa"/>
            <w:vAlign w:val="bottom"/>
            <w:tcBorders>
              <w:bottom w:val="single" w:sz="8" w:color="E2EEFA"/>
            </w:tcBorders>
            <w:shd w:val="clear" w:color="auto" w:fill="E2EEFA"/>
          </w:tcPr>
          <w:p>
            <w:pPr>
              <w:jc w:val="center"/>
              <w:ind w:left="179"/>
              <w:spacing w:after="0"/>
              <w:rPr>
                <w:sz w:val="20"/>
                <w:szCs w:val="20"/>
                <w:color w:val="auto"/>
              </w:rPr>
            </w:pPr>
            <w:r>
              <w:rPr>
                <w:rFonts w:ascii="Arial" w:cs="Arial" w:eastAsia="Arial" w:hAnsi="Arial"/>
                <w:sz w:val="13"/>
                <w:szCs w:val="13"/>
                <w:color w:val="auto"/>
                <w:w w:val="98"/>
              </w:rPr>
              <w:t>$1,076.8</w:t>
            </w:r>
          </w:p>
        </w:tc>
        <w:tc>
          <w:tcPr>
            <w:tcW w:w="0" w:type="dxa"/>
            <w:vAlign w:val="bottom"/>
          </w:tcPr>
          <w:p>
            <w:pPr>
              <w:spacing w:after="0"/>
              <w:rPr>
                <w:sz w:val="1"/>
                <w:szCs w:val="1"/>
                <w:color w:val="auto"/>
              </w:rPr>
            </w:pPr>
          </w:p>
        </w:tc>
      </w:tr>
      <w:tr>
        <w:trPr>
          <w:trHeight w:val="20"/>
        </w:trPr>
        <w:tc>
          <w:tcPr>
            <w:tcW w:w="400" w:type="dxa"/>
            <w:vAlign w:val="bottom"/>
            <w:shd w:val="clear" w:color="auto" w:fill="3E8EDE"/>
          </w:tcPr>
          <w:p>
            <w:pPr>
              <w:spacing w:after="0" w:line="20" w:lineRule="exact"/>
              <w:rPr>
                <w:sz w:val="1"/>
                <w:szCs w:val="1"/>
                <w:color w:val="auto"/>
              </w:rPr>
            </w:pPr>
          </w:p>
        </w:tc>
        <w:tc>
          <w:tcPr>
            <w:tcW w:w="160" w:type="dxa"/>
            <w:vAlign w:val="bottom"/>
            <w:shd w:val="clear" w:color="auto" w:fill="3E8EDE"/>
          </w:tcPr>
          <w:p>
            <w:pPr>
              <w:spacing w:after="0" w:line="20" w:lineRule="exact"/>
              <w:rPr>
                <w:sz w:val="1"/>
                <w:szCs w:val="1"/>
                <w:color w:val="auto"/>
              </w:rPr>
            </w:pPr>
          </w:p>
        </w:tc>
        <w:tc>
          <w:tcPr>
            <w:tcW w:w="800" w:type="dxa"/>
            <w:vAlign w:val="bottom"/>
            <w:shd w:val="clear" w:color="auto" w:fill="3E8EDE"/>
          </w:tcPr>
          <w:p>
            <w:pPr>
              <w:spacing w:after="0" w:line="20" w:lineRule="exact"/>
              <w:rPr>
                <w:sz w:val="1"/>
                <w:szCs w:val="1"/>
                <w:color w:val="auto"/>
              </w:rPr>
            </w:pPr>
          </w:p>
        </w:tc>
        <w:tc>
          <w:tcPr>
            <w:tcW w:w="1380" w:type="dxa"/>
            <w:vAlign w:val="bottom"/>
            <w:shd w:val="clear" w:color="auto" w:fill="3E8EDE"/>
          </w:tcPr>
          <w:p>
            <w:pPr>
              <w:spacing w:after="0" w:line="20" w:lineRule="exact"/>
              <w:rPr>
                <w:sz w:val="1"/>
                <w:szCs w:val="1"/>
                <w:color w:val="auto"/>
              </w:rPr>
            </w:pPr>
          </w:p>
        </w:tc>
        <w:tc>
          <w:tcPr>
            <w:tcW w:w="480" w:type="dxa"/>
            <w:vAlign w:val="bottom"/>
            <w:shd w:val="clear" w:color="auto" w:fill="3E8EDE"/>
          </w:tcPr>
          <w:p>
            <w:pPr>
              <w:spacing w:after="0" w:line="20" w:lineRule="exact"/>
              <w:rPr>
                <w:sz w:val="1"/>
                <w:szCs w:val="1"/>
                <w:color w:val="auto"/>
              </w:rPr>
            </w:pPr>
          </w:p>
        </w:tc>
        <w:tc>
          <w:tcPr>
            <w:tcW w:w="960" w:type="dxa"/>
            <w:vAlign w:val="bottom"/>
            <w:shd w:val="clear" w:color="auto" w:fill="3E8EDE"/>
          </w:tcPr>
          <w:p>
            <w:pPr>
              <w:spacing w:after="0" w:line="20" w:lineRule="exact"/>
              <w:rPr>
                <w:sz w:val="1"/>
                <w:szCs w:val="1"/>
                <w:color w:val="auto"/>
              </w:rPr>
            </w:pPr>
          </w:p>
        </w:tc>
        <w:tc>
          <w:tcPr>
            <w:tcW w:w="1800" w:type="dxa"/>
            <w:vAlign w:val="bottom"/>
            <w:shd w:val="clear" w:color="auto" w:fill="3E8EDE"/>
          </w:tcPr>
          <w:p>
            <w:pPr>
              <w:spacing w:after="0" w:line="20" w:lineRule="exact"/>
              <w:rPr>
                <w:sz w:val="1"/>
                <w:szCs w:val="1"/>
                <w:color w:val="auto"/>
              </w:rPr>
            </w:pPr>
          </w:p>
        </w:tc>
        <w:tc>
          <w:tcPr>
            <w:tcW w:w="840" w:type="dxa"/>
            <w:vAlign w:val="bottom"/>
            <w:shd w:val="clear" w:color="auto" w:fill="3E8EDE"/>
          </w:tcPr>
          <w:p>
            <w:pPr>
              <w:spacing w:after="0" w:line="20" w:lineRule="exact"/>
              <w:rPr>
                <w:sz w:val="1"/>
                <w:szCs w:val="1"/>
                <w:color w:val="auto"/>
              </w:rPr>
            </w:pPr>
          </w:p>
        </w:tc>
        <w:tc>
          <w:tcPr>
            <w:tcW w:w="840" w:type="dxa"/>
            <w:vAlign w:val="bottom"/>
            <w:shd w:val="clear" w:color="auto" w:fill="3E8EDE"/>
          </w:tcPr>
          <w:p>
            <w:pPr>
              <w:spacing w:after="0" w:line="20" w:lineRule="exact"/>
              <w:rPr>
                <w:sz w:val="1"/>
                <w:szCs w:val="1"/>
                <w:color w:val="auto"/>
              </w:rPr>
            </w:pPr>
          </w:p>
        </w:tc>
        <w:tc>
          <w:tcPr>
            <w:tcW w:w="40" w:type="dxa"/>
            <w:vAlign w:val="bottom"/>
            <w:shd w:val="clear" w:color="auto" w:fill="3E8EDE"/>
          </w:tcPr>
          <w:p>
            <w:pPr>
              <w:spacing w:after="0" w:line="20" w:lineRule="exact"/>
              <w:rPr>
                <w:sz w:val="1"/>
                <w:szCs w:val="1"/>
                <w:color w:val="auto"/>
              </w:rPr>
            </w:pPr>
          </w:p>
        </w:tc>
        <w:tc>
          <w:tcPr>
            <w:tcW w:w="540" w:type="dxa"/>
            <w:vAlign w:val="bottom"/>
            <w:shd w:val="clear" w:color="auto" w:fill="3E8EDE"/>
          </w:tcPr>
          <w:p>
            <w:pPr>
              <w:spacing w:after="0" w:line="20" w:lineRule="exact"/>
              <w:rPr>
                <w:sz w:val="1"/>
                <w:szCs w:val="1"/>
                <w:color w:val="auto"/>
              </w:rPr>
            </w:pPr>
          </w:p>
        </w:tc>
        <w:tc>
          <w:tcPr>
            <w:tcW w:w="600" w:type="dxa"/>
            <w:vAlign w:val="bottom"/>
            <w:shd w:val="clear" w:color="auto" w:fill="3E8EDE"/>
          </w:tcPr>
          <w:p>
            <w:pPr>
              <w:spacing w:after="0" w:line="20" w:lineRule="exact"/>
              <w:rPr>
                <w:sz w:val="1"/>
                <w:szCs w:val="1"/>
                <w:color w:val="auto"/>
              </w:rPr>
            </w:pPr>
          </w:p>
        </w:tc>
        <w:tc>
          <w:tcPr>
            <w:tcW w:w="600" w:type="dxa"/>
            <w:vAlign w:val="bottom"/>
            <w:shd w:val="clear" w:color="auto" w:fill="3E8EDE"/>
          </w:tcPr>
          <w:p>
            <w:pPr>
              <w:spacing w:after="0" w:line="20" w:lineRule="exact"/>
              <w:rPr>
                <w:sz w:val="1"/>
                <w:szCs w:val="1"/>
                <w:color w:val="auto"/>
              </w:rPr>
            </w:pPr>
          </w:p>
        </w:tc>
        <w:tc>
          <w:tcPr>
            <w:tcW w:w="820" w:type="dxa"/>
            <w:vAlign w:val="bottom"/>
            <w:shd w:val="clear" w:color="auto" w:fill="3E8EDE"/>
          </w:tcPr>
          <w:p>
            <w:pPr>
              <w:spacing w:after="0" w:line="20" w:lineRule="exact"/>
              <w:rPr>
                <w:sz w:val="1"/>
                <w:szCs w:val="1"/>
                <w:color w:val="auto"/>
              </w:rPr>
            </w:pPr>
          </w:p>
        </w:tc>
        <w:tc>
          <w:tcPr>
            <w:tcW w:w="740" w:type="dxa"/>
            <w:vAlign w:val="bottom"/>
            <w:shd w:val="clear" w:color="auto" w:fill="3E8E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760" w:right="660" w:hanging="420"/>
        <w:spacing w:after="0" w:line="239" w:lineRule="auto"/>
        <w:tabs>
          <w:tab w:leader="none" w:pos="7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Daniel A. Carestio was our principal executive officer (“PEO”) for the full year for fiscal 2026, 2025, 2024 and 2023 and from July 29, 2021 through the end of fiscal year 2022. Walter M Rosebrough, Jr. was our PEO from the beginning of fiscal year 2022 until July 29, 2021. For fiscal year 2026, our non-PEO named executive officers were Karen L. Burton, Michael J. Tokich, J. Adam Zangerle, Cary L. Majors, and Mary Clare Fraser. For fiscal year 2025, 2024, and 2023, our non-PEO named executive officers were Michael J. Tokich, J. Adam Zangerle, Cary L. Majors and Mary Clare Fraser. For fiscal 2022, our non-PEO named executive officers were Michael J. Tokich, J. Adam Zangerle, Cary L. Majors and Andrew Xilas.</w:t>
      </w:r>
    </w:p>
    <w:p>
      <w:pPr>
        <w:spacing w:after="0" w:line="91" w:lineRule="exact"/>
        <w:rPr>
          <w:rFonts w:ascii="Arial" w:cs="Arial" w:eastAsia="Arial" w:hAnsi="Arial"/>
          <w:sz w:val="14"/>
          <w:szCs w:val="14"/>
          <w:color w:val="auto"/>
        </w:rPr>
      </w:pPr>
    </w:p>
    <w:p>
      <w:pPr>
        <w:ind w:left="760" w:right="540" w:hanging="420"/>
        <w:spacing w:after="0" w:line="246" w:lineRule="auto"/>
        <w:tabs>
          <w:tab w:leader="none" w:pos="7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each of fiscal 2026, 2025, 2024, 2023 and 2022 (each, a “Covered Year”), in determining both the “compensation actually paid” to our PEOs and the average “compensation actually paid” to our non-PEO named executive officers for purposes of this Pay Versus Performance table (“PVP Table”), we deducted from or added to the total amounts of compensation reported in columns (b) and (d) for such Covered Year the following amounts: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1340"/>
          </w:cols>
          <w:pgMar w:left="320" w:top="469"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Arial" w:cs="Arial" w:eastAsia="Arial" w:hAnsi="Arial"/>
                <w:sz w:val="17"/>
                <w:szCs w:val="17"/>
                <w:b w:val="1"/>
                <w:bCs w:val="1"/>
                <w:color w:val="auto"/>
              </w:rPr>
              <w:t> </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7"/>
          </w:tcPr>
          <w:p>
            <w:pPr>
              <w:jc w:val="right"/>
              <w:spacing w:after="0"/>
              <w:rPr>
                <w:sz w:val="20"/>
                <w:szCs w:val="20"/>
                <w:color w:val="auto"/>
              </w:rPr>
            </w:pPr>
            <w:r>
              <w:rPr>
                <w:rFonts w:ascii="Arial" w:cs="Arial" w:eastAsia="Arial" w:hAnsi="Arial"/>
                <w:sz w:val="16"/>
                <w:szCs w:val="16"/>
                <w:b w:val="1"/>
                <w:bCs w:val="1"/>
                <w:color w:val="3E8EDE"/>
              </w:rPr>
              <w:t xml:space="preserve">Executive Compensation: </w:t>
            </w:r>
            <w:r>
              <w:rPr>
                <w:rFonts w:ascii="Arial" w:cs="Arial" w:eastAsia="Arial" w:hAnsi="Arial"/>
                <w:sz w:val="16"/>
                <w:szCs w:val="16"/>
                <w:b w:val="1"/>
                <w:bCs w:val="1"/>
                <w:color w:val="000000"/>
              </w:rPr>
              <w:t>Pay Versus Performance</w:t>
            </w:r>
          </w:p>
        </w:tc>
      </w:tr>
      <w:tr>
        <w:trPr>
          <w:trHeight w:val="27"/>
        </w:trPr>
        <w:tc>
          <w:tcPr>
            <w:tcW w:w="5320" w:type="dxa"/>
            <w:vAlign w:val="bottom"/>
            <w:tcBorders>
              <w:bottom w:val="single" w:sz="8" w:color="3E8EDE"/>
            </w:tcBorders>
          </w:tcPr>
          <w:p>
            <w:pPr>
              <w:spacing w:after="0"/>
              <w:rPr>
                <w:sz w:val="2"/>
                <w:szCs w:val="2"/>
                <w:color w:val="auto"/>
              </w:rPr>
            </w:pPr>
          </w:p>
        </w:tc>
        <w:tc>
          <w:tcPr>
            <w:tcW w:w="160" w:type="dxa"/>
            <w:vAlign w:val="bottom"/>
            <w:tcBorders>
              <w:bottom w:val="single" w:sz="8" w:color="3E8EDE"/>
            </w:tcBorders>
          </w:tcPr>
          <w:p>
            <w:pPr>
              <w:spacing w:after="0"/>
              <w:rPr>
                <w:sz w:val="2"/>
                <w:szCs w:val="2"/>
                <w:color w:val="auto"/>
              </w:rPr>
            </w:pPr>
          </w:p>
        </w:tc>
        <w:tc>
          <w:tcPr>
            <w:tcW w:w="840" w:type="dxa"/>
            <w:vAlign w:val="bottom"/>
            <w:tcBorders>
              <w:bottom w:val="single" w:sz="8" w:color="3E8EDE"/>
            </w:tcBorders>
          </w:tcPr>
          <w:p>
            <w:pPr>
              <w:spacing w:after="0"/>
              <w:rPr>
                <w:sz w:val="2"/>
                <w:szCs w:val="2"/>
                <w:color w:val="auto"/>
              </w:rPr>
            </w:pPr>
          </w:p>
        </w:tc>
        <w:tc>
          <w:tcPr>
            <w:tcW w:w="200" w:type="dxa"/>
            <w:vAlign w:val="bottom"/>
            <w:tcBorders>
              <w:bottom w:val="single" w:sz="8" w:color="3E8EDE"/>
            </w:tcBorders>
          </w:tcPr>
          <w:p>
            <w:pPr>
              <w:spacing w:after="0"/>
              <w:rPr>
                <w:sz w:val="2"/>
                <w:szCs w:val="2"/>
                <w:color w:val="auto"/>
              </w:rPr>
            </w:pPr>
          </w:p>
        </w:tc>
        <w:tc>
          <w:tcPr>
            <w:tcW w:w="840" w:type="dxa"/>
            <w:vAlign w:val="bottom"/>
            <w:tcBorders>
              <w:bottom w:val="single" w:sz="8" w:color="3E8EDE"/>
            </w:tcBorders>
          </w:tcPr>
          <w:p>
            <w:pPr>
              <w:spacing w:after="0"/>
              <w:rPr>
                <w:sz w:val="2"/>
                <w:szCs w:val="2"/>
                <w:color w:val="auto"/>
              </w:rPr>
            </w:pPr>
          </w:p>
        </w:tc>
        <w:tc>
          <w:tcPr>
            <w:tcW w:w="220" w:type="dxa"/>
            <w:vAlign w:val="bottom"/>
            <w:tcBorders>
              <w:bottom w:val="single" w:sz="8" w:color="3E8EDE"/>
            </w:tcBorders>
          </w:tcPr>
          <w:p>
            <w:pPr>
              <w:spacing w:after="0"/>
              <w:rPr>
                <w:sz w:val="2"/>
                <w:szCs w:val="2"/>
                <w:color w:val="auto"/>
              </w:rPr>
            </w:pPr>
          </w:p>
        </w:tc>
        <w:tc>
          <w:tcPr>
            <w:tcW w:w="840" w:type="dxa"/>
            <w:vAlign w:val="bottom"/>
            <w:tcBorders>
              <w:bottom w:val="single" w:sz="8" w:color="3E8EDE"/>
            </w:tcBorders>
          </w:tcPr>
          <w:p>
            <w:pPr>
              <w:spacing w:after="0"/>
              <w:rPr>
                <w:sz w:val="2"/>
                <w:szCs w:val="2"/>
                <w:color w:val="auto"/>
              </w:rPr>
            </w:pPr>
          </w:p>
        </w:tc>
        <w:tc>
          <w:tcPr>
            <w:tcW w:w="220" w:type="dxa"/>
            <w:vAlign w:val="bottom"/>
            <w:tcBorders>
              <w:bottom w:val="single" w:sz="8" w:color="3E8EDE"/>
            </w:tcBorders>
          </w:tcPr>
          <w:p>
            <w:pPr>
              <w:spacing w:after="0"/>
              <w:rPr>
                <w:sz w:val="2"/>
                <w:szCs w:val="2"/>
                <w:color w:val="auto"/>
              </w:rPr>
            </w:pPr>
          </w:p>
        </w:tc>
        <w:tc>
          <w:tcPr>
            <w:tcW w:w="840" w:type="dxa"/>
            <w:vAlign w:val="bottom"/>
            <w:tcBorders>
              <w:bottom w:val="single" w:sz="8" w:color="3E8EDE"/>
            </w:tcBorders>
          </w:tcPr>
          <w:p>
            <w:pPr>
              <w:spacing w:after="0"/>
              <w:rPr>
                <w:sz w:val="2"/>
                <w:szCs w:val="2"/>
                <w:color w:val="auto"/>
              </w:rPr>
            </w:pPr>
          </w:p>
        </w:tc>
        <w:tc>
          <w:tcPr>
            <w:tcW w:w="220" w:type="dxa"/>
            <w:vAlign w:val="bottom"/>
            <w:tcBorders>
              <w:bottom w:val="single" w:sz="8" w:color="3E8EDE"/>
            </w:tcBorders>
          </w:tcPr>
          <w:p>
            <w:pPr>
              <w:spacing w:after="0"/>
              <w:rPr>
                <w:sz w:val="2"/>
                <w:szCs w:val="2"/>
                <w:color w:val="auto"/>
              </w:rPr>
            </w:pPr>
          </w:p>
        </w:tc>
        <w:tc>
          <w:tcPr>
            <w:tcW w:w="860" w:type="dxa"/>
            <w:vAlign w:val="bottom"/>
            <w:tcBorders>
              <w:bottom w:val="single" w:sz="8" w:color="3E8EDE"/>
            </w:tcBorders>
          </w:tcPr>
          <w:p>
            <w:pPr>
              <w:spacing w:after="0"/>
              <w:rPr>
                <w:sz w:val="2"/>
                <w:szCs w:val="2"/>
                <w:color w:val="auto"/>
              </w:rPr>
            </w:pPr>
          </w:p>
        </w:tc>
      </w:tr>
      <w:tr>
        <w:trPr>
          <w:trHeight w:val="174"/>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78"/>
        </w:trPr>
        <w:tc>
          <w:tcPr>
            <w:tcW w:w="5320" w:type="dxa"/>
            <w:vAlign w:val="bottom"/>
            <w:tcBorders>
              <w:bottom w:val="single" w:sz="8" w:color="3E8EDE"/>
            </w:tcBorders>
            <w:shd w:val="clear" w:color="auto" w:fill="3E8EDE"/>
          </w:tcPr>
          <w:p>
            <w:pPr>
              <w:ind w:left="60"/>
              <w:spacing w:after="0"/>
              <w:rPr>
                <w:sz w:val="20"/>
                <w:szCs w:val="20"/>
                <w:color w:val="auto"/>
              </w:rPr>
            </w:pPr>
            <w:r>
              <w:rPr>
                <w:rFonts w:ascii="Arial" w:cs="Arial" w:eastAsia="Arial" w:hAnsi="Arial"/>
                <w:sz w:val="14"/>
                <w:szCs w:val="14"/>
                <w:b w:val="1"/>
                <w:bCs w:val="1"/>
                <w:color w:val="FFFFFF"/>
              </w:rPr>
              <w:t>Item and Value Added (Deducted)</w:t>
            </w:r>
          </w:p>
        </w:tc>
        <w:tc>
          <w:tcPr>
            <w:tcW w:w="160" w:type="dxa"/>
            <w:vAlign w:val="bottom"/>
            <w:tcBorders>
              <w:bottom w:val="single" w:sz="8" w:color="3E8EDE"/>
            </w:tcBorders>
            <w:shd w:val="clear" w:color="auto" w:fill="3E8EDE"/>
          </w:tcPr>
          <w:p>
            <w:pPr>
              <w:spacing w:after="0"/>
              <w:rPr>
                <w:sz w:val="24"/>
                <w:szCs w:val="24"/>
                <w:color w:val="auto"/>
              </w:rPr>
            </w:pPr>
          </w:p>
        </w:tc>
        <w:tc>
          <w:tcPr>
            <w:tcW w:w="840" w:type="dxa"/>
            <w:vAlign w:val="bottom"/>
            <w:tcBorders>
              <w:bottom w:val="single" w:sz="8" w:color="3E8EDE"/>
            </w:tcBorders>
            <w:shd w:val="clear" w:color="auto" w:fill="3E8EDE"/>
          </w:tcPr>
          <w:p>
            <w:pPr>
              <w:jc w:val="right"/>
              <w:ind w:right="331"/>
              <w:spacing w:after="0"/>
              <w:rPr>
                <w:sz w:val="20"/>
                <w:szCs w:val="20"/>
                <w:color w:val="auto"/>
              </w:rPr>
            </w:pPr>
            <w:r>
              <w:rPr>
                <w:rFonts w:ascii="Arial" w:cs="Arial" w:eastAsia="Arial" w:hAnsi="Arial"/>
                <w:sz w:val="14"/>
                <w:szCs w:val="14"/>
                <w:b w:val="1"/>
                <w:bCs w:val="1"/>
                <w:color w:val="FFFFFF"/>
              </w:rPr>
              <w:t>2026</w:t>
            </w:r>
          </w:p>
        </w:tc>
        <w:tc>
          <w:tcPr>
            <w:tcW w:w="200" w:type="dxa"/>
            <w:vAlign w:val="bottom"/>
            <w:tcBorders>
              <w:bottom w:val="single" w:sz="8" w:color="3E8EDE"/>
            </w:tcBorders>
            <w:shd w:val="clear" w:color="auto" w:fill="3E8EDE"/>
          </w:tcPr>
          <w:p>
            <w:pPr>
              <w:spacing w:after="0"/>
              <w:rPr>
                <w:sz w:val="24"/>
                <w:szCs w:val="24"/>
                <w:color w:val="auto"/>
              </w:rPr>
            </w:pPr>
          </w:p>
        </w:tc>
        <w:tc>
          <w:tcPr>
            <w:tcW w:w="840" w:type="dxa"/>
            <w:vAlign w:val="bottom"/>
            <w:tcBorders>
              <w:bottom w:val="single" w:sz="8" w:color="3E8EDE"/>
            </w:tcBorders>
            <w:shd w:val="clear" w:color="auto" w:fill="3E8EDE"/>
          </w:tcPr>
          <w:p>
            <w:pPr>
              <w:jc w:val="right"/>
              <w:ind w:right="311"/>
              <w:spacing w:after="0"/>
              <w:rPr>
                <w:sz w:val="20"/>
                <w:szCs w:val="20"/>
                <w:color w:val="auto"/>
              </w:rPr>
            </w:pPr>
            <w:r>
              <w:rPr>
                <w:rFonts w:ascii="Arial" w:cs="Arial" w:eastAsia="Arial" w:hAnsi="Arial"/>
                <w:sz w:val="14"/>
                <w:szCs w:val="14"/>
                <w:b w:val="1"/>
                <w:bCs w:val="1"/>
                <w:color w:val="FFFFFF"/>
              </w:rPr>
              <w:t>2025</w:t>
            </w:r>
          </w:p>
        </w:tc>
        <w:tc>
          <w:tcPr>
            <w:tcW w:w="220" w:type="dxa"/>
            <w:vAlign w:val="bottom"/>
            <w:tcBorders>
              <w:bottom w:val="single" w:sz="8" w:color="3E8EDE"/>
            </w:tcBorders>
            <w:shd w:val="clear" w:color="auto" w:fill="3E8EDE"/>
          </w:tcPr>
          <w:p>
            <w:pPr>
              <w:spacing w:after="0"/>
              <w:rPr>
                <w:sz w:val="24"/>
                <w:szCs w:val="24"/>
                <w:color w:val="auto"/>
              </w:rPr>
            </w:pPr>
          </w:p>
        </w:tc>
        <w:tc>
          <w:tcPr>
            <w:tcW w:w="840" w:type="dxa"/>
            <w:vAlign w:val="bottom"/>
            <w:tcBorders>
              <w:bottom w:val="single" w:sz="8" w:color="3E8EDE"/>
            </w:tcBorders>
            <w:shd w:val="clear" w:color="auto" w:fill="3E8EDE"/>
          </w:tcPr>
          <w:p>
            <w:pPr>
              <w:jc w:val="right"/>
              <w:ind w:right="331"/>
              <w:spacing w:after="0"/>
              <w:rPr>
                <w:sz w:val="20"/>
                <w:szCs w:val="20"/>
                <w:color w:val="auto"/>
              </w:rPr>
            </w:pPr>
            <w:r>
              <w:rPr>
                <w:rFonts w:ascii="Arial" w:cs="Arial" w:eastAsia="Arial" w:hAnsi="Arial"/>
                <w:sz w:val="14"/>
                <w:szCs w:val="14"/>
                <w:b w:val="1"/>
                <w:bCs w:val="1"/>
                <w:color w:val="FFFFFF"/>
              </w:rPr>
              <w:t>2024</w:t>
            </w:r>
          </w:p>
        </w:tc>
        <w:tc>
          <w:tcPr>
            <w:tcW w:w="220" w:type="dxa"/>
            <w:vAlign w:val="bottom"/>
            <w:tcBorders>
              <w:bottom w:val="single" w:sz="8" w:color="3E8EDE"/>
            </w:tcBorders>
            <w:shd w:val="clear" w:color="auto" w:fill="3E8EDE"/>
          </w:tcPr>
          <w:p>
            <w:pPr>
              <w:spacing w:after="0"/>
              <w:rPr>
                <w:sz w:val="24"/>
                <w:szCs w:val="24"/>
                <w:color w:val="auto"/>
              </w:rPr>
            </w:pPr>
          </w:p>
        </w:tc>
        <w:tc>
          <w:tcPr>
            <w:tcW w:w="840" w:type="dxa"/>
            <w:vAlign w:val="bottom"/>
            <w:tcBorders>
              <w:bottom w:val="single" w:sz="8" w:color="3E8EDE"/>
            </w:tcBorders>
            <w:shd w:val="clear" w:color="auto" w:fill="3E8EDE"/>
          </w:tcPr>
          <w:p>
            <w:pPr>
              <w:jc w:val="right"/>
              <w:ind w:right="331"/>
              <w:spacing w:after="0"/>
              <w:rPr>
                <w:sz w:val="20"/>
                <w:szCs w:val="20"/>
                <w:color w:val="auto"/>
              </w:rPr>
            </w:pPr>
            <w:r>
              <w:rPr>
                <w:rFonts w:ascii="Arial" w:cs="Arial" w:eastAsia="Arial" w:hAnsi="Arial"/>
                <w:sz w:val="14"/>
                <w:szCs w:val="14"/>
                <w:b w:val="1"/>
                <w:bCs w:val="1"/>
                <w:color w:val="FFFFFF"/>
              </w:rPr>
              <w:t>2023</w:t>
            </w:r>
          </w:p>
        </w:tc>
        <w:tc>
          <w:tcPr>
            <w:tcW w:w="220" w:type="dxa"/>
            <w:vAlign w:val="bottom"/>
            <w:tcBorders>
              <w:bottom w:val="single" w:sz="8" w:color="3E8EDE"/>
            </w:tcBorders>
            <w:shd w:val="clear" w:color="auto" w:fill="3E8EDE"/>
          </w:tcPr>
          <w:p>
            <w:pPr>
              <w:spacing w:after="0"/>
              <w:rPr>
                <w:sz w:val="24"/>
                <w:szCs w:val="24"/>
                <w:color w:val="auto"/>
              </w:rPr>
            </w:pPr>
          </w:p>
        </w:tc>
        <w:tc>
          <w:tcPr>
            <w:tcW w:w="860" w:type="dxa"/>
            <w:vAlign w:val="bottom"/>
            <w:tcBorders>
              <w:bottom w:val="single" w:sz="8" w:color="3E8EDE"/>
            </w:tcBorders>
            <w:shd w:val="clear" w:color="auto" w:fill="3E8EDE"/>
          </w:tcPr>
          <w:p>
            <w:pPr>
              <w:jc w:val="right"/>
              <w:ind w:right="331"/>
              <w:spacing w:after="0"/>
              <w:rPr>
                <w:sz w:val="20"/>
                <w:szCs w:val="20"/>
                <w:color w:val="auto"/>
              </w:rPr>
            </w:pPr>
            <w:r>
              <w:rPr>
                <w:rFonts w:ascii="Arial" w:cs="Arial" w:eastAsia="Arial" w:hAnsi="Arial"/>
                <w:sz w:val="14"/>
                <w:szCs w:val="14"/>
                <w:b w:val="1"/>
                <w:bCs w:val="1"/>
                <w:color w:val="FFFFFF"/>
              </w:rPr>
              <w:t>2022</w:t>
            </w:r>
          </w:p>
        </w:tc>
      </w:tr>
      <w:tr>
        <w:trPr>
          <w:trHeight w:val="265"/>
        </w:trPr>
        <w:tc>
          <w:tcPr>
            <w:tcW w:w="532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4"/>
                <w:szCs w:val="14"/>
                <w:color w:val="auto"/>
              </w:rPr>
              <w:t>For Daniel A. Carestio (as PEO)</w:t>
            </w:r>
          </w:p>
        </w:tc>
        <w:tc>
          <w:tcPr>
            <w:tcW w:w="160" w:type="dxa"/>
            <w:vAlign w:val="bottom"/>
            <w:tcBorders>
              <w:bottom w:val="single" w:sz="8" w:color="E2EEFA"/>
            </w:tcBorders>
            <w:shd w:val="clear" w:color="auto" w:fill="E2EEFA"/>
          </w:tcPr>
          <w:p>
            <w:pPr>
              <w:spacing w:after="0"/>
              <w:rPr>
                <w:sz w:val="23"/>
                <w:szCs w:val="23"/>
                <w:color w:val="auto"/>
              </w:rPr>
            </w:pPr>
          </w:p>
        </w:tc>
        <w:tc>
          <w:tcPr>
            <w:tcW w:w="840" w:type="dxa"/>
            <w:vAlign w:val="bottom"/>
            <w:tcBorders>
              <w:bottom w:val="single" w:sz="8" w:color="E2EEFA"/>
            </w:tcBorders>
            <w:shd w:val="clear" w:color="auto" w:fill="E2EEFA"/>
          </w:tcPr>
          <w:p>
            <w:pPr>
              <w:spacing w:after="0"/>
              <w:rPr>
                <w:sz w:val="23"/>
                <w:szCs w:val="23"/>
                <w:color w:val="auto"/>
              </w:rPr>
            </w:pPr>
          </w:p>
        </w:tc>
        <w:tc>
          <w:tcPr>
            <w:tcW w:w="200" w:type="dxa"/>
            <w:vAlign w:val="bottom"/>
            <w:tcBorders>
              <w:bottom w:val="single" w:sz="8" w:color="E2EEFA"/>
            </w:tcBorders>
            <w:shd w:val="clear" w:color="auto" w:fill="E2EEFA"/>
          </w:tcPr>
          <w:p>
            <w:pPr>
              <w:spacing w:after="0"/>
              <w:rPr>
                <w:sz w:val="23"/>
                <w:szCs w:val="23"/>
                <w:color w:val="auto"/>
              </w:rPr>
            </w:pPr>
          </w:p>
        </w:tc>
        <w:tc>
          <w:tcPr>
            <w:tcW w:w="840" w:type="dxa"/>
            <w:vAlign w:val="bottom"/>
            <w:tcBorders>
              <w:bottom w:val="single" w:sz="8" w:color="E2EEFA"/>
            </w:tcBorders>
            <w:shd w:val="clear" w:color="auto" w:fill="E2EEFA"/>
          </w:tcPr>
          <w:p>
            <w:pPr>
              <w:spacing w:after="0"/>
              <w:rPr>
                <w:sz w:val="23"/>
                <w:szCs w:val="23"/>
                <w:color w:val="auto"/>
              </w:rPr>
            </w:pPr>
          </w:p>
        </w:tc>
        <w:tc>
          <w:tcPr>
            <w:tcW w:w="220" w:type="dxa"/>
            <w:vAlign w:val="bottom"/>
            <w:tcBorders>
              <w:bottom w:val="single" w:sz="8" w:color="E2EEFA"/>
            </w:tcBorders>
            <w:shd w:val="clear" w:color="auto" w:fill="E2EEFA"/>
          </w:tcPr>
          <w:p>
            <w:pPr>
              <w:spacing w:after="0"/>
              <w:rPr>
                <w:sz w:val="23"/>
                <w:szCs w:val="23"/>
                <w:color w:val="auto"/>
              </w:rPr>
            </w:pPr>
          </w:p>
        </w:tc>
        <w:tc>
          <w:tcPr>
            <w:tcW w:w="840" w:type="dxa"/>
            <w:vAlign w:val="bottom"/>
            <w:tcBorders>
              <w:bottom w:val="single" w:sz="8" w:color="E2EEFA"/>
            </w:tcBorders>
            <w:shd w:val="clear" w:color="auto" w:fill="E2EEFA"/>
          </w:tcPr>
          <w:p>
            <w:pPr>
              <w:spacing w:after="0"/>
              <w:rPr>
                <w:sz w:val="23"/>
                <w:szCs w:val="23"/>
                <w:color w:val="auto"/>
              </w:rPr>
            </w:pPr>
          </w:p>
        </w:tc>
        <w:tc>
          <w:tcPr>
            <w:tcW w:w="220" w:type="dxa"/>
            <w:vAlign w:val="bottom"/>
            <w:tcBorders>
              <w:bottom w:val="single" w:sz="8" w:color="E2EEFA"/>
            </w:tcBorders>
            <w:shd w:val="clear" w:color="auto" w:fill="E2EEFA"/>
          </w:tcPr>
          <w:p>
            <w:pPr>
              <w:spacing w:after="0"/>
              <w:rPr>
                <w:sz w:val="23"/>
                <w:szCs w:val="23"/>
                <w:color w:val="auto"/>
              </w:rPr>
            </w:pPr>
          </w:p>
        </w:tc>
        <w:tc>
          <w:tcPr>
            <w:tcW w:w="840" w:type="dxa"/>
            <w:vAlign w:val="bottom"/>
            <w:tcBorders>
              <w:bottom w:val="single" w:sz="8" w:color="E2EEFA"/>
            </w:tcBorders>
            <w:shd w:val="clear" w:color="auto" w:fill="E2EEFA"/>
          </w:tcPr>
          <w:p>
            <w:pPr>
              <w:spacing w:after="0"/>
              <w:rPr>
                <w:sz w:val="23"/>
                <w:szCs w:val="23"/>
                <w:color w:val="auto"/>
              </w:rPr>
            </w:pPr>
          </w:p>
        </w:tc>
        <w:tc>
          <w:tcPr>
            <w:tcW w:w="220" w:type="dxa"/>
            <w:vAlign w:val="bottom"/>
            <w:tcBorders>
              <w:bottom w:val="single" w:sz="8" w:color="E2EEFA"/>
            </w:tcBorders>
            <w:shd w:val="clear" w:color="auto" w:fill="E2EEFA"/>
          </w:tcPr>
          <w:p>
            <w:pPr>
              <w:spacing w:after="0"/>
              <w:rPr>
                <w:sz w:val="23"/>
                <w:szCs w:val="23"/>
                <w:color w:val="auto"/>
              </w:rPr>
            </w:pPr>
          </w:p>
        </w:tc>
        <w:tc>
          <w:tcPr>
            <w:tcW w:w="860" w:type="dxa"/>
            <w:vAlign w:val="bottom"/>
            <w:tcBorders>
              <w:bottom w:val="single" w:sz="8" w:color="E2EEFA"/>
            </w:tcBorders>
            <w:shd w:val="clear" w:color="auto" w:fill="E2EEFA"/>
          </w:tcPr>
          <w:p>
            <w:pPr>
              <w:spacing w:after="0"/>
              <w:rPr>
                <w:sz w:val="23"/>
                <w:szCs w:val="23"/>
                <w:color w:val="auto"/>
              </w:rPr>
            </w:pPr>
          </w:p>
        </w:tc>
      </w:tr>
      <w:tr>
        <w:trPr>
          <w:trHeight w:val="238"/>
        </w:trPr>
        <w:tc>
          <w:tcPr>
            <w:tcW w:w="5320" w:type="dxa"/>
            <w:vAlign w:val="bottom"/>
          </w:tcPr>
          <w:p>
            <w:pPr>
              <w:ind w:left="200"/>
              <w:spacing w:after="0"/>
              <w:rPr>
                <w:sz w:val="20"/>
                <w:szCs w:val="20"/>
                <w:color w:val="auto"/>
              </w:rPr>
            </w:pPr>
            <w:r>
              <w:rPr>
                <w:rFonts w:ascii="Arial" w:cs="Arial" w:eastAsia="Arial" w:hAnsi="Arial"/>
                <w:sz w:val="14"/>
                <w:szCs w:val="14"/>
                <w:i w:val="1"/>
                <w:iCs w:val="1"/>
                <w:color w:val="auto"/>
              </w:rPr>
              <w:t>- SCT “Stock Awards” column value</w:t>
            </w:r>
          </w:p>
        </w:tc>
        <w:tc>
          <w:tcPr>
            <w:tcW w:w="16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(4,333,951)</w:t>
            </w:r>
          </w:p>
        </w:tc>
        <w:tc>
          <w:tcPr>
            <w:tcW w:w="200" w:type="dxa"/>
            <w:vAlign w:val="bottom"/>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(2,935,997)</w:t>
            </w:r>
          </w:p>
        </w:tc>
        <w:tc>
          <w:tcPr>
            <w:tcW w:w="220" w:type="dxa"/>
            <w:vAlign w:val="bottom"/>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(2,584,412)</w:t>
            </w:r>
          </w:p>
        </w:tc>
        <w:tc>
          <w:tcPr>
            <w:tcW w:w="22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(2,154,084)</w:t>
            </w:r>
          </w:p>
        </w:tc>
        <w:tc>
          <w:tcPr>
            <w:tcW w:w="22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(1,397,772)</w:t>
            </w:r>
          </w:p>
        </w:tc>
      </w:tr>
      <w:tr>
        <w:trPr>
          <w:trHeight w:val="47"/>
        </w:trPr>
        <w:tc>
          <w:tcPr>
            <w:tcW w:w="5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65"/>
        </w:trPr>
        <w:tc>
          <w:tcPr>
            <w:tcW w:w="5320" w:type="dxa"/>
            <w:vAlign w:val="bottom"/>
            <w:tcBorders>
              <w:bottom w:val="single" w:sz="8" w:color="E2EEFA"/>
            </w:tcBorders>
            <w:shd w:val="clear" w:color="auto" w:fill="E2EEFA"/>
          </w:tcPr>
          <w:p>
            <w:pPr>
              <w:ind w:left="200"/>
              <w:spacing w:after="0"/>
              <w:rPr>
                <w:sz w:val="20"/>
                <w:szCs w:val="20"/>
                <w:color w:val="auto"/>
              </w:rPr>
            </w:pPr>
            <w:r>
              <w:rPr>
                <w:rFonts w:ascii="Arial" w:cs="Arial" w:eastAsia="Arial" w:hAnsi="Arial"/>
                <w:sz w:val="14"/>
                <w:szCs w:val="14"/>
                <w:i w:val="1"/>
                <w:iCs w:val="1"/>
                <w:color w:val="auto"/>
              </w:rPr>
              <w:t>- SCT “Option Awards” column value</w:t>
            </w:r>
          </w:p>
        </w:tc>
        <w:tc>
          <w:tcPr>
            <w:tcW w:w="16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(4,334,251)</w:t>
            </w:r>
          </w:p>
        </w:tc>
        <w:tc>
          <w:tcPr>
            <w:tcW w:w="200" w:type="dxa"/>
            <w:vAlign w:val="bottom"/>
            <w:tcBorders>
              <w:bottom w:val="single" w:sz="8" w:color="E2EEFA"/>
            </w:tcBorders>
            <w:shd w:val="clear" w:color="auto" w:fill="E2EEFA"/>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(5,452,847)</w:t>
            </w:r>
          </w:p>
        </w:tc>
        <w:tc>
          <w:tcPr>
            <w:tcW w:w="220" w:type="dxa"/>
            <w:vAlign w:val="bottom"/>
            <w:tcBorders>
              <w:bottom w:val="single" w:sz="8" w:color="E2EEFA"/>
            </w:tcBorders>
            <w:shd w:val="clear" w:color="auto" w:fill="E2EEFA"/>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(4,800,238)</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(4,000,598)</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(2,870,787)</w:t>
            </w:r>
          </w:p>
        </w:tc>
      </w:tr>
      <w:tr>
        <w:trPr>
          <w:trHeight w:val="238"/>
        </w:trPr>
        <w:tc>
          <w:tcPr>
            <w:tcW w:w="5320" w:type="dxa"/>
            <w:vAlign w:val="bottom"/>
          </w:tcPr>
          <w:p>
            <w:pPr>
              <w:ind w:left="200"/>
              <w:spacing w:after="0"/>
              <w:rPr>
                <w:sz w:val="20"/>
                <w:szCs w:val="20"/>
                <w:color w:val="auto"/>
              </w:rPr>
            </w:pPr>
            <w:r>
              <w:rPr>
                <w:rFonts w:ascii="Arial" w:cs="Arial" w:eastAsia="Arial" w:hAnsi="Arial"/>
                <w:sz w:val="14"/>
                <w:szCs w:val="14"/>
                <w:i w:val="1"/>
                <w:iCs w:val="1"/>
                <w:color w:val="auto"/>
              </w:rPr>
              <w:t>+ year-end fair value of outstanding equity awards granted in Covered Year</w:t>
            </w:r>
          </w:p>
        </w:tc>
        <w:tc>
          <w:tcPr>
            <w:tcW w:w="16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1,032,773</w:t>
            </w:r>
          </w:p>
        </w:tc>
        <w:tc>
          <w:tcPr>
            <w:tcW w:w="200" w:type="dxa"/>
            <w:vAlign w:val="bottom"/>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8,365,073</w:t>
            </w:r>
          </w:p>
        </w:tc>
        <w:tc>
          <w:tcPr>
            <w:tcW w:w="220" w:type="dxa"/>
            <w:vAlign w:val="bottom"/>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9,135,555</w:t>
            </w:r>
          </w:p>
        </w:tc>
        <w:tc>
          <w:tcPr>
            <w:tcW w:w="22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4,709,722</w:t>
            </w:r>
          </w:p>
        </w:tc>
        <w:tc>
          <w:tcPr>
            <w:tcW w:w="22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i w:val="1"/>
                <w:iCs w:val="1"/>
                <w:color w:val="auto"/>
              </w:rPr>
              <w:t>7,347,026</w:t>
            </w:r>
          </w:p>
        </w:tc>
      </w:tr>
      <w:tr>
        <w:trPr>
          <w:trHeight w:val="47"/>
        </w:trPr>
        <w:tc>
          <w:tcPr>
            <w:tcW w:w="5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65"/>
        </w:trPr>
        <w:tc>
          <w:tcPr>
            <w:tcW w:w="5320" w:type="dxa"/>
            <w:vAlign w:val="bottom"/>
            <w:tcBorders>
              <w:bottom w:val="single" w:sz="8" w:color="E2EEFA"/>
            </w:tcBorders>
            <w:shd w:val="clear" w:color="auto" w:fill="E2EEFA"/>
          </w:tcPr>
          <w:p>
            <w:pPr>
              <w:ind w:left="200"/>
              <w:spacing w:after="0"/>
              <w:rPr>
                <w:sz w:val="20"/>
                <w:szCs w:val="20"/>
                <w:color w:val="auto"/>
              </w:rPr>
            </w:pPr>
            <w:r>
              <w:rPr>
                <w:rFonts w:ascii="Arial" w:cs="Arial" w:eastAsia="Arial" w:hAnsi="Arial"/>
                <w:sz w:val="14"/>
                <w:szCs w:val="14"/>
                <w:i w:val="1"/>
                <w:iCs w:val="1"/>
                <w:color w:val="auto"/>
              </w:rPr>
              <w:t>+/- change in fair value of outstanding equity awards granted in prior years</w:t>
            </w:r>
          </w:p>
        </w:tc>
        <w:tc>
          <w:tcPr>
            <w:tcW w:w="16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(550,138)</w:t>
            </w:r>
          </w:p>
        </w:tc>
        <w:tc>
          <w:tcPr>
            <w:tcW w:w="200" w:type="dxa"/>
            <w:vAlign w:val="bottom"/>
            <w:tcBorders>
              <w:bottom w:val="single" w:sz="8" w:color="E2EEFA"/>
            </w:tcBorders>
            <w:shd w:val="clear" w:color="auto" w:fill="E2EEFA"/>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(1,828,775)</w:t>
            </w:r>
          </w:p>
        </w:tc>
        <w:tc>
          <w:tcPr>
            <w:tcW w:w="220" w:type="dxa"/>
            <w:vAlign w:val="bottom"/>
            <w:tcBorders>
              <w:bottom w:val="single" w:sz="8" w:color="E2EEFA"/>
            </w:tcBorders>
            <w:shd w:val="clear" w:color="auto" w:fill="E2EEFA"/>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2,094,239</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(3,235,090)</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2,796,409</w:t>
            </w:r>
          </w:p>
        </w:tc>
      </w:tr>
      <w:tr>
        <w:trPr>
          <w:trHeight w:val="238"/>
        </w:trPr>
        <w:tc>
          <w:tcPr>
            <w:tcW w:w="5320" w:type="dxa"/>
            <w:vAlign w:val="bottom"/>
          </w:tcPr>
          <w:p>
            <w:pPr>
              <w:ind w:left="200"/>
              <w:spacing w:after="0"/>
              <w:rPr>
                <w:sz w:val="20"/>
                <w:szCs w:val="20"/>
                <w:color w:val="auto"/>
              </w:rPr>
            </w:pPr>
            <w:r>
              <w:rPr>
                <w:rFonts w:ascii="Arial" w:cs="Arial" w:eastAsia="Arial" w:hAnsi="Arial"/>
                <w:sz w:val="14"/>
                <w:szCs w:val="14"/>
                <w:i w:val="1"/>
                <w:iCs w:val="1"/>
                <w:color w:val="auto"/>
              </w:rPr>
              <w:t>+ vesting date fair value of equity awards granted and vested in Covered Year</w:t>
            </w:r>
          </w:p>
        </w:tc>
        <w:tc>
          <w:tcPr>
            <w:tcW w:w="16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0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r>
      <w:tr>
        <w:trPr>
          <w:trHeight w:val="47"/>
        </w:trPr>
        <w:tc>
          <w:tcPr>
            <w:tcW w:w="5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65"/>
        </w:trPr>
        <w:tc>
          <w:tcPr>
            <w:tcW w:w="5320" w:type="dxa"/>
            <w:vAlign w:val="bottom"/>
            <w:tcBorders>
              <w:bottom w:val="single" w:sz="8" w:color="E2EEFA"/>
            </w:tcBorders>
            <w:shd w:val="clear" w:color="auto" w:fill="E2EEFA"/>
          </w:tcPr>
          <w:p>
            <w:pPr>
              <w:ind w:left="200"/>
              <w:spacing w:after="0"/>
              <w:rPr>
                <w:sz w:val="20"/>
                <w:szCs w:val="20"/>
                <w:color w:val="auto"/>
              </w:rPr>
            </w:pPr>
            <w:r>
              <w:rPr>
                <w:rFonts w:ascii="Arial" w:cs="Arial" w:eastAsia="Arial" w:hAnsi="Arial"/>
                <w:sz w:val="14"/>
                <w:szCs w:val="14"/>
                <w:i w:val="1"/>
                <w:iCs w:val="1"/>
                <w:color w:val="auto"/>
              </w:rPr>
              <w:t>+/- change in fair value of prior-year equity awards vested in Covered Year</w:t>
            </w:r>
          </w:p>
        </w:tc>
        <w:tc>
          <w:tcPr>
            <w:tcW w:w="16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(82,758)</w:t>
            </w:r>
          </w:p>
        </w:tc>
        <w:tc>
          <w:tcPr>
            <w:tcW w:w="200" w:type="dxa"/>
            <w:vAlign w:val="bottom"/>
            <w:tcBorders>
              <w:bottom w:val="single" w:sz="8" w:color="E2EEFA"/>
            </w:tcBorders>
            <w:shd w:val="clear" w:color="auto" w:fill="E2EEFA"/>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(936,547)</w:t>
            </w:r>
          </w:p>
        </w:tc>
        <w:tc>
          <w:tcPr>
            <w:tcW w:w="220" w:type="dxa"/>
            <w:vAlign w:val="bottom"/>
            <w:tcBorders>
              <w:bottom w:val="single" w:sz="8" w:color="E2EEFA"/>
            </w:tcBorders>
            <w:shd w:val="clear" w:color="auto" w:fill="E2EEFA"/>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696,910</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(950,771)</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12,373</w:t>
            </w:r>
          </w:p>
        </w:tc>
      </w:tr>
      <w:tr>
        <w:trPr>
          <w:trHeight w:val="238"/>
        </w:trPr>
        <w:tc>
          <w:tcPr>
            <w:tcW w:w="5320" w:type="dxa"/>
            <w:vAlign w:val="bottom"/>
          </w:tcPr>
          <w:p>
            <w:pPr>
              <w:ind w:left="200"/>
              <w:spacing w:after="0"/>
              <w:rPr>
                <w:sz w:val="20"/>
                <w:szCs w:val="20"/>
                <w:color w:val="auto"/>
              </w:rPr>
            </w:pPr>
            <w:r>
              <w:rPr>
                <w:rFonts w:ascii="Arial" w:cs="Arial" w:eastAsia="Arial" w:hAnsi="Arial"/>
                <w:sz w:val="14"/>
                <w:szCs w:val="14"/>
                <w:i w:val="1"/>
                <w:iCs w:val="1"/>
                <w:color w:val="auto"/>
              </w:rPr>
              <w:t>- prior year-end fair value of prior-year equity awards forfeited in Covered Year</w:t>
            </w:r>
          </w:p>
        </w:tc>
        <w:tc>
          <w:tcPr>
            <w:tcW w:w="16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0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r>
      <w:tr>
        <w:trPr>
          <w:trHeight w:val="47"/>
        </w:trPr>
        <w:tc>
          <w:tcPr>
            <w:tcW w:w="5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90"/>
        </w:trPr>
        <w:tc>
          <w:tcPr>
            <w:tcW w:w="5320" w:type="dxa"/>
            <w:vAlign w:val="bottom"/>
            <w:tcBorders>
              <w:bottom w:val="single" w:sz="8" w:color="E2EEFA"/>
            </w:tcBorders>
            <w:shd w:val="clear" w:color="auto" w:fill="E2EEFA"/>
          </w:tcPr>
          <w:p>
            <w:pPr>
              <w:ind w:left="200"/>
              <w:spacing w:after="0"/>
              <w:rPr>
                <w:sz w:val="20"/>
                <w:szCs w:val="20"/>
                <w:color w:val="auto"/>
              </w:rPr>
            </w:pPr>
            <w:r>
              <w:rPr>
                <w:rFonts w:ascii="Arial" w:cs="Arial" w:eastAsia="Arial" w:hAnsi="Arial"/>
                <w:sz w:val="14"/>
                <w:szCs w:val="14"/>
                <w:i w:val="1"/>
                <w:iCs w:val="1"/>
                <w:color w:val="auto"/>
              </w:rPr>
              <w:t>+ includable dividends/earnings on equity awards during Covered Year</w:t>
            </w:r>
          </w:p>
        </w:tc>
        <w:tc>
          <w:tcPr>
            <w:tcW w:w="16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81,660</w:t>
            </w:r>
          </w:p>
        </w:tc>
        <w:tc>
          <w:tcPr>
            <w:tcW w:w="200" w:type="dxa"/>
            <w:vAlign w:val="bottom"/>
            <w:tcBorders>
              <w:bottom w:val="single" w:sz="8" w:color="E2EEFA"/>
            </w:tcBorders>
            <w:shd w:val="clear" w:color="auto" w:fill="E2EEFA"/>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62,768</w:t>
            </w:r>
          </w:p>
        </w:tc>
        <w:tc>
          <w:tcPr>
            <w:tcW w:w="220" w:type="dxa"/>
            <w:vAlign w:val="bottom"/>
            <w:tcBorders>
              <w:bottom w:val="single" w:sz="8" w:color="E2EEFA"/>
            </w:tcBorders>
            <w:shd w:val="clear" w:color="auto" w:fill="E2EEFA"/>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50,518</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58,455</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33,179</w:t>
            </w:r>
          </w:p>
        </w:tc>
      </w:tr>
      <w:tr>
        <w:trPr>
          <w:trHeight w:val="218"/>
        </w:trPr>
        <w:tc>
          <w:tcPr>
            <w:tcW w:w="5480" w:type="dxa"/>
            <w:vAlign w:val="bottom"/>
            <w:tcBorders>
              <w:top w:val="single" w:sz="8" w:color="3E8EDE"/>
            </w:tcBorders>
            <w:gridSpan w:val="2"/>
          </w:tcPr>
          <w:p>
            <w:pPr>
              <w:jc w:val="right"/>
              <w:spacing w:after="0"/>
              <w:rPr>
                <w:sz w:val="20"/>
                <w:szCs w:val="20"/>
                <w:color w:val="auto"/>
              </w:rPr>
            </w:pPr>
            <w:r>
              <w:rPr>
                <w:rFonts w:ascii="Arial" w:cs="Arial" w:eastAsia="Arial" w:hAnsi="Arial"/>
                <w:sz w:val="14"/>
                <w:szCs w:val="14"/>
                <w:i w:val="1"/>
                <w:iCs w:val="1"/>
                <w:color w:val="auto"/>
              </w:rPr>
              <w:t>TOTAL ADDED (DEDUCTED): $</w:t>
            </w:r>
          </w:p>
        </w:tc>
        <w:tc>
          <w:tcPr>
            <w:tcW w:w="840" w:type="dxa"/>
            <w:vAlign w:val="bottom"/>
            <w:tcBorders>
              <w:top w:val="single" w:sz="8" w:color="3E8EDE"/>
            </w:tcBorders>
          </w:tcPr>
          <w:p>
            <w:pPr>
              <w:jc w:val="right"/>
              <w:spacing w:after="0"/>
              <w:rPr>
                <w:sz w:val="20"/>
                <w:szCs w:val="20"/>
                <w:color w:val="auto"/>
              </w:rPr>
            </w:pPr>
            <w:r>
              <w:rPr>
                <w:rFonts w:ascii="Arial" w:cs="Arial" w:eastAsia="Arial" w:hAnsi="Arial"/>
                <w:sz w:val="14"/>
                <w:szCs w:val="14"/>
                <w:i w:val="1"/>
                <w:iCs w:val="1"/>
                <w:color w:val="auto"/>
              </w:rPr>
              <w:t>(8,186,665)</w:t>
            </w:r>
          </w:p>
        </w:tc>
        <w:tc>
          <w:tcPr>
            <w:tcW w:w="200" w:type="dxa"/>
            <w:vAlign w:val="bottom"/>
            <w:tcBorders>
              <w:top w:val="single" w:sz="8" w:color="3E8EDE"/>
            </w:tcBorders>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top w:val="single" w:sz="8" w:color="3E8EDE"/>
            </w:tcBorders>
          </w:tcPr>
          <w:p>
            <w:pPr>
              <w:jc w:val="right"/>
              <w:spacing w:after="0"/>
              <w:rPr>
                <w:sz w:val="20"/>
                <w:szCs w:val="20"/>
                <w:color w:val="auto"/>
              </w:rPr>
            </w:pPr>
            <w:r>
              <w:rPr>
                <w:rFonts w:ascii="Arial" w:cs="Arial" w:eastAsia="Arial" w:hAnsi="Arial"/>
                <w:sz w:val="14"/>
                <w:szCs w:val="14"/>
                <w:i w:val="1"/>
                <w:iCs w:val="1"/>
                <w:color w:val="auto"/>
              </w:rPr>
              <w:t>(2,726,325)</w:t>
            </w:r>
          </w:p>
        </w:tc>
        <w:tc>
          <w:tcPr>
            <w:tcW w:w="220" w:type="dxa"/>
            <w:vAlign w:val="bottom"/>
            <w:tcBorders>
              <w:top w:val="single" w:sz="8" w:color="3E8EDE"/>
            </w:tcBorders>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top w:val="single" w:sz="8" w:color="3E8EDE"/>
            </w:tcBorders>
          </w:tcPr>
          <w:p>
            <w:pPr>
              <w:jc w:val="right"/>
              <w:ind w:right="31"/>
              <w:spacing w:after="0"/>
              <w:rPr>
                <w:sz w:val="20"/>
                <w:szCs w:val="20"/>
                <w:color w:val="auto"/>
              </w:rPr>
            </w:pPr>
            <w:r>
              <w:rPr>
                <w:rFonts w:ascii="Arial" w:cs="Arial" w:eastAsia="Arial" w:hAnsi="Arial"/>
                <w:sz w:val="14"/>
                <w:szCs w:val="14"/>
                <w:i w:val="1"/>
                <w:iCs w:val="1"/>
                <w:color w:val="auto"/>
              </w:rPr>
              <w:t>4,592,573</w:t>
            </w:r>
          </w:p>
        </w:tc>
        <w:tc>
          <w:tcPr>
            <w:tcW w:w="220" w:type="dxa"/>
            <w:vAlign w:val="bottom"/>
            <w:tcBorders>
              <w:top w:val="single" w:sz="8" w:color="3E8EDE"/>
            </w:tcBorders>
          </w:tcPr>
          <w:p>
            <w:pPr>
              <w:jc w:val="right"/>
              <w:ind w:right="31"/>
              <w:spacing w:after="0"/>
              <w:rPr>
                <w:sz w:val="20"/>
                <w:szCs w:val="20"/>
                <w:color w:val="auto"/>
              </w:rPr>
            </w:pPr>
            <w:r>
              <w:rPr>
                <w:rFonts w:ascii="Arial" w:cs="Arial" w:eastAsia="Arial" w:hAnsi="Arial"/>
                <w:sz w:val="14"/>
                <w:szCs w:val="14"/>
                <w:i w:val="1"/>
                <w:iCs w:val="1"/>
                <w:color w:val="auto"/>
              </w:rPr>
              <w:t>$</w:t>
            </w:r>
          </w:p>
        </w:tc>
        <w:tc>
          <w:tcPr>
            <w:tcW w:w="840" w:type="dxa"/>
            <w:vAlign w:val="bottom"/>
            <w:tcBorders>
              <w:top w:val="single" w:sz="8" w:color="3E8EDE"/>
            </w:tcBorders>
          </w:tcPr>
          <w:p>
            <w:pPr>
              <w:jc w:val="right"/>
              <w:spacing w:after="0"/>
              <w:rPr>
                <w:sz w:val="20"/>
                <w:szCs w:val="20"/>
                <w:color w:val="auto"/>
              </w:rPr>
            </w:pPr>
            <w:r>
              <w:rPr>
                <w:rFonts w:ascii="Arial" w:cs="Arial" w:eastAsia="Arial" w:hAnsi="Arial"/>
                <w:sz w:val="14"/>
                <w:szCs w:val="14"/>
                <w:i w:val="1"/>
                <w:iCs w:val="1"/>
                <w:color w:val="auto"/>
              </w:rPr>
              <w:t>(5,572,366)</w:t>
            </w:r>
          </w:p>
        </w:tc>
        <w:tc>
          <w:tcPr>
            <w:tcW w:w="220" w:type="dxa"/>
            <w:vAlign w:val="bottom"/>
            <w:tcBorders>
              <w:top w:val="single" w:sz="8" w:color="3E8EDE"/>
            </w:tcBorders>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Borders>
              <w:top w:val="single" w:sz="8" w:color="3E8EDE"/>
            </w:tcBorders>
          </w:tcPr>
          <w:p>
            <w:pPr>
              <w:jc w:val="right"/>
              <w:ind w:right="31"/>
              <w:spacing w:after="0"/>
              <w:rPr>
                <w:sz w:val="20"/>
                <w:szCs w:val="20"/>
                <w:color w:val="auto"/>
              </w:rPr>
            </w:pPr>
            <w:r>
              <w:rPr>
                <w:rFonts w:ascii="Arial" w:cs="Arial" w:eastAsia="Arial" w:hAnsi="Arial"/>
                <w:sz w:val="14"/>
                <w:szCs w:val="14"/>
                <w:i w:val="1"/>
                <w:iCs w:val="1"/>
                <w:color w:val="auto"/>
              </w:rPr>
              <w:t>5,920,428</w:t>
            </w:r>
          </w:p>
        </w:tc>
      </w:tr>
      <w:tr>
        <w:trPr>
          <w:trHeight w:val="47"/>
        </w:trPr>
        <w:tc>
          <w:tcPr>
            <w:tcW w:w="5320" w:type="dxa"/>
            <w:vAlign w:val="bottom"/>
            <w:tcBorders>
              <w:bottom w:val="single" w:sz="8" w:color="3E8EDE"/>
            </w:tcBorders>
          </w:tcPr>
          <w:p>
            <w:pPr>
              <w:spacing w:after="0"/>
              <w:rPr>
                <w:sz w:val="4"/>
                <w:szCs w:val="4"/>
                <w:color w:val="auto"/>
              </w:rPr>
            </w:pPr>
          </w:p>
        </w:tc>
        <w:tc>
          <w:tcPr>
            <w:tcW w:w="160" w:type="dxa"/>
            <w:vAlign w:val="bottom"/>
            <w:tcBorders>
              <w:bottom w:val="single" w:sz="8" w:color="3E8EDE"/>
            </w:tcBorders>
          </w:tcPr>
          <w:p>
            <w:pPr>
              <w:spacing w:after="0"/>
              <w:rPr>
                <w:sz w:val="4"/>
                <w:szCs w:val="4"/>
                <w:color w:val="auto"/>
              </w:rPr>
            </w:pPr>
          </w:p>
        </w:tc>
        <w:tc>
          <w:tcPr>
            <w:tcW w:w="840" w:type="dxa"/>
            <w:vAlign w:val="bottom"/>
            <w:tcBorders>
              <w:bottom w:val="single" w:sz="8" w:color="3E8EDE"/>
            </w:tcBorders>
          </w:tcPr>
          <w:p>
            <w:pPr>
              <w:spacing w:after="0"/>
              <w:rPr>
                <w:sz w:val="4"/>
                <w:szCs w:val="4"/>
                <w:color w:val="auto"/>
              </w:rPr>
            </w:pPr>
          </w:p>
        </w:tc>
        <w:tc>
          <w:tcPr>
            <w:tcW w:w="200" w:type="dxa"/>
            <w:vAlign w:val="bottom"/>
            <w:tcBorders>
              <w:bottom w:val="single" w:sz="8" w:color="3E8EDE"/>
            </w:tcBorders>
          </w:tcPr>
          <w:p>
            <w:pPr>
              <w:spacing w:after="0"/>
              <w:rPr>
                <w:sz w:val="4"/>
                <w:szCs w:val="4"/>
                <w:color w:val="auto"/>
              </w:rPr>
            </w:pPr>
          </w:p>
        </w:tc>
        <w:tc>
          <w:tcPr>
            <w:tcW w:w="840" w:type="dxa"/>
            <w:vAlign w:val="bottom"/>
            <w:tcBorders>
              <w:bottom w:val="single" w:sz="8" w:color="3E8EDE"/>
            </w:tcBorders>
          </w:tcPr>
          <w:p>
            <w:pPr>
              <w:spacing w:after="0"/>
              <w:rPr>
                <w:sz w:val="4"/>
                <w:szCs w:val="4"/>
                <w:color w:val="auto"/>
              </w:rPr>
            </w:pPr>
          </w:p>
        </w:tc>
        <w:tc>
          <w:tcPr>
            <w:tcW w:w="220" w:type="dxa"/>
            <w:vAlign w:val="bottom"/>
            <w:tcBorders>
              <w:bottom w:val="single" w:sz="8" w:color="3E8EDE"/>
            </w:tcBorders>
          </w:tcPr>
          <w:p>
            <w:pPr>
              <w:spacing w:after="0"/>
              <w:rPr>
                <w:sz w:val="4"/>
                <w:szCs w:val="4"/>
                <w:color w:val="auto"/>
              </w:rPr>
            </w:pPr>
          </w:p>
        </w:tc>
        <w:tc>
          <w:tcPr>
            <w:tcW w:w="840" w:type="dxa"/>
            <w:vAlign w:val="bottom"/>
            <w:tcBorders>
              <w:bottom w:val="single" w:sz="8" w:color="3E8EDE"/>
            </w:tcBorders>
          </w:tcPr>
          <w:p>
            <w:pPr>
              <w:spacing w:after="0"/>
              <w:rPr>
                <w:sz w:val="4"/>
                <w:szCs w:val="4"/>
                <w:color w:val="auto"/>
              </w:rPr>
            </w:pPr>
          </w:p>
        </w:tc>
        <w:tc>
          <w:tcPr>
            <w:tcW w:w="220" w:type="dxa"/>
            <w:vAlign w:val="bottom"/>
            <w:tcBorders>
              <w:bottom w:val="single" w:sz="8" w:color="3E8EDE"/>
            </w:tcBorders>
          </w:tcPr>
          <w:p>
            <w:pPr>
              <w:spacing w:after="0"/>
              <w:rPr>
                <w:sz w:val="4"/>
                <w:szCs w:val="4"/>
                <w:color w:val="auto"/>
              </w:rPr>
            </w:pPr>
          </w:p>
        </w:tc>
        <w:tc>
          <w:tcPr>
            <w:tcW w:w="840" w:type="dxa"/>
            <w:vAlign w:val="bottom"/>
            <w:tcBorders>
              <w:bottom w:val="single" w:sz="8" w:color="3E8EDE"/>
            </w:tcBorders>
          </w:tcPr>
          <w:p>
            <w:pPr>
              <w:spacing w:after="0"/>
              <w:rPr>
                <w:sz w:val="4"/>
                <w:szCs w:val="4"/>
                <w:color w:val="auto"/>
              </w:rPr>
            </w:pPr>
          </w:p>
        </w:tc>
        <w:tc>
          <w:tcPr>
            <w:tcW w:w="220" w:type="dxa"/>
            <w:vAlign w:val="bottom"/>
            <w:tcBorders>
              <w:bottom w:val="single" w:sz="8" w:color="3E8EDE"/>
            </w:tcBorders>
          </w:tcPr>
          <w:p>
            <w:pPr>
              <w:spacing w:after="0"/>
              <w:rPr>
                <w:sz w:val="4"/>
                <w:szCs w:val="4"/>
                <w:color w:val="auto"/>
              </w:rPr>
            </w:pPr>
          </w:p>
        </w:tc>
        <w:tc>
          <w:tcPr>
            <w:tcW w:w="860" w:type="dxa"/>
            <w:vAlign w:val="bottom"/>
            <w:tcBorders>
              <w:bottom w:val="single" w:sz="8" w:color="3E8EDE"/>
            </w:tcBorders>
          </w:tcPr>
          <w:p>
            <w:pPr>
              <w:spacing w:after="0"/>
              <w:rPr>
                <w:sz w:val="4"/>
                <w:szCs w:val="4"/>
                <w:color w:val="auto"/>
              </w:rPr>
            </w:pPr>
          </w:p>
        </w:tc>
      </w:tr>
      <w:tr>
        <w:trPr>
          <w:trHeight w:val="245"/>
        </w:trPr>
        <w:tc>
          <w:tcPr>
            <w:tcW w:w="532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4"/>
                <w:szCs w:val="14"/>
                <w:color w:val="auto"/>
              </w:rPr>
              <w:t>For Walter M Rosebrough, Jr. (as PEO)</w:t>
            </w:r>
          </w:p>
        </w:tc>
        <w:tc>
          <w:tcPr>
            <w:tcW w:w="160" w:type="dxa"/>
            <w:vAlign w:val="bottom"/>
            <w:tcBorders>
              <w:bottom w:val="single" w:sz="8" w:color="E2EEFA"/>
            </w:tcBorders>
            <w:shd w:val="clear" w:color="auto" w:fill="E2EEFA"/>
          </w:tcPr>
          <w:p>
            <w:pPr>
              <w:spacing w:after="0"/>
              <w:rPr>
                <w:sz w:val="21"/>
                <w:szCs w:val="21"/>
                <w:color w:val="auto"/>
              </w:rPr>
            </w:pPr>
          </w:p>
        </w:tc>
        <w:tc>
          <w:tcPr>
            <w:tcW w:w="840" w:type="dxa"/>
            <w:vAlign w:val="bottom"/>
            <w:tcBorders>
              <w:bottom w:val="single" w:sz="8" w:color="E2EEFA"/>
            </w:tcBorders>
            <w:shd w:val="clear" w:color="auto" w:fill="E2EEFA"/>
          </w:tcPr>
          <w:p>
            <w:pPr>
              <w:spacing w:after="0"/>
              <w:rPr>
                <w:sz w:val="21"/>
                <w:szCs w:val="21"/>
                <w:color w:val="auto"/>
              </w:rPr>
            </w:pPr>
          </w:p>
        </w:tc>
        <w:tc>
          <w:tcPr>
            <w:tcW w:w="200" w:type="dxa"/>
            <w:vAlign w:val="bottom"/>
            <w:tcBorders>
              <w:bottom w:val="single" w:sz="8" w:color="E2EEFA"/>
            </w:tcBorders>
            <w:shd w:val="clear" w:color="auto" w:fill="E2EEFA"/>
          </w:tcPr>
          <w:p>
            <w:pPr>
              <w:spacing w:after="0"/>
              <w:rPr>
                <w:sz w:val="21"/>
                <w:szCs w:val="21"/>
                <w:color w:val="auto"/>
              </w:rPr>
            </w:pPr>
          </w:p>
        </w:tc>
        <w:tc>
          <w:tcPr>
            <w:tcW w:w="840" w:type="dxa"/>
            <w:vAlign w:val="bottom"/>
            <w:tcBorders>
              <w:bottom w:val="single" w:sz="8" w:color="E2EEFA"/>
            </w:tcBorders>
            <w:shd w:val="clear" w:color="auto" w:fill="E2EEFA"/>
          </w:tcPr>
          <w:p>
            <w:pPr>
              <w:spacing w:after="0"/>
              <w:rPr>
                <w:sz w:val="21"/>
                <w:szCs w:val="21"/>
                <w:color w:val="auto"/>
              </w:rPr>
            </w:pPr>
          </w:p>
        </w:tc>
        <w:tc>
          <w:tcPr>
            <w:tcW w:w="220" w:type="dxa"/>
            <w:vAlign w:val="bottom"/>
            <w:tcBorders>
              <w:bottom w:val="single" w:sz="8" w:color="E2EEFA"/>
            </w:tcBorders>
            <w:shd w:val="clear" w:color="auto" w:fill="E2EEFA"/>
          </w:tcPr>
          <w:p>
            <w:pPr>
              <w:spacing w:after="0"/>
              <w:rPr>
                <w:sz w:val="21"/>
                <w:szCs w:val="21"/>
                <w:color w:val="auto"/>
              </w:rPr>
            </w:pPr>
          </w:p>
        </w:tc>
        <w:tc>
          <w:tcPr>
            <w:tcW w:w="840" w:type="dxa"/>
            <w:vAlign w:val="bottom"/>
            <w:tcBorders>
              <w:bottom w:val="single" w:sz="8" w:color="E2EEFA"/>
            </w:tcBorders>
            <w:shd w:val="clear" w:color="auto" w:fill="E2EEFA"/>
          </w:tcPr>
          <w:p>
            <w:pPr>
              <w:spacing w:after="0"/>
              <w:rPr>
                <w:sz w:val="21"/>
                <w:szCs w:val="21"/>
                <w:color w:val="auto"/>
              </w:rPr>
            </w:pPr>
          </w:p>
        </w:tc>
        <w:tc>
          <w:tcPr>
            <w:tcW w:w="220" w:type="dxa"/>
            <w:vAlign w:val="bottom"/>
            <w:tcBorders>
              <w:bottom w:val="single" w:sz="8" w:color="E2EEFA"/>
            </w:tcBorders>
            <w:shd w:val="clear" w:color="auto" w:fill="E2EEFA"/>
          </w:tcPr>
          <w:p>
            <w:pPr>
              <w:spacing w:after="0"/>
              <w:rPr>
                <w:sz w:val="21"/>
                <w:szCs w:val="21"/>
                <w:color w:val="auto"/>
              </w:rPr>
            </w:pPr>
          </w:p>
        </w:tc>
        <w:tc>
          <w:tcPr>
            <w:tcW w:w="840" w:type="dxa"/>
            <w:vAlign w:val="bottom"/>
            <w:tcBorders>
              <w:bottom w:val="single" w:sz="8" w:color="E2EEFA"/>
            </w:tcBorders>
            <w:shd w:val="clear" w:color="auto" w:fill="E2EEFA"/>
          </w:tcPr>
          <w:p>
            <w:pPr>
              <w:spacing w:after="0"/>
              <w:rPr>
                <w:sz w:val="21"/>
                <w:szCs w:val="21"/>
                <w:color w:val="auto"/>
              </w:rPr>
            </w:pPr>
          </w:p>
        </w:tc>
        <w:tc>
          <w:tcPr>
            <w:tcW w:w="220" w:type="dxa"/>
            <w:vAlign w:val="bottom"/>
            <w:tcBorders>
              <w:bottom w:val="single" w:sz="8" w:color="E2EEFA"/>
            </w:tcBorders>
            <w:shd w:val="clear" w:color="auto" w:fill="E2EEFA"/>
          </w:tcPr>
          <w:p>
            <w:pPr>
              <w:spacing w:after="0"/>
              <w:rPr>
                <w:sz w:val="21"/>
                <w:szCs w:val="21"/>
                <w:color w:val="auto"/>
              </w:rPr>
            </w:pPr>
          </w:p>
        </w:tc>
        <w:tc>
          <w:tcPr>
            <w:tcW w:w="860" w:type="dxa"/>
            <w:vAlign w:val="bottom"/>
            <w:tcBorders>
              <w:bottom w:val="single" w:sz="8" w:color="E2EEFA"/>
            </w:tcBorders>
            <w:shd w:val="clear" w:color="auto" w:fill="E2EEFA"/>
          </w:tcPr>
          <w:p>
            <w:pPr>
              <w:spacing w:after="0"/>
              <w:rPr>
                <w:sz w:val="21"/>
                <w:szCs w:val="21"/>
                <w:color w:val="auto"/>
              </w:rPr>
            </w:pPr>
          </w:p>
        </w:tc>
      </w:tr>
      <w:tr>
        <w:trPr>
          <w:trHeight w:val="238"/>
        </w:trPr>
        <w:tc>
          <w:tcPr>
            <w:tcW w:w="5320" w:type="dxa"/>
            <w:vAlign w:val="bottom"/>
          </w:tcPr>
          <w:p>
            <w:pPr>
              <w:ind w:left="200"/>
              <w:spacing w:after="0"/>
              <w:rPr>
                <w:sz w:val="20"/>
                <w:szCs w:val="20"/>
                <w:color w:val="auto"/>
              </w:rPr>
            </w:pPr>
            <w:r>
              <w:rPr>
                <w:rFonts w:ascii="Arial" w:cs="Arial" w:eastAsia="Arial" w:hAnsi="Arial"/>
                <w:sz w:val="14"/>
                <w:szCs w:val="14"/>
                <w:i w:val="1"/>
                <w:iCs w:val="1"/>
                <w:color w:val="auto"/>
              </w:rPr>
              <w:t>- SCT “Stock Awards” column value</w:t>
            </w:r>
          </w:p>
        </w:tc>
        <w:tc>
          <w:tcPr>
            <w:tcW w:w="16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0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r>
      <w:tr>
        <w:trPr>
          <w:trHeight w:val="47"/>
        </w:trPr>
        <w:tc>
          <w:tcPr>
            <w:tcW w:w="5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65"/>
        </w:trPr>
        <w:tc>
          <w:tcPr>
            <w:tcW w:w="5320" w:type="dxa"/>
            <w:vAlign w:val="bottom"/>
            <w:tcBorders>
              <w:bottom w:val="single" w:sz="8" w:color="E2EEFA"/>
            </w:tcBorders>
            <w:shd w:val="clear" w:color="auto" w:fill="E2EEFA"/>
          </w:tcPr>
          <w:p>
            <w:pPr>
              <w:ind w:left="200"/>
              <w:spacing w:after="0"/>
              <w:rPr>
                <w:sz w:val="20"/>
                <w:szCs w:val="20"/>
                <w:color w:val="auto"/>
              </w:rPr>
            </w:pPr>
            <w:r>
              <w:rPr>
                <w:rFonts w:ascii="Arial" w:cs="Arial" w:eastAsia="Arial" w:hAnsi="Arial"/>
                <w:sz w:val="14"/>
                <w:szCs w:val="14"/>
                <w:i w:val="1"/>
                <w:iCs w:val="1"/>
                <w:color w:val="auto"/>
              </w:rPr>
              <w:t>- SCT “Option Awards” column value</w:t>
            </w:r>
          </w:p>
        </w:tc>
        <w:tc>
          <w:tcPr>
            <w:tcW w:w="160" w:type="dxa"/>
            <w:vAlign w:val="bottom"/>
            <w:tcBorders>
              <w:bottom w:val="single" w:sz="8" w:color="E2EEFA"/>
            </w:tcBorders>
            <w:shd w:val="clear" w:color="auto" w:fill="E2EEFA"/>
          </w:tcPr>
          <w:p>
            <w:pPr>
              <w:spacing w:after="0"/>
              <w:rPr>
                <w:sz w:val="23"/>
                <w:szCs w:val="23"/>
                <w:color w:val="auto"/>
              </w:rPr>
            </w:pP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200" w:type="dxa"/>
            <w:vAlign w:val="bottom"/>
            <w:tcBorders>
              <w:bottom w:val="single" w:sz="8" w:color="E2EEFA"/>
            </w:tcBorders>
            <w:shd w:val="clear" w:color="auto" w:fill="E2EEFA"/>
          </w:tcPr>
          <w:p>
            <w:pPr>
              <w:spacing w:after="0"/>
              <w:rPr>
                <w:sz w:val="23"/>
                <w:szCs w:val="23"/>
                <w:color w:val="auto"/>
              </w:rPr>
            </w:pP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E2EEFA"/>
            </w:tcBorders>
            <w:shd w:val="clear" w:color="auto" w:fill="E2EEFA"/>
          </w:tcPr>
          <w:p>
            <w:pPr>
              <w:spacing w:after="0"/>
              <w:rPr>
                <w:sz w:val="23"/>
                <w:szCs w:val="23"/>
                <w:color w:val="auto"/>
              </w:rPr>
            </w:pP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E2EEFA"/>
            </w:tcBorders>
            <w:shd w:val="clear" w:color="auto" w:fill="E2EEFA"/>
          </w:tcPr>
          <w:p>
            <w:pPr>
              <w:spacing w:after="0"/>
              <w:rPr>
                <w:sz w:val="23"/>
                <w:szCs w:val="23"/>
                <w:color w:val="auto"/>
              </w:rPr>
            </w:pP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E2EEFA"/>
            </w:tcBorders>
            <w:shd w:val="clear" w:color="auto" w:fill="E2EEFA"/>
          </w:tcPr>
          <w:p>
            <w:pPr>
              <w:spacing w:after="0"/>
              <w:rPr>
                <w:sz w:val="23"/>
                <w:szCs w:val="23"/>
                <w:color w:val="auto"/>
              </w:rPr>
            </w:pPr>
          </w:p>
        </w:tc>
        <w:tc>
          <w:tcPr>
            <w:tcW w:w="86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r>
      <w:tr>
        <w:trPr>
          <w:trHeight w:val="238"/>
        </w:trPr>
        <w:tc>
          <w:tcPr>
            <w:tcW w:w="5320" w:type="dxa"/>
            <w:vAlign w:val="bottom"/>
          </w:tcPr>
          <w:p>
            <w:pPr>
              <w:ind w:left="200"/>
              <w:spacing w:after="0"/>
              <w:rPr>
                <w:sz w:val="20"/>
                <w:szCs w:val="20"/>
                <w:color w:val="auto"/>
              </w:rPr>
            </w:pPr>
            <w:r>
              <w:rPr>
                <w:rFonts w:ascii="Arial" w:cs="Arial" w:eastAsia="Arial" w:hAnsi="Arial"/>
                <w:sz w:val="14"/>
                <w:szCs w:val="14"/>
                <w:i w:val="1"/>
                <w:iCs w:val="1"/>
                <w:color w:val="auto"/>
              </w:rPr>
              <w:t>+ year-end fair value of outstanding equity awards granted in Covered Year</w:t>
            </w:r>
          </w:p>
        </w:tc>
        <w:tc>
          <w:tcPr>
            <w:tcW w:w="16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0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r>
      <w:tr>
        <w:trPr>
          <w:trHeight w:val="47"/>
        </w:trPr>
        <w:tc>
          <w:tcPr>
            <w:tcW w:w="5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65"/>
        </w:trPr>
        <w:tc>
          <w:tcPr>
            <w:tcW w:w="5320" w:type="dxa"/>
            <w:vAlign w:val="bottom"/>
            <w:tcBorders>
              <w:bottom w:val="single" w:sz="8" w:color="E2EEFA"/>
            </w:tcBorders>
            <w:shd w:val="clear" w:color="auto" w:fill="E2EEFA"/>
          </w:tcPr>
          <w:p>
            <w:pPr>
              <w:ind w:left="200"/>
              <w:spacing w:after="0"/>
              <w:rPr>
                <w:sz w:val="20"/>
                <w:szCs w:val="20"/>
                <w:color w:val="auto"/>
              </w:rPr>
            </w:pPr>
            <w:r>
              <w:rPr>
                <w:rFonts w:ascii="Arial" w:cs="Arial" w:eastAsia="Arial" w:hAnsi="Arial"/>
                <w:sz w:val="14"/>
                <w:szCs w:val="14"/>
                <w:i w:val="1"/>
                <w:iCs w:val="1"/>
                <w:color w:val="auto"/>
              </w:rPr>
              <w:t>+/- change in fair value of outstanding equity awards granted in prior years</w:t>
            </w:r>
          </w:p>
        </w:tc>
        <w:tc>
          <w:tcPr>
            <w:tcW w:w="160" w:type="dxa"/>
            <w:vAlign w:val="bottom"/>
            <w:tcBorders>
              <w:bottom w:val="single" w:sz="8" w:color="E2EEFA"/>
            </w:tcBorders>
            <w:shd w:val="clear" w:color="auto" w:fill="E2EEFA"/>
          </w:tcPr>
          <w:p>
            <w:pPr>
              <w:spacing w:after="0"/>
              <w:rPr>
                <w:sz w:val="23"/>
                <w:szCs w:val="23"/>
                <w:color w:val="auto"/>
              </w:rPr>
            </w:pP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200" w:type="dxa"/>
            <w:vAlign w:val="bottom"/>
            <w:tcBorders>
              <w:bottom w:val="single" w:sz="8" w:color="E2EEFA"/>
            </w:tcBorders>
            <w:shd w:val="clear" w:color="auto" w:fill="E2EEFA"/>
          </w:tcPr>
          <w:p>
            <w:pPr>
              <w:spacing w:after="0"/>
              <w:rPr>
                <w:sz w:val="23"/>
                <w:szCs w:val="23"/>
                <w:color w:val="auto"/>
              </w:rPr>
            </w:pP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E2EEFA"/>
            </w:tcBorders>
            <w:shd w:val="clear" w:color="auto" w:fill="E2EEFA"/>
          </w:tcPr>
          <w:p>
            <w:pPr>
              <w:spacing w:after="0"/>
              <w:rPr>
                <w:sz w:val="23"/>
                <w:szCs w:val="23"/>
                <w:color w:val="auto"/>
              </w:rPr>
            </w:pP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E2EEFA"/>
            </w:tcBorders>
            <w:shd w:val="clear" w:color="auto" w:fill="E2EEFA"/>
          </w:tcPr>
          <w:p>
            <w:pPr>
              <w:spacing w:after="0"/>
              <w:rPr>
                <w:sz w:val="23"/>
                <w:szCs w:val="23"/>
                <w:color w:val="auto"/>
              </w:rPr>
            </w:pP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8,482,009</w:t>
            </w:r>
          </w:p>
        </w:tc>
      </w:tr>
      <w:tr>
        <w:trPr>
          <w:trHeight w:val="238"/>
        </w:trPr>
        <w:tc>
          <w:tcPr>
            <w:tcW w:w="5320" w:type="dxa"/>
            <w:vAlign w:val="bottom"/>
          </w:tcPr>
          <w:p>
            <w:pPr>
              <w:ind w:left="200"/>
              <w:spacing w:after="0"/>
              <w:rPr>
                <w:sz w:val="20"/>
                <w:szCs w:val="20"/>
                <w:color w:val="auto"/>
              </w:rPr>
            </w:pPr>
            <w:r>
              <w:rPr>
                <w:rFonts w:ascii="Arial" w:cs="Arial" w:eastAsia="Arial" w:hAnsi="Arial"/>
                <w:sz w:val="14"/>
                <w:szCs w:val="14"/>
                <w:i w:val="1"/>
                <w:iCs w:val="1"/>
                <w:color w:val="auto"/>
              </w:rPr>
              <w:t>+ vesting date fair value of equity awards granted and vested in Covered Year</w:t>
            </w:r>
          </w:p>
        </w:tc>
        <w:tc>
          <w:tcPr>
            <w:tcW w:w="16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0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r>
      <w:tr>
        <w:trPr>
          <w:trHeight w:val="47"/>
        </w:trPr>
        <w:tc>
          <w:tcPr>
            <w:tcW w:w="5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65"/>
        </w:trPr>
        <w:tc>
          <w:tcPr>
            <w:tcW w:w="5320" w:type="dxa"/>
            <w:vAlign w:val="bottom"/>
            <w:tcBorders>
              <w:bottom w:val="single" w:sz="8" w:color="E2EEFA"/>
            </w:tcBorders>
            <w:shd w:val="clear" w:color="auto" w:fill="E2EEFA"/>
          </w:tcPr>
          <w:p>
            <w:pPr>
              <w:ind w:left="200"/>
              <w:spacing w:after="0"/>
              <w:rPr>
                <w:sz w:val="20"/>
                <w:szCs w:val="20"/>
                <w:color w:val="auto"/>
              </w:rPr>
            </w:pPr>
            <w:r>
              <w:rPr>
                <w:rFonts w:ascii="Arial" w:cs="Arial" w:eastAsia="Arial" w:hAnsi="Arial"/>
                <w:sz w:val="14"/>
                <w:szCs w:val="14"/>
                <w:i w:val="1"/>
                <w:iCs w:val="1"/>
                <w:color w:val="auto"/>
              </w:rPr>
              <w:t>+/- change in fair value of prior-year equity awards vested in Covered Year</w:t>
            </w:r>
          </w:p>
        </w:tc>
        <w:tc>
          <w:tcPr>
            <w:tcW w:w="160" w:type="dxa"/>
            <w:vAlign w:val="bottom"/>
            <w:tcBorders>
              <w:bottom w:val="single" w:sz="8" w:color="E2EEFA"/>
            </w:tcBorders>
            <w:shd w:val="clear" w:color="auto" w:fill="E2EEFA"/>
          </w:tcPr>
          <w:p>
            <w:pPr>
              <w:spacing w:after="0"/>
              <w:rPr>
                <w:sz w:val="23"/>
                <w:szCs w:val="23"/>
                <w:color w:val="auto"/>
              </w:rPr>
            </w:pP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200" w:type="dxa"/>
            <w:vAlign w:val="bottom"/>
            <w:tcBorders>
              <w:bottom w:val="single" w:sz="8" w:color="E2EEFA"/>
            </w:tcBorders>
            <w:shd w:val="clear" w:color="auto" w:fill="E2EEFA"/>
          </w:tcPr>
          <w:p>
            <w:pPr>
              <w:spacing w:after="0"/>
              <w:rPr>
                <w:sz w:val="23"/>
                <w:szCs w:val="23"/>
                <w:color w:val="auto"/>
              </w:rPr>
            </w:pP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E2EEFA"/>
            </w:tcBorders>
            <w:shd w:val="clear" w:color="auto" w:fill="E2EEFA"/>
          </w:tcPr>
          <w:p>
            <w:pPr>
              <w:spacing w:after="0"/>
              <w:rPr>
                <w:sz w:val="23"/>
                <w:szCs w:val="23"/>
                <w:color w:val="auto"/>
              </w:rPr>
            </w:pP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E2EEFA"/>
            </w:tcBorders>
            <w:shd w:val="clear" w:color="auto" w:fill="E2EEFA"/>
          </w:tcPr>
          <w:p>
            <w:pPr>
              <w:spacing w:after="0"/>
              <w:rPr>
                <w:sz w:val="23"/>
                <w:szCs w:val="23"/>
                <w:color w:val="auto"/>
              </w:rPr>
            </w:pP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(87,822)</w:t>
            </w:r>
          </w:p>
        </w:tc>
      </w:tr>
      <w:tr>
        <w:trPr>
          <w:trHeight w:val="238"/>
        </w:trPr>
        <w:tc>
          <w:tcPr>
            <w:tcW w:w="5320" w:type="dxa"/>
            <w:vAlign w:val="bottom"/>
          </w:tcPr>
          <w:p>
            <w:pPr>
              <w:ind w:left="200"/>
              <w:spacing w:after="0"/>
              <w:rPr>
                <w:sz w:val="20"/>
                <w:szCs w:val="20"/>
                <w:color w:val="auto"/>
              </w:rPr>
            </w:pPr>
            <w:r>
              <w:rPr>
                <w:rFonts w:ascii="Arial" w:cs="Arial" w:eastAsia="Arial" w:hAnsi="Arial"/>
                <w:sz w:val="14"/>
                <w:szCs w:val="14"/>
                <w:i w:val="1"/>
                <w:iCs w:val="1"/>
                <w:color w:val="auto"/>
              </w:rPr>
              <w:t>- prior year-end fair value of prior-year equity awards forfeited in Covered Year</w:t>
            </w:r>
          </w:p>
        </w:tc>
        <w:tc>
          <w:tcPr>
            <w:tcW w:w="16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0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r>
      <w:tr>
        <w:trPr>
          <w:trHeight w:val="47"/>
        </w:trPr>
        <w:tc>
          <w:tcPr>
            <w:tcW w:w="5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90"/>
        </w:trPr>
        <w:tc>
          <w:tcPr>
            <w:tcW w:w="5320" w:type="dxa"/>
            <w:vAlign w:val="bottom"/>
            <w:tcBorders>
              <w:bottom w:val="single" w:sz="8" w:color="E2EEFA"/>
            </w:tcBorders>
            <w:shd w:val="clear" w:color="auto" w:fill="E2EEFA"/>
          </w:tcPr>
          <w:p>
            <w:pPr>
              <w:ind w:left="200"/>
              <w:spacing w:after="0"/>
              <w:rPr>
                <w:sz w:val="20"/>
                <w:szCs w:val="20"/>
                <w:color w:val="auto"/>
              </w:rPr>
            </w:pPr>
            <w:r>
              <w:rPr>
                <w:rFonts w:ascii="Arial" w:cs="Arial" w:eastAsia="Arial" w:hAnsi="Arial"/>
                <w:sz w:val="14"/>
                <w:szCs w:val="14"/>
                <w:i w:val="1"/>
                <w:iCs w:val="1"/>
                <w:color w:val="auto"/>
              </w:rPr>
              <w:t>+ includable dividends/earnings on equity awards during Covered Year</w:t>
            </w:r>
          </w:p>
        </w:tc>
        <w:tc>
          <w:tcPr>
            <w:tcW w:w="160" w:type="dxa"/>
            <w:vAlign w:val="bottom"/>
            <w:tcBorders>
              <w:bottom w:val="single" w:sz="8" w:color="E2EEFA"/>
            </w:tcBorders>
            <w:shd w:val="clear" w:color="auto" w:fill="E2EEFA"/>
          </w:tcPr>
          <w:p>
            <w:pPr>
              <w:spacing w:after="0"/>
              <w:rPr>
                <w:sz w:val="24"/>
                <w:szCs w:val="24"/>
                <w:color w:val="auto"/>
              </w:rPr>
            </w:pP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200" w:type="dxa"/>
            <w:vAlign w:val="bottom"/>
            <w:tcBorders>
              <w:bottom w:val="single" w:sz="8" w:color="E2EEFA"/>
            </w:tcBorders>
            <w:shd w:val="clear" w:color="auto" w:fill="E2EEFA"/>
          </w:tcPr>
          <w:p>
            <w:pPr>
              <w:spacing w:after="0"/>
              <w:rPr>
                <w:sz w:val="24"/>
                <w:szCs w:val="24"/>
                <w:color w:val="auto"/>
              </w:rPr>
            </w:pP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E2EEFA"/>
            </w:tcBorders>
            <w:shd w:val="clear" w:color="auto" w:fill="E2EEFA"/>
          </w:tcPr>
          <w:p>
            <w:pPr>
              <w:spacing w:after="0"/>
              <w:rPr>
                <w:sz w:val="24"/>
                <w:szCs w:val="24"/>
                <w:color w:val="auto"/>
              </w:rPr>
            </w:pP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E2EEFA"/>
            </w:tcBorders>
            <w:shd w:val="clear" w:color="auto" w:fill="E2EEFA"/>
          </w:tcPr>
          <w:p>
            <w:pPr>
              <w:spacing w:after="0"/>
              <w:rPr>
                <w:sz w:val="24"/>
                <w:szCs w:val="24"/>
                <w:color w:val="auto"/>
              </w:rPr>
            </w:pP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34,333</w:t>
            </w:r>
          </w:p>
        </w:tc>
      </w:tr>
      <w:tr>
        <w:trPr>
          <w:trHeight w:val="218"/>
        </w:trPr>
        <w:tc>
          <w:tcPr>
            <w:tcW w:w="5320" w:type="dxa"/>
            <w:vAlign w:val="bottom"/>
            <w:tcBorders>
              <w:top w:val="single" w:sz="8" w:color="3E8EDE"/>
            </w:tcBorders>
          </w:tcPr>
          <w:p>
            <w:pPr>
              <w:ind w:left="3400"/>
              <w:spacing w:after="0"/>
              <w:rPr>
                <w:sz w:val="20"/>
                <w:szCs w:val="20"/>
                <w:color w:val="auto"/>
              </w:rPr>
            </w:pPr>
            <w:r>
              <w:rPr>
                <w:rFonts w:ascii="Arial" w:cs="Arial" w:eastAsia="Arial" w:hAnsi="Arial"/>
                <w:sz w:val="14"/>
                <w:szCs w:val="14"/>
                <w:i w:val="1"/>
                <w:iCs w:val="1"/>
                <w:color w:val="auto"/>
                <w:w w:val="98"/>
              </w:rPr>
              <w:t>TOTAL ADDED (DEDUCTED):</w:t>
            </w:r>
          </w:p>
        </w:tc>
        <w:tc>
          <w:tcPr>
            <w:tcW w:w="160" w:type="dxa"/>
            <w:vAlign w:val="bottom"/>
            <w:tcBorders>
              <w:top w:val="single" w:sz="8" w:color="3E8EDE"/>
            </w:tcBorders>
          </w:tcPr>
          <w:p>
            <w:pPr>
              <w:spacing w:after="0"/>
              <w:rPr>
                <w:sz w:val="18"/>
                <w:szCs w:val="18"/>
                <w:color w:val="auto"/>
              </w:rPr>
            </w:pPr>
          </w:p>
        </w:tc>
        <w:tc>
          <w:tcPr>
            <w:tcW w:w="840" w:type="dxa"/>
            <w:vAlign w:val="bottom"/>
            <w:tcBorders>
              <w:top w:val="single" w:sz="8" w:color="3E8EDE"/>
            </w:tcBorders>
          </w:tcPr>
          <w:p>
            <w:pPr>
              <w:jc w:val="right"/>
              <w:ind w:right="31"/>
              <w:spacing w:after="0"/>
              <w:rPr>
                <w:sz w:val="20"/>
                <w:szCs w:val="20"/>
                <w:color w:val="auto"/>
              </w:rPr>
            </w:pPr>
            <w:r>
              <w:rPr>
                <w:rFonts w:ascii="Arial" w:cs="Arial" w:eastAsia="Arial" w:hAnsi="Arial"/>
                <w:sz w:val="14"/>
                <w:szCs w:val="14"/>
                <w:i w:val="1"/>
                <w:iCs w:val="1"/>
                <w:color w:val="auto"/>
              </w:rPr>
              <w:t>—</w:t>
            </w:r>
          </w:p>
        </w:tc>
        <w:tc>
          <w:tcPr>
            <w:tcW w:w="200" w:type="dxa"/>
            <w:vAlign w:val="bottom"/>
            <w:tcBorders>
              <w:top w:val="single" w:sz="8" w:color="3E8EDE"/>
            </w:tcBorders>
          </w:tcPr>
          <w:p>
            <w:pPr>
              <w:spacing w:after="0"/>
              <w:rPr>
                <w:sz w:val="18"/>
                <w:szCs w:val="18"/>
                <w:color w:val="auto"/>
              </w:rPr>
            </w:pPr>
          </w:p>
        </w:tc>
        <w:tc>
          <w:tcPr>
            <w:tcW w:w="840" w:type="dxa"/>
            <w:vAlign w:val="bottom"/>
            <w:tcBorders>
              <w:top w:val="single" w:sz="8" w:color="3E8EDE"/>
            </w:tcBorders>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Borders>
              <w:top w:val="single" w:sz="8" w:color="3E8EDE"/>
            </w:tcBorders>
          </w:tcPr>
          <w:p>
            <w:pPr>
              <w:spacing w:after="0"/>
              <w:rPr>
                <w:sz w:val="18"/>
                <w:szCs w:val="18"/>
                <w:color w:val="auto"/>
              </w:rPr>
            </w:pPr>
          </w:p>
        </w:tc>
        <w:tc>
          <w:tcPr>
            <w:tcW w:w="840" w:type="dxa"/>
            <w:vAlign w:val="bottom"/>
            <w:tcBorders>
              <w:top w:val="single" w:sz="8" w:color="3E8EDE"/>
            </w:tcBorders>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Borders>
              <w:top w:val="single" w:sz="8" w:color="3E8EDE"/>
            </w:tcBorders>
          </w:tcPr>
          <w:p>
            <w:pPr>
              <w:spacing w:after="0"/>
              <w:rPr>
                <w:sz w:val="18"/>
                <w:szCs w:val="18"/>
                <w:color w:val="auto"/>
              </w:rPr>
            </w:pPr>
          </w:p>
        </w:tc>
        <w:tc>
          <w:tcPr>
            <w:tcW w:w="840" w:type="dxa"/>
            <w:vAlign w:val="bottom"/>
            <w:tcBorders>
              <w:top w:val="single" w:sz="8" w:color="3E8EDE"/>
            </w:tcBorders>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Borders>
              <w:top w:val="single" w:sz="8" w:color="3E8EDE"/>
            </w:tcBorders>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Borders>
              <w:top w:val="single" w:sz="8" w:color="3E8EDE"/>
            </w:tcBorders>
          </w:tcPr>
          <w:p>
            <w:pPr>
              <w:jc w:val="right"/>
              <w:ind w:right="31"/>
              <w:spacing w:after="0"/>
              <w:rPr>
                <w:sz w:val="20"/>
                <w:szCs w:val="20"/>
                <w:color w:val="auto"/>
              </w:rPr>
            </w:pPr>
            <w:r>
              <w:rPr>
                <w:rFonts w:ascii="Arial" w:cs="Arial" w:eastAsia="Arial" w:hAnsi="Arial"/>
                <w:sz w:val="14"/>
                <w:szCs w:val="14"/>
                <w:i w:val="1"/>
                <w:iCs w:val="1"/>
                <w:color w:val="auto"/>
              </w:rPr>
              <w:t>8,428,520</w:t>
            </w:r>
          </w:p>
        </w:tc>
      </w:tr>
      <w:tr>
        <w:trPr>
          <w:trHeight w:val="47"/>
        </w:trPr>
        <w:tc>
          <w:tcPr>
            <w:tcW w:w="5320" w:type="dxa"/>
            <w:vAlign w:val="bottom"/>
            <w:tcBorders>
              <w:bottom w:val="single" w:sz="8" w:color="3E8EDE"/>
            </w:tcBorders>
          </w:tcPr>
          <w:p>
            <w:pPr>
              <w:spacing w:after="0"/>
              <w:rPr>
                <w:sz w:val="4"/>
                <w:szCs w:val="4"/>
                <w:color w:val="auto"/>
              </w:rPr>
            </w:pPr>
          </w:p>
        </w:tc>
        <w:tc>
          <w:tcPr>
            <w:tcW w:w="160" w:type="dxa"/>
            <w:vAlign w:val="bottom"/>
            <w:tcBorders>
              <w:bottom w:val="single" w:sz="8" w:color="3E8EDE"/>
            </w:tcBorders>
          </w:tcPr>
          <w:p>
            <w:pPr>
              <w:spacing w:after="0"/>
              <w:rPr>
                <w:sz w:val="4"/>
                <w:szCs w:val="4"/>
                <w:color w:val="auto"/>
              </w:rPr>
            </w:pPr>
          </w:p>
        </w:tc>
        <w:tc>
          <w:tcPr>
            <w:tcW w:w="840" w:type="dxa"/>
            <w:vAlign w:val="bottom"/>
            <w:tcBorders>
              <w:bottom w:val="single" w:sz="8" w:color="3E8EDE"/>
            </w:tcBorders>
          </w:tcPr>
          <w:p>
            <w:pPr>
              <w:spacing w:after="0"/>
              <w:rPr>
                <w:sz w:val="4"/>
                <w:szCs w:val="4"/>
                <w:color w:val="auto"/>
              </w:rPr>
            </w:pPr>
          </w:p>
        </w:tc>
        <w:tc>
          <w:tcPr>
            <w:tcW w:w="200" w:type="dxa"/>
            <w:vAlign w:val="bottom"/>
            <w:tcBorders>
              <w:bottom w:val="single" w:sz="8" w:color="3E8EDE"/>
            </w:tcBorders>
          </w:tcPr>
          <w:p>
            <w:pPr>
              <w:spacing w:after="0"/>
              <w:rPr>
                <w:sz w:val="4"/>
                <w:szCs w:val="4"/>
                <w:color w:val="auto"/>
              </w:rPr>
            </w:pPr>
          </w:p>
        </w:tc>
        <w:tc>
          <w:tcPr>
            <w:tcW w:w="840" w:type="dxa"/>
            <w:vAlign w:val="bottom"/>
            <w:tcBorders>
              <w:bottom w:val="single" w:sz="8" w:color="3E8EDE"/>
            </w:tcBorders>
          </w:tcPr>
          <w:p>
            <w:pPr>
              <w:spacing w:after="0"/>
              <w:rPr>
                <w:sz w:val="4"/>
                <w:szCs w:val="4"/>
                <w:color w:val="auto"/>
              </w:rPr>
            </w:pPr>
          </w:p>
        </w:tc>
        <w:tc>
          <w:tcPr>
            <w:tcW w:w="220" w:type="dxa"/>
            <w:vAlign w:val="bottom"/>
            <w:tcBorders>
              <w:bottom w:val="single" w:sz="8" w:color="3E8EDE"/>
            </w:tcBorders>
          </w:tcPr>
          <w:p>
            <w:pPr>
              <w:spacing w:after="0"/>
              <w:rPr>
                <w:sz w:val="4"/>
                <w:szCs w:val="4"/>
                <w:color w:val="auto"/>
              </w:rPr>
            </w:pPr>
          </w:p>
        </w:tc>
        <w:tc>
          <w:tcPr>
            <w:tcW w:w="840" w:type="dxa"/>
            <w:vAlign w:val="bottom"/>
            <w:tcBorders>
              <w:bottom w:val="single" w:sz="8" w:color="3E8EDE"/>
            </w:tcBorders>
          </w:tcPr>
          <w:p>
            <w:pPr>
              <w:spacing w:after="0"/>
              <w:rPr>
                <w:sz w:val="4"/>
                <w:szCs w:val="4"/>
                <w:color w:val="auto"/>
              </w:rPr>
            </w:pPr>
          </w:p>
        </w:tc>
        <w:tc>
          <w:tcPr>
            <w:tcW w:w="220" w:type="dxa"/>
            <w:vAlign w:val="bottom"/>
            <w:tcBorders>
              <w:bottom w:val="single" w:sz="8" w:color="3E8EDE"/>
            </w:tcBorders>
          </w:tcPr>
          <w:p>
            <w:pPr>
              <w:spacing w:after="0"/>
              <w:rPr>
                <w:sz w:val="4"/>
                <w:szCs w:val="4"/>
                <w:color w:val="auto"/>
              </w:rPr>
            </w:pPr>
          </w:p>
        </w:tc>
        <w:tc>
          <w:tcPr>
            <w:tcW w:w="840" w:type="dxa"/>
            <w:vAlign w:val="bottom"/>
            <w:tcBorders>
              <w:bottom w:val="single" w:sz="8" w:color="3E8EDE"/>
            </w:tcBorders>
          </w:tcPr>
          <w:p>
            <w:pPr>
              <w:spacing w:after="0"/>
              <w:rPr>
                <w:sz w:val="4"/>
                <w:szCs w:val="4"/>
                <w:color w:val="auto"/>
              </w:rPr>
            </w:pPr>
          </w:p>
        </w:tc>
        <w:tc>
          <w:tcPr>
            <w:tcW w:w="220" w:type="dxa"/>
            <w:vAlign w:val="bottom"/>
            <w:tcBorders>
              <w:bottom w:val="single" w:sz="8" w:color="3E8EDE"/>
            </w:tcBorders>
          </w:tcPr>
          <w:p>
            <w:pPr>
              <w:spacing w:after="0"/>
              <w:rPr>
                <w:sz w:val="4"/>
                <w:szCs w:val="4"/>
                <w:color w:val="auto"/>
              </w:rPr>
            </w:pPr>
          </w:p>
        </w:tc>
        <w:tc>
          <w:tcPr>
            <w:tcW w:w="860" w:type="dxa"/>
            <w:vAlign w:val="bottom"/>
            <w:tcBorders>
              <w:bottom w:val="single" w:sz="8" w:color="3E8EDE"/>
            </w:tcBorders>
          </w:tcPr>
          <w:p>
            <w:pPr>
              <w:spacing w:after="0"/>
              <w:rPr>
                <w:sz w:val="4"/>
                <w:szCs w:val="4"/>
                <w:color w:val="auto"/>
              </w:rPr>
            </w:pPr>
          </w:p>
        </w:tc>
      </w:tr>
      <w:tr>
        <w:trPr>
          <w:trHeight w:val="245"/>
        </w:trPr>
        <w:tc>
          <w:tcPr>
            <w:tcW w:w="532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4"/>
                <w:szCs w:val="14"/>
                <w:color w:val="auto"/>
              </w:rPr>
              <w:t>For Non-PEO Named Executive Officers (Average):</w:t>
            </w:r>
          </w:p>
        </w:tc>
        <w:tc>
          <w:tcPr>
            <w:tcW w:w="160" w:type="dxa"/>
            <w:vAlign w:val="bottom"/>
            <w:tcBorders>
              <w:bottom w:val="single" w:sz="8" w:color="E2EEFA"/>
            </w:tcBorders>
            <w:shd w:val="clear" w:color="auto" w:fill="E2EEFA"/>
          </w:tcPr>
          <w:p>
            <w:pPr>
              <w:spacing w:after="0"/>
              <w:rPr>
                <w:sz w:val="21"/>
                <w:szCs w:val="21"/>
                <w:color w:val="auto"/>
              </w:rPr>
            </w:pPr>
          </w:p>
        </w:tc>
        <w:tc>
          <w:tcPr>
            <w:tcW w:w="840" w:type="dxa"/>
            <w:vAlign w:val="bottom"/>
            <w:tcBorders>
              <w:bottom w:val="single" w:sz="8" w:color="E2EEFA"/>
            </w:tcBorders>
            <w:shd w:val="clear" w:color="auto" w:fill="E2EEFA"/>
          </w:tcPr>
          <w:p>
            <w:pPr>
              <w:spacing w:after="0"/>
              <w:rPr>
                <w:sz w:val="21"/>
                <w:szCs w:val="21"/>
                <w:color w:val="auto"/>
              </w:rPr>
            </w:pPr>
          </w:p>
        </w:tc>
        <w:tc>
          <w:tcPr>
            <w:tcW w:w="200" w:type="dxa"/>
            <w:vAlign w:val="bottom"/>
            <w:tcBorders>
              <w:bottom w:val="single" w:sz="8" w:color="E2EEFA"/>
            </w:tcBorders>
            <w:shd w:val="clear" w:color="auto" w:fill="E2EEFA"/>
          </w:tcPr>
          <w:p>
            <w:pPr>
              <w:spacing w:after="0"/>
              <w:rPr>
                <w:sz w:val="21"/>
                <w:szCs w:val="21"/>
                <w:color w:val="auto"/>
              </w:rPr>
            </w:pPr>
          </w:p>
        </w:tc>
        <w:tc>
          <w:tcPr>
            <w:tcW w:w="840" w:type="dxa"/>
            <w:vAlign w:val="bottom"/>
            <w:tcBorders>
              <w:bottom w:val="single" w:sz="8" w:color="E2EEFA"/>
            </w:tcBorders>
            <w:shd w:val="clear" w:color="auto" w:fill="E2EEFA"/>
          </w:tcPr>
          <w:p>
            <w:pPr>
              <w:spacing w:after="0"/>
              <w:rPr>
                <w:sz w:val="21"/>
                <w:szCs w:val="21"/>
                <w:color w:val="auto"/>
              </w:rPr>
            </w:pPr>
          </w:p>
        </w:tc>
        <w:tc>
          <w:tcPr>
            <w:tcW w:w="220" w:type="dxa"/>
            <w:vAlign w:val="bottom"/>
            <w:tcBorders>
              <w:bottom w:val="single" w:sz="8" w:color="E2EEFA"/>
            </w:tcBorders>
            <w:shd w:val="clear" w:color="auto" w:fill="E2EEFA"/>
          </w:tcPr>
          <w:p>
            <w:pPr>
              <w:spacing w:after="0"/>
              <w:rPr>
                <w:sz w:val="21"/>
                <w:szCs w:val="21"/>
                <w:color w:val="auto"/>
              </w:rPr>
            </w:pPr>
          </w:p>
        </w:tc>
        <w:tc>
          <w:tcPr>
            <w:tcW w:w="840" w:type="dxa"/>
            <w:vAlign w:val="bottom"/>
            <w:tcBorders>
              <w:bottom w:val="single" w:sz="8" w:color="E2EEFA"/>
            </w:tcBorders>
            <w:shd w:val="clear" w:color="auto" w:fill="E2EEFA"/>
          </w:tcPr>
          <w:p>
            <w:pPr>
              <w:spacing w:after="0"/>
              <w:rPr>
                <w:sz w:val="21"/>
                <w:szCs w:val="21"/>
                <w:color w:val="auto"/>
              </w:rPr>
            </w:pPr>
          </w:p>
        </w:tc>
        <w:tc>
          <w:tcPr>
            <w:tcW w:w="220" w:type="dxa"/>
            <w:vAlign w:val="bottom"/>
            <w:tcBorders>
              <w:bottom w:val="single" w:sz="8" w:color="E2EEFA"/>
            </w:tcBorders>
            <w:shd w:val="clear" w:color="auto" w:fill="E2EEFA"/>
          </w:tcPr>
          <w:p>
            <w:pPr>
              <w:spacing w:after="0"/>
              <w:rPr>
                <w:sz w:val="21"/>
                <w:szCs w:val="21"/>
                <w:color w:val="auto"/>
              </w:rPr>
            </w:pPr>
          </w:p>
        </w:tc>
        <w:tc>
          <w:tcPr>
            <w:tcW w:w="840" w:type="dxa"/>
            <w:vAlign w:val="bottom"/>
            <w:tcBorders>
              <w:bottom w:val="single" w:sz="8" w:color="E2EEFA"/>
            </w:tcBorders>
            <w:shd w:val="clear" w:color="auto" w:fill="E2EEFA"/>
          </w:tcPr>
          <w:p>
            <w:pPr>
              <w:spacing w:after="0"/>
              <w:rPr>
                <w:sz w:val="21"/>
                <w:szCs w:val="21"/>
                <w:color w:val="auto"/>
              </w:rPr>
            </w:pPr>
          </w:p>
        </w:tc>
        <w:tc>
          <w:tcPr>
            <w:tcW w:w="220" w:type="dxa"/>
            <w:vAlign w:val="bottom"/>
            <w:tcBorders>
              <w:bottom w:val="single" w:sz="8" w:color="E2EEFA"/>
            </w:tcBorders>
            <w:shd w:val="clear" w:color="auto" w:fill="E2EEFA"/>
          </w:tcPr>
          <w:p>
            <w:pPr>
              <w:spacing w:after="0"/>
              <w:rPr>
                <w:sz w:val="21"/>
                <w:szCs w:val="21"/>
                <w:color w:val="auto"/>
              </w:rPr>
            </w:pPr>
          </w:p>
        </w:tc>
        <w:tc>
          <w:tcPr>
            <w:tcW w:w="860" w:type="dxa"/>
            <w:vAlign w:val="bottom"/>
            <w:tcBorders>
              <w:bottom w:val="single" w:sz="8" w:color="E2EEFA"/>
            </w:tcBorders>
            <w:shd w:val="clear" w:color="auto" w:fill="E2EEFA"/>
          </w:tcPr>
          <w:p>
            <w:pPr>
              <w:spacing w:after="0"/>
              <w:rPr>
                <w:sz w:val="21"/>
                <w:szCs w:val="21"/>
                <w:color w:val="auto"/>
              </w:rPr>
            </w:pPr>
          </w:p>
        </w:tc>
      </w:tr>
      <w:tr>
        <w:trPr>
          <w:trHeight w:val="238"/>
        </w:trPr>
        <w:tc>
          <w:tcPr>
            <w:tcW w:w="5320" w:type="dxa"/>
            <w:vAlign w:val="bottom"/>
          </w:tcPr>
          <w:p>
            <w:pPr>
              <w:ind w:left="200"/>
              <w:spacing w:after="0"/>
              <w:rPr>
                <w:sz w:val="20"/>
                <w:szCs w:val="20"/>
                <w:color w:val="auto"/>
              </w:rPr>
            </w:pPr>
            <w:r>
              <w:rPr>
                <w:rFonts w:ascii="Arial" w:cs="Arial" w:eastAsia="Arial" w:hAnsi="Arial"/>
                <w:sz w:val="14"/>
                <w:szCs w:val="14"/>
                <w:i w:val="1"/>
                <w:iCs w:val="1"/>
                <w:color w:val="auto"/>
              </w:rPr>
              <w:t>- SCT “Stock Awards” column value</w:t>
            </w:r>
          </w:p>
        </w:tc>
        <w:tc>
          <w:tcPr>
            <w:tcW w:w="16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(763,492)</w:t>
            </w:r>
          </w:p>
        </w:tc>
        <w:tc>
          <w:tcPr>
            <w:tcW w:w="200" w:type="dxa"/>
            <w:vAlign w:val="bottom"/>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(683,787)</w:t>
            </w:r>
          </w:p>
        </w:tc>
        <w:tc>
          <w:tcPr>
            <w:tcW w:w="220" w:type="dxa"/>
            <w:vAlign w:val="bottom"/>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(617,907)</w:t>
            </w:r>
          </w:p>
        </w:tc>
        <w:tc>
          <w:tcPr>
            <w:tcW w:w="22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(557,389)</w:t>
            </w:r>
          </w:p>
        </w:tc>
        <w:tc>
          <w:tcPr>
            <w:tcW w:w="22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(527,733)</w:t>
            </w:r>
          </w:p>
        </w:tc>
      </w:tr>
      <w:tr>
        <w:trPr>
          <w:trHeight w:val="47"/>
        </w:trPr>
        <w:tc>
          <w:tcPr>
            <w:tcW w:w="5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65"/>
        </w:trPr>
        <w:tc>
          <w:tcPr>
            <w:tcW w:w="5320" w:type="dxa"/>
            <w:vAlign w:val="bottom"/>
            <w:tcBorders>
              <w:bottom w:val="single" w:sz="8" w:color="E2EEFA"/>
            </w:tcBorders>
            <w:shd w:val="clear" w:color="auto" w:fill="E2EEFA"/>
          </w:tcPr>
          <w:p>
            <w:pPr>
              <w:ind w:left="200"/>
              <w:spacing w:after="0"/>
              <w:rPr>
                <w:sz w:val="20"/>
                <w:szCs w:val="20"/>
                <w:color w:val="auto"/>
              </w:rPr>
            </w:pPr>
            <w:r>
              <w:rPr>
                <w:rFonts w:ascii="Arial" w:cs="Arial" w:eastAsia="Arial" w:hAnsi="Arial"/>
                <w:sz w:val="14"/>
                <w:szCs w:val="14"/>
                <w:i w:val="1"/>
                <w:iCs w:val="1"/>
                <w:color w:val="auto"/>
              </w:rPr>
              <w:t>- SCT “Option Awards” column value</w:t>
            </w:r>
          </w:p>
        </w:tc>
        <w:tc>
          <w:tcPr>
            <w:tcW w:w="16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(777,480)</w:t>
            </w:r>
          </w:p>
        </w:tc>
        <w:tc>
          <w:tcPr>
            <w:tcW w:w="200" w:type="dxa"/>
            <w:vAlign w:val="bottom"/>
            <w:tcBorders>
              <w:bottom w:val="single" w:sz="8" w:color="E2EEFA"/>
            </w:tcBorders>
            <w:shd w:val="clear" w:color="auto" w:fill="E2EEFA"/>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(1,004,053)</w:t>
            </w:r>
          </w:p>
        </w:tc>
        <w:tc>
          <w:tcPr>
            <w:tcW w:w="220" w:type="dxa"/>
            <w:vAlign w:val="bottom"/>
            <w:tcBorders>
              <w:bottom w:val="single" w:sz="8" w:color="E2EEFA"/>
            </w:tcBorders>
            <w:shd w:val="clear" w:color="auto" w:fill="E2EEFA"/>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(1,096,527)</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(814,151)</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(843,644)</w:t>
            </w:r>
          </w:p>
        </w:tc>
      </w:tr>
      <w:tr>
        <w:trPr>
          <w:trHeight w:val="238"/>
        </w:trPr>
        <w:tc>
          <w:tcPr>
            <w:tcW w:w="5320" w:type="dxa"/>
            <w:vAlign w:val="bottom"/>
          </w:tcPr>
          <w:p>
            <w:pPr>
              <w:ind w:left="200"/>
              <w:spacing w:after="0"/>
              <w:rPr>
                <w:sz w:val="20"/>
                <w:szCs w:val="20"/>
                <w:color w:val="auto"/>
              </w:rPr>
            </w:pPr>
            <w:r>
              <w:rPr>
                <w:rFonts w:ascii="Arial" w:cs="Arial" w:eastAsia="Arial" w:hAnsi="Arial"/>
                <w:sz w:val="14"/>
                <w:szCs w:val="14"/>
                <w:i w:val="1"/>
                <w:iCs w:val="1"/>
                <w:color w:val="auto"/>
              </w:rPr>
              <w:t>+ year-end fair value of outstanding equity awards granted in Covered Year</w:t>
            </w:r>
          </w:p>
        </w:tc>
        <w:tc>
          <w:tcPr>
            <w:tcW w:w="16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1,354,469</w:t>
            </w:r>
          </w:p>
        </w:tc>
        <w:tc>
          <w:tcPr>
            <w:tcW w:w="200" w:type="dxa"/>
            <w:vAlign w:val="bottom"/>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1,682,303</w:t>
            </w:r>
          </w:p>
        </w:tc>
        <w:tc>
          <w:tcPr>
            <w:tcW w:w="220" w:type="dxa"/>
            <w:vAlign w:val="bottom"/>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1,988,028</w:t>
            </w:r>
          </w:p>
        </w:tc>
        <w:tc>
          <w:tcPr>
            <w:tcW w:w="22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1,058,610</w:t>
            </w:r>
          </w:p>
        </w:tc>
        <w:tc>
          <w:tcPr>
            <w:tcW w:w="22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i w:val="1"/>
                <w:iCs w:val="1"/>
                <w:color w:val="auto"/>
              </w:rPr>
              <w:t>2,282,600</w:t>
            </w:r>
          </w:p>
        </w:tc>
      </w:tr>
      <w:tr>
        <w:trPr>
          <w:trHeight w:val="47"/>
        </w:trPr>
        <w:tc>
          <w:tcPr>
            <w:tcW w:w="5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65"/>
        </w:trPr>
        <w:tc>
          <w:tcPr>
            <w:tcW w:w="5320" w:type="dxa"/>
            <w:vAlign w:val="bottom"/>
            <w:tcBorders>
              <w:bottom w:val="single" w:sz="8" w:color="E2EEFA"/>
            </w:tcBorders>
            <w:shd w:val="clear" w:color="auto" w:fill="E2EEFA"/>
          </w:tcPr>
          <w:p>
            <w:pPr>
              <w:ind w:left="200"/>
              <w:spacing w:after="0"/>
              <w:rPr>
                <w:sz w:val="20"/>
                <w:szCs w:val="20"/>
                <w:color w:val="auto"/>
              </w:rPr>
            </w:pPr>
            <w:r>
              <w:rPr>
                <w:rFonts w:ascii="Arial" w:cs="Arial" w:eastAsia="Arial" w:hAnsi="Arial"/>
                <w:sz w:val="14"/>
                <w:szCs w:val="14"/>
                <w:i w:val="1"/>
                <w:iCs w:val="1"/>
                <w:color w:val="auto"/>
              </w:rPr>
              <w:t>+/- change in fair value of outstanding equity awards granted in prior years</w:t>
            </w:r>
          </w:p>
        </w:tc>
        <w:tc>
          <w:tcPr>
            <w:tcW w:w="16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(318,589)</w:t>
            </w:r>
          </w:p>
        </w:tc>
        <w:tc>
          <w:tcPr>
            <w:tcW w:w="200" w:type="dxa"/>
            <w:vAlign w:val="bottom"/>
            <w:tcBorders>
              <w:bottom w:val="single" w:sz="8" w:color="E2EEFA"/>
            </w:tcBorders>
            <w:shd w:val="clear" w:color="auto" w:fill="E2EEFA"/>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(406,244)</w:t>
            </w:r>
          </w:p>
        </w:tc>
        <w:tc>
          <w:tcPr>
            <w:tcW w:w="220" w:type="dxa"/>
            <w:vAlign w:val="bottom"/>
            <w:tcBorders>
              <w:bottom w:val="single" w:sz="8" w:color="E2EEFA"/>
            </w:tcBorders>
            <w:shd w:val="clear" w:color="auto" w:fill="E2EEFA"/>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644,655</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(1,380,326)</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1,754,107</w:t>
            </w:r>
          </w:p>
        </w:tc>
      </w:tr>
      <w:tr>
        <w:trPr>
          <w:trHeight w:val="238"/>
        </w:trPr>
        <w:tc>
          <w:tcPr>
            <w:tcW w:w="5320" w:type="dxa"/>
            <w:vAlign w:val="bottom"/>
          </w:tcPr>
          <w:p>
            <w:pPr>
              <w:ind w:left="200"/>
              <w:spacing w:after="0"/>
              <w:rPr>
                <w:sz w:val="20"/>
                <w:szCs w:val="20"/>
                <w:color w:val="auto"/>
              </w:rPr>
            </w:pPr>
            <w:r>
              <w:rPr>
                <w:rFonts w:ascii="Arial" w:cs="Arial" w:eastAsia="Arial" w:hAnsi="Arial"/>
                <w:sz w:val="14"/>
                <w:szCs w:val="14"/>
                <w:i w:val="1"/>
                <w:iCs w:val="1"/>
                <w:color w:val="auto"/>
              </w:rPr>
              <w:t>+ vesting date fair value of equity awards granted and vested in Covered Year</w:t>
            </w:r>
          </w:p>
        </w:tc>
        <w:tc>
          <w:tcPr>
            <w:tcW w:w="16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0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r>
      <w:tr>
        <w:trPr>
          <w:trHeight w:val="47"/>
        </w:trPr>
        <w:tc>
          <w:tcPr>
            <w:tcW w:w="5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65"/>
        </w:trPr>
        <w:tc>
          <w:tcPr>
            <w:tcW w:w="5320" w:type="dxa"/>
            <w:vAlign w:val="bottom"/>
            <w:tcBorders>
              <w:bottom w:val="single" w:sz="8" w:color="E2EEFA"/>
            </w:tcBorders>
            <w:shd w:val="clear" w:color="auto" w:fill="E2EEFA"/>
          </w:tcPr>
          <w:p>
            <w:pPr>
              <w:ind w:left="200"/>
              <w:spacing w:after="0"/>
              <w:rPr>
                <w:sz w:val="20"/>
                <w:szCs w:val="20"/>
                <w:color w:val="auto"/>
              </w:rPr>
            </w:pPr>
            <w:r>
              <w:rPr>
                <w:rFonts w:ascii="Arial" w:cs="Arial" w:eastAsia="Arial" w:hAnsi="Arial"/>
                <w:sz w:val="14"/>
                <w:szCs w:val="14"/>
                <w:i w:val="1"/>
                <w:iCs w:val="1"/>
                <w:color w:val="auto"/>
              </w:rPr>
              <w:t>+/- change in fair value of prior-year equity awards vested in Covered Year</w:t>
            </w:r>
          </w:p>
        </w:tc>
        <w:tc>
          <w:tcPr>
            <w:tcW w:w="16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(30,137)</w:t>
            </w:r>
          </w:p>
        </w:tc>
        <w:tc>
          <w:tcPr>
            <w:tcW w:w="200" w:type="dxa"/>
            <w:vAlign w:val="bottom"/>
            <w:tcBorders>
              <w:bottom w:val="single" w:sz="8" w:color="E2EEFA"/>
            </w:tcBorders>
            <w:shd w:val="clear" w:color="auto" w:fill="E2EEFA"/>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(285,699)</w:t>
            </w:r>
          </w:p>
        </w:tc>
        <w:tc>
          <w:tcPr>
            <w:tcW w:w="220" w:type="dxa"/>
            <w:vAlign w:val="bottom"/>
            <w:tcBorders>
              <w:bottom w:val="single" w:sz="8" w:color="E2EEFA"/>
            </w:tcBorders>
            <w:shd w:val="clear" w:color="auto" w:fill="E2EEFA"/>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182,705</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(365,275)</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(5,442)</w:t>
            </w:r>
          </w:p>
        </w:tc>
      </w:tr>
      <w:tr>
        <w:trPr>
          <w:trHeight w:val="238"/>
        </w:trPr>
        <w:tc>
          <w:tcPr>
            <w:tcW w:w="5320" w:type="dxa"/>
            <w:vAlign w:val="bottom"/>
          </w:tcPr>
          <w:p>
            <w:pPr>
              <w:ind w:left="200"/>
              <w:spacing w:after="0"/>
              <w:rPr>
                <w:sz w:val="20"/>
                <w:szCs w:val="20"/>
                <w:color w:val="auto"/>
              </w:rPr>
            </w:pPr>
            <w:r>
              <w:rPr>
                <w:rFonts w:ascii="Arial" w:cs="Arial" w:eastAsia="Arial" w:hAnsi="Arial"/>
                <w:sz w:val="14"/>
                <w:szCs w:val="14"/>
                <w:i w:val="1"/>
                <w:iCs w:val="1"/>
                <w:color w:val="auto"/>
              </w:rPr>
              <w:t>- prior year-end fair value of prior-year equity awards forfeited in Covered Year</w:t>
            </w:r>
          </w:p>
        </w:tc>
        <w:tc>
          <w:tcPr>
            <w:tcW w:w="16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0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r>
      <w:tr>
        <w:trPr>
          <w:trHeight w:val="47"/>
        </w:trPr>
        <w:tc>
          <w:tcPr>
            <w:tcW w:w="5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90"/>
        </w:trPr>
        <w:tc>
          <w:tcPr>
            <w:tcW w:w="5320" w:type="dxa"/>
            <w:vAlign w:val="bottom"/>
            <w:tcBorders>
              <w:bottom w:val="single" w:sz="8" w:color="E2EEFA"/>
            </w:tcBorders>
            <w:shd w:val="clear" w:color="auto" w:fill="E2EEFA"/>
          </w:tcPr>
          <w:p>
            <w:pPr>
              <w:ind w:left="200"/>
              <w:spacing w:after="0"/>
              <w:rPr>
                <w:sz w:val="20"/>
                <w:szCs w:val="20"/>
                <w:color w:val="auto"/>
              </w:rPr>
            </w:pPr>
            <w:r>
              <w:rPr>
                <w:rFonts w:ascii="Arial" w:cs="Arial" w:eastAsia="Arial" w:hAnsi="Arial"/>
                <w:sz w:val="14"/>
                <w:szCs w:val="14"/>
                <w:i w:val="1"/>
                <w:iCs w:val="1"/>
                <w:color w:val="auto"/>
              </w:rPr>
              <w:t>+ includable dividends/earnings on equity awards during Covered Year</w:t>
            </w:r>
          </w:p>
        </w:tc>
        <w:tc>
          <w:tcPr>
            <w:tcW w:w="16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19,245</w:t>
            </w:r>
          </w:p>
        </w:tc>
        <w:tc>
          <w:tcPr>
            <w:tcW w:w="200" w:type="dxa"/>
            <w:vAlign w:val="bottom"/>
            <w:tcBorders>
              <w:bottom w:val="single" w:sz="8" w:color="E2EEFA"/>
            </w:tcBorders>
            <w:shd w:val="clear" w:color="auto" w:fill="E2EEFA"/>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20,126</w:t>
            </w:r>
          </w:p>
        </w:tc>
        <w:tc>
          <w:tcPr>
            <w:tcW w:w="220" w:type="dxa"/>
            <w:vAlign w:val="bottom"/>
            <w:tcBorders>
              <w:bottom w:val="single" w:sz="8" w:color="E2EEFA"/>
            </w:tcBorders>
            <w:shd w:val="clear" w:color="auto" w:fill="E2EEFA"/>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19,227</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4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20,412</w:t>
            </w:r>
          </w:p>
        </w:tc>
        <w:tc>
          <w:tcPr>
            <w:tcW w:w="22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Borders>
              <w:bottom w:val="single" w:sz="8" w:color="E2EEFA"/>
            </w:tcBorders>
            <w:shd w:val="clear" w:color="auto" w:fill="E2EEFA"/>
          </w:tcPr>
          <w:p>
            <w:pPr>
              <w:jc w:val="right"/>
              <w:ind w:right="31"/>
              <w:spacing w:after="0"/>
              <w:rPr>
                <w:sz w:val="20"/>
                <w:szCs w:val="20"/>
                <w:color w:val="auto"/>
              </w:rPr>
            </w:pPr>
            <w:r>
              <w:rPr>
                <w:rFonts w:ascii="Arial" w:cs="Arial" w:eastAsia="Arial" w:hAnsi="Arial"/>
                <w:sz w:val="14"/>
                <w:szCs w:val="14"/>
                <w:i w:val="1"/>
                <w:iCs w:val="1"/>
                <w:color w:val="auto"/>
              </w:rPr>
              <w:t>16,913</w:t>
            </w:r>
          </w:p>
        </w:tc>
      </w:tr>
      <w:tr>
        <w:trPr>
          <w:trHeight w:val="218"/>
        </w:trPr>
        <w:tc>
          <w:tcPr>
            <w:tcW w:w="5480" w:type="dxa"/>
            <w:vAlign w:val="bottom"/>
            <w:tcBorders>
              <w:top w:val="single" w:sz="8" w:color="3E8EDE"/>
            </w:tcBorders>
            <w:gridSpan w:val="2"/>
          </w:tcPr>
          <w:p>
            <w:pPr>
              <w:jc w:val="right"/>
              <w:spacing w:after="0"/>
              <w:rPr>
                <w:sz w:val="20"/>
                <w:szCs w:val="20"/>
                <w:color w:val="auto"/>
              </w:rPr>
            </w:pPr>
            <w:r>
              <w:rPr>
                <w:rFonts w:ascii="Arial" w:cs="Arial" w:eastAsia="Arial" w:hAnsi="Arial"/>
                <w:sz w:val="14"/>
                <w:szCs w:val="14"/>
                <w:i w:val="1"/>
                <w:iCs w:val="1"/>
                <w:color w:val="auto"/>
              </w:rPr>
              <w:t>TOTAL ADDED (DEDUCTED): $</w:t>
            </w:r>
          </w:p>
        </w:tc>
        <w:tc>
          <w:tcPr>
            <w:tcW w:w="840" w:type="dxa"/>
            <w:vAlign w:val="bottom"/>
            <w:tcBorders>
              <w:top w:val="single" w:sz="8" w:color="3E8EDE"/>
            </w:tcBorders>
          </w:tcPr>
          <w:p>
            <w:pPr>
              <w:jc w:val="right"/>
              <w:spacing w:after="0"/>
              <w:rPr>
                <w:sz w:val="20"/>
                <w:szCs w:val="20"/>
                <w:color w:val="auto"/>
              </w:rPr>
            </w:pPr>
            <w:r>
              <w:rPr>
                <w:rFonts w:ascii="Arial" w:cs="Arial" w:eastAsia="Arial" w:hAnsi="Arial"/>
                <w:sz w:val="14"/>
                <w:szCs w:val="14"/>
                <w:i w:val="1"/>
                <w:iCs w:val="1"/>
                <w:color w:val="auto"/>
              </w:rPr>
              <w:t>(515,984)</w:t>
            </w:r>
          </w:p>
        </w:tc>
        <w:tc>
          <w:tcPr>
            <w:tcW w:w="200" w:type="dxa"/>
            <w:vAlign w:val="bottom"/>
            <w:tcBorders>
              <w:top w:val="single" w:sz="8" w:color="3E8EDE"/>
            </w:tcBorders>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top w:val="single" w:sz="8" w:color="3E8EDE"/>
            </w:tcBorders>
          </w:tcPr>
          <w:p>
            <w:pPr>
              <w:jc w:val="right"/>
              <w:spacing w:after="0"/>
              <w:rPr>
                <w:sz w:val="20"/>
                <w:szCs w:val="20"/>
                <w:color w:val="auto"/>
              </w:rPr>
            </w:pPr>
            <w:r>
              <w:rPr>
                <w:rFonts w:ascii="Arial" w:cs="Arial" w:eastAsia="Arial" w:hAnsi="Arial"/>
                <w:sz w:val="14"/>
                <w:szCs w:val="14"/>
                <w:i w:val="1"/>
                <w:iCs w:val="1"/>
                <w:color w:val="auto"/>
              </w:rPr>
              <w:t>(677,354)</w:t>
            </w:r>
          </w:p>
        </w:tc>
        <w:tc>
          <w:tcPr>
            <w:tcW w:w="220" w:type="dxa"/>
            <w:vAlign w:val="bottom"/>
            <w:tcBorders>
              <w:top w:val="single" w:sz="8" w:color="3E8EDE"/>
            </w:tcBorders>
          </w:tcPr>
          <w:p>
            <w:pPr>
              <w:jc w:val="right"/>
              <w:ind w:right="11"/>
              <w:spacing w:after="0"/>
              <w:rPr>
                <w:sz w:val="20"/>
                <w:szCs w:val="20"/>
                <w:color w:val="auto"/>
              </w:rPr>
            </w:pPr>
            <w:r>
              <w:rPr>
                <w:rFonts w:ascii="Arial" w:cs="Arial" w:eastAsia="Arial" w:hAnsi="Arial"/>
                <w:sz w:val="14"/>
                <w:szCs w:val="14"/>
                <w:i w:val="1"/>
                <w:iCs w:val="1"/>
                <w:color w:val="auto"/>
              </w:rPr>
              <w:t>$</w:t>
            </w:r>
          </w:p>
        </w:tc>
        <w:tc>
          <w:tcPr>
            <w:tcW w:w="840" w:type="dxa"/>
            <w:vAlign w:val="bottom"/>
            <w:tcBorders>
              <w:top w:val="single" w:sz="8" w:color="3E8EDE"/>
            </w:tcBorders>
          </w:tcPr>
          <w:p>
            <w:pPr>
              <w:jc w:val="right"/>
              <w:ind w:right="31"/>
              <w:spacing w:after="0"/>
              <w:rPr>
                <w:sz w:val="20"/>
                <w:szCs w:val="20"/>
                <w:color w:val="auto"/>
              </w:rPr>
            </w:pPr>
            <w:r>
              <w:rPr>
                <w:rFonts w:ascii="Arial" w:cs="Arial" w:eastAsia="Arial" w:hAnsi="Arial"/>
                <w:sz w:val="14"/>
                <w:szCs w:val="14"/>
                <w:i w:val="1"/>
                <w:iCs w:val="1"/>
                <w:color w:val="auto"/>
              </w:rPr>
              <w:t>1,120,181</w:t>
            </w:r>
          </w:p>
        </w:tc>
        <w:tc>
          <w:tcPr>
            <w:tcW w:w="220" w:type="dxa"/>
            <w:vAlign w:val="bottom"/>
            <w:tcBorders>
              <w:top w:val="single" w:sz="8" w:color="3E8EDE"/>
            </w:tcBorders>
          </w:tcPr>
          <w:p>
            <w:pPr>
              <w:jc w:val="right"/>
              <w:ind w:right="31"/>
              <w:spacing w:after="0"/>
              <w:rPr>
                <w:sz w:val="20"/>
                <w:szCs w:val="20"/>
                <w:color w:val="auto"/>
              </w:rPr>
            </w:pPr>
            <w:r>
              <w:rPr>
                <w:rFonts w:ascii="Arial" w:cs="Arial" w:eastAsia="Arial" w:hAnsi="Arial"/>
                <w:sz w:val="14"/>
                <w:szCs w:val="14"/>
                <w:i w:val="1"/>
                <w:iCs w:val="1"/>
                <w:color w:val="auto"/>
              </w:rPr>
              <w:t>$</w:t>
            </w:r>
          </w:p>
        </w:tc>
        <w:tc>
          <w:tcPr>
            <w:tcW w:w="840" w:type="dxa"/>
            <w:vAlign w:val="bottom"/>
            <w:tcBorders>
              <w:top w:val="single" w:sz="8" w:color="3E8EDE"/>
            </w:tcBorders>
          </w:tcPr>
          <w:p>
            <w:pPr>
              <w:jc w:val="right"/>
              <w:spacing w:after="0"/>
              <w:rPr>
                <w:sz w:val="20"/>
                <w:szCs w:val="20"/>
                <w:color w:val="auto"/>
              </w:rPr>
            </w:pPr>
            <w:r>
              <w:rPr>
                <w:rFonts w:ascii="Arial" w:cs="Arial" w:eastAsia="Arial" w:hAnsi="Arial"/>
                <w:sz w:val="14"/>
                <w:szCs w:val="14"/>
                <w:i w:val="1"/>
                <w:iCs w:val="1"/>
                <w:color w:val="auto"/>
              </w:rPr>
              <w:t>(2,038,119)</w:t>
            </w:r>
          </w:p>
        </w:tc>
        <w:tc>
          <w:tcPr>
            <w:tcW w:w="220" w:type="dxa"/>
            <w:vAlign w:val="bottom"/>
            <w:tcBorders>
              <w:top w:val="single" w:sz="8" w:color="3E8EDE"/>
            </w:tcBorders>
          </w:tcPr>
          <w:p>
            <w:pPr>
              <w:jc w:val="right"/>
              <w:ind w:right="31"/>
              <w:spacing w:after="0"/>
              <w:rPr>
                <w:sz w:val="20"/>
                <w:szCs w:val="20"/>
                <w:color w:val="auto"/>
              </w:rPr>
            </w:pPr>
            <w:r>
              <w:rPr>
                <w:rFonts w:ascii="Arial" w:cs="Arial" w:eastAsia="Arial" w:hAnsi="Arial"/>
                <w:sz w:val="14"/>
                <w:szCs w:val="14"/>
                <w:i w:val="1"/>
                <w:iCs w:val="1"/>
                <w:color w:val="auto"/>
              </w:rPr>
              <w:t>$</w:t>
            </w:r>
          </w:p>
        </w:tc>
        <w:tc>
          <w:tcPr>
            <w:tcW w:w="860" w:type="dxa"/>
            <w:vAlign w:val="bottom"/>
            <w:tcBorders>
              <w:top w:val="single" w:sz="8" w:color="3E8EDE"/>
            </w:tcBorders>
          </w:tcPr>
          <w:p>
            <w:pPr>
              <w:jc w:val="right"/>
              <w:ind w:right="31"/>
              <w:spacing w:after="0"/>
              <w:rPr>
                <w:sz w:val="20"/>
                <w:szCs w:val="20"/>
                <w:color w:val="auto"/>
              </w:rPr>
            </w:pPr>
            <w:r>
              <w:rPr>
                <w:rFonts w:ascii="Arial" w:cs="Arial" w:eastAsia="Arial" w:hAnsi="Arial"/>
                <w:sz w:val="14"/>
                <w:szCs w:val="14"/>
                <w:i w:val="1"/>
                <w:iCs w:val="1"/>
                <w:color w:val="auto"/>
              </w:rPr>
              <w:t>2,676,801</w:t>
            </w:r>
          </w:p>
        </w:tc>
      </w:tr>
      <w:tr>
        <w:trPr>
          <w:trHeight w:val="47"/>
        </w:trPr>
        <w:tc>
          <w:tcPr>
            <w:tcW w:w="5320" w:type="dxa"/>
            <w:vAlign w:val="bottom"/>
            <w:tcBorders>
              <w:bottom w:val="single" w:sz="8" w:color="3E8EDE"/>
            </w:tcBorders>
          </w:tcPr>
          <w:p>
            <w:pPr>
              <w:spacing w:after="0"/>
              <w:rPr>
                <w:sz w:val="4"/>
                <w:szCs w:val="4"/>
                <w:color w:val="auto"/>
              </w:rPr>
            </w:pPr>
          </w:p>
        </w:tc>
        <w:tc>
          <w:tcPr>
            <w:tcW w:w="160" w:type="dxa"/>
            <w:vAlign w:val="bottom"/>
            <w:tcBorders>
              <w:bottom w:val="single" w:sz="8" w:color="3E8EDE"/>
            </w:tcBorders>
          </w:tcPr>
          <w:p>
            <w:pPr>
              <w:spacing w:after="0"/>
              <w:rPr>
                <w:sz w:val="4"/>
                <w:szCs w:val="4"/>
                <w:color w:val="auto"/>
              </w:rPr>
            </w:pPr>
          </w:p>
        </w:tc>
        <w:tc>
          <w:tcPr>
            <w:tcW w:w="840" w:type="dxa"/>
            <w:vAlign w:val="bottom"/>
            <w:tcBorders>
              <w:bottom w:val="single" w:sz="8" w:color="3E8EDE"/>
            </w:tcBorders>
          </w:tcPr>
          <w:p>
            <w:pPr>
              <w:spacing w:after="0"/>
              <w:rPr>
                <w:sz w:val="4"/>
                <w:szCs w:val="4"/>
                <w:color w:val="auto"/>
              </w:rPr>
            </w:pPr>
          </w:p>
        </w:tc>
        <w:tc>
          <w:tcPr>
            <w:tcW w:w="200" w:type="dxa"/>
            <w:vAlign w:val="bottom"/>
            <w:tcBorders>
              <w:bottom w:val="single" w:sz="8" w:color="3E8EDE"/>
            </w:tcBorders>
          </w:tcPr>
          <w:p>
            <w:pPr>
              <w:spacing w:after="0"/>
              <w:rPr>
                <w:sz w:val="4"/>
                <w:szCs w:val="4"/>
                <w:color w:val="auto"/>
              </w:rPr>
            </w:pPr>
          </w:p>
        </w:tc>
        <w:tc>
          <w:tcPr>
            <w:tcW w:w="840" w:type="dxa"/>
            <w:vAlign w:val="bottom"/>
            <w:tcBorders>
              <w:bottom w:val="single" w:sz="8" w:color="3E8EDE"/>
            </w:tcBorders>
          </w:tcPr>
          <w:p>
            <w:pPr>
              <w:spacing w:after="0"/>
              <w:rPr>
                <w:sz w:val="4"/>
                <w:szCs w:val="4"/>
                <w:color w:val="auto"/>
              </w:rPr>
            </w:pPr>
          </w:p>
        </w:tc>
        <w:tc>
          <w:tcPr>
            <w:tcW w:w="220" w:type="dxa"/>
            <w:vAlign w:val="bottom"/>
            <w:tcBorders>
              <w:bottom w:val="single" w:sz="8" w:color="3E8EDE"/>
            </w:tcBorders>
          </w:tcPr>
          <w:p>
            <w:pPr>
              <w:spacing w:after="0"/>
              <w:rPr>
                <w:sz w:val="4"/>
                <w:szCs w:val="4"/>
                <w:color w:val="auto"/>
              </w:rPr>
            </w:pPr>
          </w:p>
        </w:tc>
        <w:tc>
          <w:tcPr>
            <w:tcW w:w="840" w:type="dxa"/>
            <w:vAlign w:val="bottom"/>
            <w:tcBorders>
              <w:bottom w:val="single" w:sz="8" w:color="3E8EDE"/>
            </w:tcBorders>
          </w:tcPr>
          <w:p>
            <w:pPr>
              <w:spacing w:after="0"/>
              <w:rPr>
                <w:sz w:val="4"/>
                <w:szCs w:val="4"/>
                <w:color w:val="auto"/>
              </w:rPr>
            </w:pPr>
          </w:p>
        </w:tc>
        <w:tc>
          <w:tcPr>
            <w:tcW w:w="220" w:type="dxa"/>
            <w:vAlign w:val="bottom"/>
            <w:tcBorders>
              <w:bottom w:val="single" w:sz="8" w:color="3E8EDE"/>
            </w:tcBorders>
          </w:tcPr>
          <w:p>
            <w:pPr>
              <w:spacing w:after="0"/>
              <w:rPr>
                <w:sz w:val="4"/>
                <w:szCs w:val="4"/>
                <w:color w:val="auto"/>
              </w:rPr>
            </w:pPr>
          </w:p>
        </w:tc>
        <w:tc>
          <w:tcPr>
            <w:tcW w:w="840" w:type="dxa"/>
            <w:vAlign w:val="bottom"/>
            <w:tcBorders>
              <w:bottom w:val="single" w:sz="8" w:color="3E8EDE"/>
            </w:tcBorders>
          </w:tcPr>
          <w:p>
            <w:pPr>
              <w:spacing w:after="0"/>
              <w:rPr>
                <w:sz w:val="4"/>
                <w:szCs w:val="4"/>
                <w:color w:val="auto"/>
              </w:rPr>
            </w:pPr>
          </w:p>
        </w:tc>
        <w:tc>
          <w:tcPr>
            <w:tcW w:w="220" w:type="dxa"/>
            <w:vAlign w:val="bottom"/>
            <w:tcBorders>
              <w:bottom w:val="single" w:sz="8" w:color="3E8EDE"/>
            </w:tcBorders>
          </w:tcPr>
          <w:p>
            <w:pPr>
              <w:spacing w:after="0"/>
              <w:rPr>
                <w:sz w:val="4"/>
                <w:szCs w:val="4"/>
                <w:color w:val="auto"/>
              </w:rPr>
            </w:pPr>
          </w:p>
        </w:tc>
        <w:tc>
          <w:tcPr>
            <w:tcW w:w="860" w:type="dxa"/>
            <w:vAlign w:val="bottom"/>
            <w:tcBorders>
              <w:bottom w:val="single" w:sz="8" w:color="3E8EDE"/>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-5624195</wp:posOffset>
            </wp:positionV>
            <wp:extent cx="6710045" cy="1974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10045" cy="197485"/>
                    </a:xfrm>
                    <a:prstGeom prst="rect">
                      <a:avLst/>
                    </a:prstGeom>
                    <a:noFill/>
                  </pic:spPr>
                </pic:pic>
              </a:graphicData>
            </a:graphic>
          </wp:anchor>
        </w:drawing>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87</w:t>
      </w:r>
    </w:p>
    <w:p>
      <w:pPr>
        <w:sectPr>
          <w:pgSz w:w="11900" w:h="16838" w:orient="portrait"/>
          <w:cols w:equalWidth="0" w:num="1">
            <w:col w:w="10900"/>
          </w:cols>
          <w:pgMar w:left="320" w:top="469" w:right="6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712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48" w:lineRule="exact"/>
        <w:rPr>
          <w:sz w:val="20"/>
          <w:szCs w:val="20"/>
          <w:color w:val="auto"/>
        </w:rPr>
      </w:pPr>
    </w:p>
    <w:p>
      <w:pPr>
        <w:ind w:left="760" w:right="60" w:hanging="420"/>
        <w:spacing w:after="0" w:line="257" w:lineRule="auto"/>
        <w:tabs>
          <w:tab w:leader="none" w:pos="7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For each Covered Year, our total shareholder return was calculated as the yearly percentage change in our cumulative total shareholder return on our Ordinary Shares measured as the quotient of (a) the sum of (i) the cumulative amount of dividends for the period beginning with our closing price on NYSE on March 31, 2021 through and including the last day of the Covered Year (each period is a “Measurement Period”), assuming dividend reinvestment, plus (ii) the difference between our closing stock price at the end versus the beginning of the Measurement Period divided by (b) our closing share price at the beginning of the Measurement Period. Each of these yearly percentage changes was then applied to a deemed fixed investment of $100 at the beginning of the Measurement Period to produce the Covered Year-end values of such investment as of the end of fiscal 2026, 2025, 2024, 2023, and 2022 as applicable. Because Covered Years are presented in the table in reverse chronical order (from top to bottom), the table should be read from bottom to top for purposes of understanding cumulative returns over time.</w:t>
      </w:r>
    </w:p>
    <w:p>
      <w:pPr>
        <w:spacing w:after="0" w:line="83" w:lineRule="exact"/>
        <w:rPr>
          <w:rFonts w:ascii="Arial" w:cs="Arial" w:eastAsia="Arial" w:hAnsi="Arial"/>
          <w:sz w:val="13"/>
          <w:szCs w:val="13"/>
          <w:color w:val="auto"/>
        </w:rPr>
      </w:pPr>
    </w:p>
    <w:p>
      <w:pPr>
        <w:ind w:left="760" w:hanging="420"/>
        <w:spacing w:after="0" w:line="244" w:lineRule="auto"/>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purposes of this Pay Versus Performance disclosure, our peer group is the S&amp;P 500 Healthcare Equipment Index (the “PVP Peer Group”). The Company changed its peer group as we believe the S&amp;P 500 Healthcare Equipment Index provides a more accurate representation of our industry peers compared to the Dow Jones U.S. Medical Supplies Index. For each Covered Year, the PVP Peer Group cumulative total shareholder return was calculated based on a deemed fixed investment of $100 in the index through each Measurement Period, assuming dividend reinvestment for the PVP Peer Group</w:t>
      </w:r>
      <w:r>
        <w:rPr>
          <w:rFonts w:ascii="Arial" w:cs="Arial" w:eastAsia="Arial" w:hAnsi="Arial"/>
          <w:sz w:val="14"/>
          <w:szCs w:val="14"/>
          <w:b w:val="1"/>
          <w:bCs w:val="1"/>
          <w:color w:val="auto"/>
        </w:rPr>
        <w:t>.</w:t>
      </w:r>
    </w:p>
    <w:p>
      <w:pPr>
        <w:spacing w:after="0" w:line="83" w:lineRule="exact"/>
        <w:rPr>
          <w:rFonts w:ascii="Arial" w:cs="Arial" w:eastAsia="Arial" w:hAnsi="Arial"/>
          <w:sz w:val="14"/>
          <w:szCs w:val="14"/>
          <w:color w:val="auto"/>
        </w:rPr>
      </w:pPr>
    </w:p>
    <w:p>
      <w:pPr>
        <w:ind w:left="760" w:right="200" w:hanging="420"/>
        <w:spacing w:after="0" w:line="261" w:lineRule="auto"/>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peer group referenced for purposes of the TSR comparison is the Dow Jones U.S. Medical Supplies Index (the “Prior PVP Peer Group”). As required, the table includes our cumulative TSR compared to both the PVP Peer Group and the Prior PVP Peer Group.</w:t>
      </w:r>
    </w:p>
    <w:p>
      <w:pPr>
        <w:spacing w:after="0" w:line="77" w:lineRule="exact"/>
        <w:rPr>
          <w:rFonts w:ascii="Arial" w:cs="Arial" w:eastAsia="Arial" w:hAnsi="Arial"/>
          <w:sz w:val="14"/>
          <w:szCs w:val="14"/>
          <w:color w:val="auto"/>
        </w:rPr>
      </w:pPr>
    </w:p>
    <w:p>
      <w:pPr>
        <w:ind w:left="760" w:hanging="420"/>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Net income is calculated in accordance with U.S. GAAP.</w:t>
      </w:r>
    </w:p>
    <w:p>
      <w:pPr>
        <w:spacing w:after="0" w:line="110" w:lineRule="exact"/>
        <w:rPr>
          <w:rFonts w:ascii="Arial" w:cs="Arial" w:eastAsia="Arial" w:hAnsi="Arial"/>
          <w:sz w:val="14"/>
          <w:szCs w:val="14"/>
          <w:color w:val="auto"/>
        </w:rPr>
      </w:pPr>
    </w:p>
    <w:p>
      <w:pPr>
        <w:ind w:left="760" w:hanging="420"/>
        <w:spacing w:after="0" w:line="246" w:lineRule="auto"/>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Adjusted EBIT is a non-GAAP measure calculated as earnings before interest and taxes, excluding the effects of amounts related to certain special items, as described in the Compensation Discussion and Analysis. The financial metric is used in the determination of attainment percentages under our annual MICP plan. See the section in the Compensation Discussion and Analysis above titled “2026 Compensation Decisions” for more information.</w:t>
      </w:r>
    </w:p>
    <w:p>
      <w:pPr>
        <w:spacing w:after="0" w:line="268" w:lineRule="exact"/>
        <w:rPr>
          <w:sz w:val="20"/>
          <w:szCs w:val="20"/>
          <w:color w:val="auto"/>
        </w:rPr>
      </w:pPr>
    </w:p>
    <w:p>
      <w:pPr>
        <w:ind w:left="340" w:right="420"/>
        <w:spacing w:after="0" w:line="273" w:lineRule="auto"/>
        <w:rPr>
          <w:sz w:val="20"/>
          <w:szCs w:val="20"/>
          <w:color w:val="auto"/>
        </w:rPr>
      </w:pPr>
      <w:r>
        <w:rPr>
          <w:rFonts w:ascii="Arial" w:cs="Arial" w:eastAsia="Arial" w:hAnsi="Arial"/>
          <w:sz w:val="19"/>
          <w:szCs w:val="19"/>
          <w:b w:val="1"/>
          <w:bCs w:val="1"/>
          <w:color w:val="auto"/>
        </w:rPr>
        <w:t>Descriptions of Relationships Between Compensation Actually Paid and Certain Financial Performance Measure Results</w:t>
      </w:r>
    </w:p>
    <w:p>
      <w:pPr>
        <w:spacing w:after="0" w:line="21" w:lineRule="exact"/>
        <w:rPr>
          <w:sz w:val="20"/>
          <w:szCs w:val="20"/>
          <w:color w:val="auto"/>
        </w:rPr>
      </w:pPr>
    </w:p>
    <w:p>
      <w:pPr>
        <w:ind w:left="340" w:right="80"/>
        <w:spacing w:after="0" w:line="236" w:lineRule="auto"/>
        <w:rPr>
          <w:sz w:val="20"/>
          <w:szCs w:val="20"/>
          <w:color w:val="auto"/>
        </w:rPr>
      </w:pPr>
      <w:r>
        <w:rPr>
          <w:rFonts w:ascii="Arial" w:cs="Arial" w:eastAsia="Arial" w:hAnsi="Arial"/>
          <w:sz w:val="19"/>
          <w:szCs w:val="19"/>
          <w:color w:val="auto"/>
        </w:rPr>
        <w:t>The following charts provide, across the Covered Years, (1) a comparison between our cumulative total shareholder return and the cumulative total shareholder return of the PVP Peer Group, and (2) illustrations of the relationships between (A) the compensation actually paid (“CAP”) to the PEO, or in the case of fiscal 2022, the sum of CAP to both PEOs, and the average of the CAP to our non-PEO named executive officers (in each case as set forth in the PVP Table above) and (B) each of the performance measures set forth in columns (f), (h) and (i) of the PVP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137160</wp:posOffset>
            </wp:positionV>
            <wp:extent cx="2433955" cy="16446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33955" cy="164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712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Executive Compensation: </w:t>
      </w:r>
      <w:r>
        <w:rPr>
          <w:rFonts w:ascii="Arial" w:cs="Arial" w:eastAsia="Arial" w:hAnsi="Arial"/>
          <w:sz w:val="15"/>
          <w:szCs w:val="15"/>
          <w:b w:val="1"/>
          <w:bCs w:val="1"/>
          <w:color w:val="000000"/>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17678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10045" cy="176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Fiscal 2026 Tabular List</w:t>
      </w:r>
    </w:p>
    <w:p>
      <w:pPr>
        <w:spacing w:after="0" w:line="92" w:lineRule="exact"/>
        <w:rPr>
          <w:sz w:val="20"/>
          <w:szCs w:val="20"/>
          <w:color w:val="auto"/>
        </w:rPr>
      </w:pPr>
    </w:p>
    <w:p>
      <w:pPr>
        <w:ind w:left="340" w:right="260"/>
        <w:spacing w:after="0" w:line="244" w:lineRule="auto"/>
        <w:rPr>
          <w:sz w:val="20"/>
          <w:szCs w:val="20"/>
          <w:color w:val="auto"/>
        </w:rPr>
      </w:pPr>
      <w:r>
        <w:rPr>
          <w:rFonts w:ascii="Arial" w:cs="Arial" w:eastAsia="Arial" w:hAnsi="Arial"/>
          <w:sz w:val="19"/>
          <w:szCs w:val="19"/>
          <w:color w:val="auto"/>
        </w:rPr>
        <w:t>The following table lists all of the financial performance measures that we used to link compensation actually paid to our named executive officers for fiscal 2026 to our performance. See the section in the Compensation Discussion and Analysis above titled “2026 Compensation Decisions”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133350</wp:posOffset>
            </wp:positionV>
            <wp:extent cx="2343785" cy="1809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343785" cy="180975"/>
                    </a:xfrm>
                    <a:prstGeom prst="rect">
                      <a:avLst/>
                    </a:prstGeom>
                    <a:noFill/>
                  </pic:spPr>
                </pic:pic>
              </a:graphicData>
            </a:graphic>
          </wp:anchor>
        </w:drawing>
      </w:r>
    </w:p>
    <w:p>
      <w:pPr>
        <w:spacing w:after="0" w:line="24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FFFFFF"/>
        </w:rPr>
        <w:t>Financial Performance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43815</wp:posOffset>
            </wp:positionV>
            <wp:extent cx="2343785" cy="2057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343785" cy="205740"/>
                    </a:xfrm>
                    <a:prstGeom prst="rect">
                      <a:avLst/>
                    </a:prstGeom>
                    <a:noFill/>
                  </pic:spPr>
                </pic:pic>
              </a:graphicData>
            </a:graphic>
          </wp:anchor>
        </w:drawing>
      </w:r>
    </w:p>
    <w:p>
      <w:pPr>
        <w:spacing w:after="0" w:line="97"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Adjusted EBIT</w:t>
      </w:r>
    </w:p>
    <w:p>
      <w:pPr>
        <w:spacing w:after="0" w:line="12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Adjusted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50800</wp:posOffset>
            </wp:positionV>
            <wp:extent cx="234378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343785" cy="8255"/>
                    </a:xfrm>
                    <a:prstGeom prst="rect">
                      <a:avLst/>
                    </a:prstGeom>
                    <a:noFill/>
                  </pic:spPr>
                </pic:pic>
              </a:graphicData>
            </a:graphic>
          </wp:anchor>
        </w:drawing>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89</w:t>
      </w:r>
    </w:p>
    <w:p>
      <w:pPr>
        <w:sectPr>
          <w:pgSz w:w="11900" w:h="16838" w:orient="portrait"/>
          <w:cols w:equalWidth="0" w:num="1">
            <w:col w:w="10900"/>
          </w:cols>
          <w:pgMar w:left="320" w:top="469" w:right="6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2876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10045" cy="2876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3E8EDE"/>
        </w:rPr>
        <w:t>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68580</wp:posOffset>
            </wp:positionV>
            <wp:extent cx="671004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Description of Director Compensation for Fiscal 2026</w:t>
      </w:r>
    </w:p>
    <w:p>
      <w:pPr>
        <w:spacing w:after="0" w:line="217" w:lineRule="exact"/>
        <w:rPr>
          <w:sz w:val="20"/>
          <w:szCs w:val="20"/>
          <w:color w:val="auto"/>
        </w:rPr>
      </w:pPr>
    </w:p>
    <w:p>
      <w:pPr>
        <w:ind w:left="340" w:right="680"/>
        <w:spacing w:after="0" w:line="262" w:lineRule="auto"/>
        <w:rPr>
          <w:sz w:val="20"/>
          <w:szCs w:val="20"/>
          <w:color w:val="auto"/>
        </w:rPr>
      </w:pPr>
      <w:r>
        <w:rPr>
          <w:rFonts w:ascii="Arial" w:cs="Arial" w:eastAsia="Arial" w:hAnsi="Arial"/>
          <w:sz w:val="19"/>
          <w:szCs w:val="19"/>
          <w:color w:val="auto"/>
        </w:rPr>
        <w:t>Non-employee Directors are compensated by the Company for their service as such for each term of office. Company employees serving as Directors are not compensated for their service as Directors.</w:t>
      </w:r>
    </w:p>
    <w:p>
      <w:pPr>
        <w:spacing w:after="0" w:line="145" w:lineRule="exact"/>
        <w:rPr>
          <w:sz w:val="20"/>
          <w:szCs w:val="20"/>
          <w:color w:val="auto"/>
        </w:rPr>
      </w:pPr>
    </w:p>
    <w:p>
      <w:pPr>
        <w:ind w:left="340"/>
        <w:spacing w:after="0" w:line="244" w:lineRule="auto"/>
        <w:rPr>
          <w:sz w:val="20"/>
          <w:szCs w:val="20"/>
          <w:color w:val="auto"/>
        </w:rPr>
      </w:pPr>
      <w:r>
        <w:rPr>
          <w:rFonts w:ascii="Arial" w:cs="Arial" w:eastAsia="Arial" w:hAnsi="Arial"/>
          <w:sz w:val="19"/>
          <w:szCs w:val="19"/>
          <w:color w:val="auto"/>
        </w:rPr>
        <w:t>For fiscal 2026, the Chairman of the Board was paid a retainer of $498,000 and each other non-employee Director was paid a retainer of $323,000. The retainers were paid in full at the beginning of the 2025-26 term of office for each director then in office. Retainer fees are fully vested immediately upon payment, regardless of the form in which paid.</w:t>
      </w:r>
    </w:p>
    <w:p>
      <w:pPr>
        <w:spacing w:after="0" w:line="162" w:lineRule="exact"/>
        <w:rPr>
          <w:sz w:val="20"/>
          <w:szCs w:val="20"/>
          <w:color w:val="auto"/>
        </w:rPr>
      </w:pPr>
    </w:p>
    <w:p>
      <w:pPr>
        <w:jc w:val="both"/>
        <w:ind w:left="340" w:right="160"/>
        <w:spacing w:after="0" w:line="244" w:lineRule="auto"/>
        <w:rPr>
          <w:sz w:val="20"/>
          <w:szCs w:val="20"/>
          <w:color w:val="auto"/>
        </w:rPr>
      </w:pPr>
      <w:r>
        <w:rPr>
          <w:rFonts w:ascii="Arial" w:cs="Arial" w:eastAsia="Arial" w:hAnsi="Arial"/>
          <w:sz w:val="19"/>
          <w:szCs w:val="19"/>
          <w:color w:val="auto"/>
        </w:rPr>
        <w:t>The $323,000 retainer fee was payable as follows to each Director for the 2025-26 term of office: $86,000 in cash, $118,500 in stock options and $118,500 in career restricted stock units (“CRSUs”). With respect to Dr. Sohi as Chairman, his retainer was payable as follows: $123,000 in cash, $187,500 in stock options and $187,500 in CRSUs.</w:t>
      </w:r>
    </w:p>
    <w:p>
      <w:pPr>
        <w:spacing w:after="0" w:line="162" w:lineRule="exact"/>
        <w:rPr>
          <w:sz w:val="20"/>
          <w:szCs w:val="20"/>
          <w:color w:val="auto"/>
        </w:rPr>
      </w:pPr>
    </w:p>
    <w:p>
      <w:pPr>
        <w:ind w:left="340" w:right="420"/>
        <w:spacing w:after="0" w:line="244" w:lineRule="auto"/>
        <w:rPr>
          <w:sz w:val="20"/>
          <w:szCs w:val="20"/>
          <w:color w:val="auto"/>
        </w:rPr>
      </w:pPr>
      <w:r>
        <w:rPr>
          <w:rFonts w:ascii="Arial" w:cs="Arial" w:eastAsia="Arial" w:hAnsi="Arial"/>
          <w:sz w:val="19"/>
          <w:szCs w:val="19"/>
          <w:color w:val="auto"/>
        </w:rPr>
        <w:t>Directors, once they have satisfied the share ownership requirements, are permitted to elect to receive all or a part of the cash or option portions of the fee in Ordinary Shares or CRSUs and to elect to receive the CRSU portion of the fee in Ordinary Shares. Certain Directors made these elections and actual payments are reflected in the table below.</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Mr. Shapiro and Mr. Boulud, as new Directors, were not eligible for compensation elections for the 2025-26 term.</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Until a new director satisfies the share ownership requirements, they receive the annual retainer in cash up to the maximum</w:t>
      </w:r>
    </w:p>
    <w:p>
      <w:pPr>
        <w:ind w:left="340"/>
        <w:spacing w:after="0" w:line="234" w:lineRule="auto"/>
        <w:rPr>
          <w:sz w:val="20"/>
          <w:szCs w:val="20"/>
          <w:color w:val="auto"/>
        </w:rPr>
      </w:pPr>
      <w:r>
        <w:rPr>
          <w:rFonts w:ascii="Arial" w:cs="Arial" w:eastAsia="Arial" w:hAnsi="Arial"/>
          <w:sz w:val="19"/>
          <w:szCs w:val="19"/>
          <w:color w:val="auto"/>
        </w:rPr>
        <w:t>of $86,000 and remainder in CRSUs. Mr. Shapiro received cash for his cash portion of the retainer and committee fees and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CRSUs for the remainder of his total retainer fee for the 2025-26 term. New Directors are expected to satisfy these Guidelines</w:t>
      </w:r>
    </w:p>
    <w:p>
      <w:pPr>
        <w:ind w:left="340"/>
        <w:spacing w:after="0" w:line="227" w:lineRule="auto"/>
        <w:rPr>
          <w:sz w:val="20"/>
          <w:szCs w:val="20"/>
          <w:color w:val="auto"/>
        </w:rPr>
      </w:pPr>
      <w:r>
        <w:rPr>
          <w:rFonts w:ascii="Arial" w:cs="Arial" w:eastAsia="Arial" w:hAnsi="Arial"/>
          <w:sz w:val="19"/>
          <w:szCs w:val="19"/>
          <w:color w:val="auto"/>
        </w:rPr>
        <w:t>within five years after beginning their Board service. New Directors who are elected to the Board mid-term receive a prorated</w:t>
      </w:r>
    </w:p>
    <w:p>
      <w:pPr>
        <w:ind w:left="340"/>
        <w:spacing w:after="0" w:line="228" w:lineRule="auto"/>
        <w:rPr>
          <w:sz w:val="20"/>
          <w:szCs w:val="20"/>
          <w:color w:val="auto"/>
        </w:rPr>
      </w:pPr>
      <w:r>
        <w:rPr>
          <w:rFonts w:ascii="Arial" w:cs="Arial" w:eastAsia="Arial" w:hAnsi="Arial"/>
          <w:sz w:val="19"/>
          <w:szCs w:val="19"/>
          <w:color w:val="auto"/>
        </w:rPr>
        <w:t>amount of their fees in CRSUs. Mr. Boulud joined the Board during the 2025-26 term and received a pro-rata payment of</w:t>
      </w:r>
    </w:p>
    <w:p>
      <w:pPr>
        <w:ind w:left="340"/>
        <w:spacing w:after="0" w:line="228" w:lineRule="auto"/>
        <w:rPr>
          <w:sz w:val="20"/>
          <w:szCs w:val="20"/>
          <w:color w:val="auto"/>
        </w:rPr>
      </w:pPr>
      <w:r>
        <w:rPr>
          <w:rFonts w:ascii="Arial" w:cs="Arial" w:eastAsia="Arial" w:hAnsi="Arial"/>
          <w:sz w:val="19"/>
          <w:szCs w:val="19"/>
          <w:color w:val="auto"/>
        </w:rPr>
        <w:t>$76,989 consisting of all CRSUs for his service during the term. See “Non-Employee Director Stock Ownership Guidelines”</w:t>
      </w:r>
    </w:p>
    <w:p>
      <w:pPr>
        <w:ind w:left="340"/>
        <w:spacing w:after="0"/>
        <w:rPr>
          <w:sz w:val="20"/>
          <w:szCs w:val="20"/>
          <w:color w:val="auto"/>
        </w:rPr>
      </w:pPr>
      <w:r>
        <w:rPr>
          <w:rFonts w:ascii="Arial" w:cs="Arial" w:eastAsia="Arial" w:hAnsi="Arial"/>
          <w:sz w:val="19"/>
          <w:szCs w:val="19"/>
          <w:color w:val="auto"/>
        </w:rPr>
        <w:t>below for more information.</w:t>
      </w:r>
    </w:p>
    <w:p>
      <w:pPr>
        <w:spacing w:after="0" w:line="178" w:lineRule="exact"/>
        <w:rPr>
          <w:sz w:val="20"/>
          <w:szCs w:val="20"/>
          <w:color w:val="auto"/>
        </w:rPr>
      </w:pPr>
    </w:p>
    <w:p>
      <w:pPr>
        <w:ind w:left="340" w:right="120"/>
        <w:spacing w:after="0" w:line="233" w:lineRule="auto"/>
        <w:rPr>
          <w:sz w:val="20"/>
          <w:szCs w:val="20"/>
          <w:color w:val="auto"/>
        </w:rPr>
      </w:pPr>
      <w:r>
        <w:rPr>
          <w:rFonts w:ascii="Arial" w:cs="Arial" w:eastAsia="Arial" w:hAnsi="Arial"/>
          <w:sz w:val="19"/>
          <w:szCs w:val="19"/>
          <w:color w:val="auto"/>
        </w:rPr>
        <w:t>The number of CRSUs or Ordinary Shares a Director is entitled to receive for each annual term will be determined based upon the dollar amount of the retainer fees elected to be received in CRSUs or Ordinary Shares, respectively, and the STERIS per share closing price on the NYSE on the effective date of grant. The number of options a Director is entitled to receive is determined based upon a Black-Scholes’ calculation, and the option price is the NYSE grant date closing price. CRSUs are restricted stock units, with each unit representing a share of the Company’s stock. A Director’s CRSUs will be settled in Ordinary Shares six months after the cessation of the Director’s Board service. Directors will be paid cash dividend equivalents on their CRSUs as dividends are paid on Ordinary Shares. All equity awards to non-employee Directors vest immediately.</w:t>
      </w:r>
    </w:p>
    <w:p>
      <w:pPr>
        <w:spacing w:after="0" w:line="168" w:lineRule="exact"/>
        <w:rPr>
          <w:sz w:val="20"/>
          <w:szCs w:val="20"/>
          <w:color w:val="auto"/>
        </w:rPr>
      </w:pPr>
    </w:p>
    <w:p>
      <w:pPr>
        <w:ind w:left="340" w:right="140"/>
        <w:spacing w:after="0" w:line="236" w:lineRule="auto"/>
        <w:rPr>
          <w:sz w:val="20"/>
          <w:szCs w:val="20"/>
          <w:color w:val="auto"/>
        </w:rPr>
      </w:pPr>
      <w:r>
        <w:rPr>
          <w:rFonts w:ascii="Arial" w:cs="Arial" w:eastAsia="Arial" w:hAnsi="Arial"/>
          <w:sz w:val="19"/>
          <w:szCs w:val="19"/>
          <w:color w:val="auto"/>
        </w:rPr>
        <w:t>The Company also pays additional Chair fees to the Chairs of each standing Committee (the “Chair Fee”). The following Committee Chair Fees were paid for the 2025-2026 terms of office: Audit Committee Chair—$25,000; Compensation and Organization Development Committee Chair—$20,000; Nominating and Governance Committee Chair—$15,000; and Compliance and Technology Chair—$15,000. These fees were payable in cash, but each Chairperson could elect to receive all of his or her Chairperson Fee in one of the other forms of compensation.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90 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880"/>
          </w:cols>
          <w:pgMar w:left="320" w:top="469" w:right="6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46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Non-Employee Director Compensation: </w:t>
      </w:r>
      <w:r>
        <w:rPr>
          <w:rFonts w:ascii="Arial" w:cs="Arial" w:eastAsia="Arial" w:hAnsi="Arial"/>
          <w:sz w:val="15"/>
          <w:szCs w:val="15"/>
          <w:b w:val="1"/>
          <w:bCs w:val="1"/>
          <w:color w:val="000000"/>
        </w:rPr>
        <w:t>Director Compensation Table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40"/>
        <w:spacing w:after="0" w:line="239" w:lineRule="auto"/>
        <w:rPr>
          <w:sz w:val="20"/>
          <w:szCs w:val="20"/>
          <w:color w:val="auto"/>
        </w:rPr>
      </w:pPr>
      <w:r>
        <w:rPr>
          <w:rFonts w:ascii="Arial" w:cs="Arial" w:eastAsia="Arial" w:hAnsi="Arial"/>
          <w:sz w:val="19"/>
          <w:szCs w:val="19"/>
          <w:color w:val="auto"/>
        </w:rPr>
        <w:t>In addition, each Director was paid a Committee membership fee for each Committee on which he or she served (other than as Committee Chair). These fees, which were payable in cash at the beginning of the term, were as follows: $12,000 for Audit Committee members, $7,500 for Compensation and Organization Development Committee members, and $6,000 per Committee for members of the other standing Committees.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Director Compensation Table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6441440</wp:posOffset>
            </wp:positionH>
            <wp:positionV relativeFrom="paragraph">
              <wp:posOffset>168275</wp:posOffset>
            </wp:positionV>
            <wp:extent cx="16510" cy="3702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6510" cy="370205"/>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168275</wp:posOffset>
            </wp:positionV>
            <wp:extent cx="16510" cy="3702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6510" cy="370205"/>
                    </a:xfrm>
                    <a:prstGeom prst="rect">
                      <a:avLst/>
                    </a:prstGeom>
                    <a:noFill/>
                  </pic:spPr>
                </pic:pic>
              </a:graphicData>
            </a:graphic>
          </wp:anchor>
        </w:drawing>
        <w:drawing>
          <wp:anchor simplePos="0" relativeHeight="251657728" behindDoc="1" locked="0" layoutInCell="0" allowOverlap="1">
            <wp:simplePos x="0" y="0"/>
            <wp:positionH relativeFrom="column">
              <wp:posOffset>4632325</wp:posOffset>
            </wp:positionH>
            <wp:positionV relativeFrom="paragraph">
              <wp:posOffset>168275</wp:posOffset>
            </wp:positionV>
            <wp:extent cx="16510" cy="3702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6510" cy="370205"/>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168275</wp:posOffset>
            </wp:positionV>
            <wp:extent cx="16510" cy="3702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6510" cy="370205"/>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168275</wp:posOffset>
            </wp:positionV>
            <wp:extent cx="16510" cy="3702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6510" cy="370205"/>
                    </a:xfrm>
                    <a:prstGeom prst="rect">
                      <a:avLst/>
                    </a:prstGeom>
                    <a:noFill/>
                  </pic:spPr>
                </pic:pic>
              </a:graphicData>
            </a:graphic>
          </wp:anchor>
        </w:drawing>
      </w:r>
    </w:p>
    <w:p>
      <w:pPr>
        <w:spacing w:after="0" w:line="245"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3840" w:type="dxa"/>
            <w:vAlign w:val="bottom"/>
            <w:shd w:val="clear" w:color="auto" w:fill="3E8EDE"/>
          </w:tcPr>
          <w:p>
            <w:pPr>
              <w:spacing w:after="0"/>
              <w:rPr>
                <w:sz w:val="16"/>
                <w:szCs w:val="16"/>
                <w:color w:val="auto"/>
              </w:rPr>
            </w:pPr>
          </w:p>
        </w:tc>
        <w:tc>
          <w:tcPr>
            <w:tcW w:w="1740" w:type="dxa"/>
            <w:vAlign w:val="bottom"/>
            <w:shd w:val="clear" w:color="auto" w:fill="3E8EDE"/>
          </w:tcPr>
          <w:p>
            <w:pPr>
              <w:jc w:val="right"/>
              <w:ind w:right="302"/>
              <w:spacing w:after="0"/>
              <w:rPr>
                <w:sz w:val="20"/>
                <w:szCs w:val="20"/>
                <w:color w:val="auto"/>
              </w:rPr>
            </w:pPr>
            <w:r>
              <w:rPr>
                <w:rFonts w:ascii="Arial" w:cs="Arial" w:eastAsia="Arial" w:hAnsi="Arial"/>
                <w:sz w:val="16"/>
                <w:szCs w:val="16"/>
                <w:b w:val="1"/>
                <w:bCs w:val="1"/>
                <w:color w:val="FFFFFF"/>
              </w:rPr>
              <w:t>  Fees Earned</w:t>
            </w:r>
          </w:p>
        </w:tc>
        <w:tc>
          <w:tcPr>
            <w:tcW w:w="1400" w:type="dxa"/>
            <w:vAlign w:val="bottom"/>
            <w:shd w:val="clear" w:color="auto" w:fill="3E8EDE"/>
          </w:tcPr>
          <w:p>
            <w:pPr>
              <w:jc w:val="right"/>
              <w:ind w:right="382"/>
              <w:spacing w:after="0"/>
              <w:rPr>
                <w:sz w:val="20"/>
                <w:szCs w:val="20"/>
                <w:color w:val="auto"/>
              </w:rPr>
            </w:pPr>
            <w:r>
              <w:rPr>
                <w:rFonts w:ascii="Arial" w:cs="Arial" w:eastAsia="Arial" w:hAnsi="Arial"/>
                <w:sz w:val="16"/>
                <w:szCs w:val="16"/>
                <w:b w:val="1"/>
                <w:bCs w:val="1"/>
                <w:color w:val="FFFFFF"/>
              </w:rPr>
              <w:t>Stock</w:t>
            </w:r>
          </w:p>
        </w:tc>
        <w:tc>
          <w:tcPr>
            <w:tcW w:w="1260" w:type="dxa"/>
            <w:vAlign w:val="bottom"/>
            <w:shd w:val="clear" w:color="auto" w:fill="3E8EDE"/>
          </w:tcPr>
          <w:p>
            <w:pPr>
              <w:jc w:val="right"/>
              <w:ind w:right="222"/>
              <w:spacing w:after="0"/>
              <w:rPr>
                <w:sz w:val="20"/>
                <w:szCs w:val="20"/>
                <w:color w:val="auto"/>
              </w:rPr>
            </w:pPr>
            <w:r>
              <w:rPr>
                <w:rFonts w:ascii="Arial" w:cs="Arial" w:eastAsia="Arial" w:hAnsi="Arial"/>
                <w:sz w:val="16"/>
                <w:szCs w:val="16"/>
                <w:b w:val="1"/>
                <w:bCs w:val="1"/>
                <w:color w:val="FFFFFF"/>
              </w:rPr>
              <w:t>Option</w:t>
            </w:r>
          </w:p>
        </w:tc>
        <w:tc>
          <w:tcPr>
            <w:tcW w:w="1580" w:type="dxa"/>
            <w:vAlign w:val="bottom"/>
            <w:shd w:val="clear" w:color="auto" w:fill="3E8EDE"/>
          </w:tcPr>
          <w:p>
            <w:pPr>
              <w:ind w:left="540"/>
              <w:spacing w:after="0"/>
              <w:rPr>
                <w:sz w:val="20"/>
                <w:szCs w:val="20"/>
                <w:color w:val="auto"/>
              </w:rPr>
            </w:pPr>
            <w:r>
              <w:rPr>
                <w:rFonts w:ascii="Arial" w:cs="Arial" w:eastAsia="Arial" w:hAnsi="Arial"/>
                <w:sz w:val="16"/>
                <w:szCs w:val="16"/>
                <w:b w:val="1"/>
                <w:bCs w:val="1"/>
                <w:color w:val="FFFFFF"/>
              </w:rPr>
              <w:t>All Other</w:t>
            </w:r>
          </w:p>
        </w:tc>
        <w:tc>
          <w:tcPr>
            <w:tcW w:w="740" w:type="dxa"/>
            <w:vAlign w:val="bottom"/>
            <w:shd w:val="clear" w:color="auto" w:fill="3E8EDE"/>
          </w:tcPr>
          <w:p>
            <w:pPr>
              <w:spacing w:after="0"/>
              <w:rPr>
                <w:sz w:val="16"/>
                <w:szCs w:val="16"/>
                <w:color w:val="auto"/>
              </w:rPr>
            </w:pPr>
          </w:p>
        </w:tc>
      </w:tr>
      <w:tr>
        <w:trPr>
          <w:trHeight w:val="181"/>
        </w:trPr>
        <w:tc>
          <w:tcPr>
            <w:tcW w:w="3840" w:type="dxa"/>
            <w:vAlign w:val="bottom"/>
            <w:shd w:val="clear" w:color="auto" w:fill="3E8EDE"/>
          </w:tcPr>
          <w:p>
            <w:pPr>
              <w:spacing w:after="0"/>
              <w:rPr>
                <w:sz w:val="15"/>
                <w:szCs w:val="15"/>
                <w:color w:val="auto"/>
              </w:rPr>
            </w:pPr>
          </w:p>
        </w:tc>
        <w:tc>
          <w:tcPr>
            <w:tcW w:w="1740" w:type="dxa"/>
            <w:vAlign w:val="bottom"/>
            <w:shd w:val="clear" w:color="auto" w:fill="3E8EDE"/>
          </w:tcPr>
          <w:p>
            <w:pPr>
              <w:jc w:val="right"/>
              <w:ind w:right="402"/>
              <w:spacing w:after="0" w:line="181" w:lineRule="exact"/>
              <w:rPr>
                <w:sz w:val="20"/>
                <w:szCs w:val="20"/>
                <w:color w:val="auto"/>
              </w:rPr>
            </w:pPr>
            <w:r>
              <w:rPr>
                <w:rFonts w:ascii="Arial" w:cs="Arial" w:eastAsia="Arial" w:hAnsi="Arial"/>
                <w:sz w:val="16"/>
                <w:szCs w:val="16"/>
                <w:b w:val="1"/>
                <w:bCs w:val="1"/>
                <w:color w:val="FFFFFF"/>
              </w:rPr>
              <w:t>or Paid in</w:t>
            </w:r>
          </w:p>
        </w:tc>
        <w:tc>
          <w:tcPr>
            <w:tcW w:w="1400" w:type="dxa"/>
            <w:vAlign w:val="bottom"/>
            <w:shd w:val="clear" w:color="auto" w:fill="3E8EDE"/>
          </w:tcPr>
          <w:p>
            <w:pPr>
              <w:jc w:val="right"/>
              <w:ind w:right="322"/>
              <w:spacing w:after="0" w:line="181" w:lineRule="exact"/>
              <w:rPr>
                <w:sz w:val="20"/>
                <w:szCs w:val="20"/>
                <w:color w:val="auto"/>
              </w:rPr>
            </w:pPr>
            <w:r>
              <w:rPr>
                <w:rFonts w:ascii="Arial" w:cs="Arial" w:eastAsia="Arial" w:hAnsi="Arial"/>
                <w:sz w:val="16"/>
                <w:szCs w:val="16"/>
                <w:b w:val="1"/>
                <w:bCs w:val="1"/>
                <w:color w:val="FFFFFF"/>
              </w:rPr>
              <w:t>  Awards</w:t>
            </w:r>
          </w:p>
        </w:tc>
        <w:tc>
          <w:tcPr>
            <w:tcW w:w="1260" w:type="dxa"/>
            <w:vAlign w:val="bottom"/>
            <w:shd w:val="clear" w:color="auto" w:fill="3E8EDE"/>
          </w:tcPr>
          <w:p>
            <w:pPr>
              <w:jc w:val="right"/>
              <w:ind w:right="202"/>
              <w:spacing w:after="0" w:line="181" w:lineRule="exact"/>
              <w:rPr>
                <w:sz w:val="20"/>
                <w:szCs w:val="20"/>
                <w:color w:val="auto"/>
              </w:rPr>
            </w:pPr>
            <w:r>
              <w:rPr>
                <w:rFonts w:ascii="Arial" w:cs="Arial" w:eastAsia="Arial" w:hAnsi="Arial"/>
                <w:sz w:val="16"/>
                <w:szCs w:val="16"/>
                <w:b w:val="1"/>
                <w:bCs w:val="1"/>
                <w:color w:val="FFFFFF"/>
              </w:rPr>
              <w:t>  Awards</w:t>
            </w:r>
          </w:p>
        </w:tc>
        <w:tc>
          <w:tcPr>
            <w:tcW w:w="1580" w:type="dxa"/>
            <w:vAlign w:val="bottom"/>
            <w:shd w:val="clear" w:color="auto" w:fill="3E8EDE"/>
          </w:tcPr>
          <w:p>
            <w:pPr>
              <w:ind w:left="260"/>
              <w:spacing w:after="0" w:line="181" w:lineRule="exact"/>
              <w:rPr>
                <w:sz w:val="20"/>
                <w:szCs w:val="20"/>
                <w:color w:val="auto"/>
              </w:rPr>
            </w:pPr>
            <w:r>
              <w:rPr>
                <w:rFonts w:ascii="Arial" w:cs="Arial" w:eastAsia="Arial" w:hAnsi="Arial"/>
                <w:sz w:val="16"/>
                <w:szCs w:val="16"/>
                <w:b w:val="1"/>
                <w:bCs w:val="1"/>
                <w:color w:val="FFFFFF"/>
              </w:rPr>
              <w:t>  Compensation</w:t>
            </w:r>
          </w:p>
        </w:tc>
        <w:tc>
          <w:tcPr>
            <w:tcW w:w="740" w:type="dxa"/>
            <w:vAlign w:val="bottom"/>
            <w:shd w:val="clear" w:color="auto" w:fill="3E8EDE"/>
          </w:tcPr>
          <w:p>
            <w:pPr>
              <w:jc w:val="right"/>
              <w:ind w:right="62"/>
              <w:spacing w:after="0" w:line="181" w:lineRule="exact"/>
              <w:rPr>
                <w:sz w:val="20"/>
                <w:szCs w:val="20"/>
                <w:color w:val="auto"/>
              </w:rPr>
            </w:pPr>
            <w:r>
              <w:rPr>
                <w:rFonts w:ascii="Arial" w:cs="Arial" w:eastAsia="Arial" w:hAnsi="Arial"/>
                <w:sz w:val="16"/>
                <w:szCs w:val="16"/>
                <w:b w:val="1"/>
                <w:bCs w:val="1"/>
                <w:color w:val="FFFFFF"/>
              </w:rPr>
              <w:t>  Total</w:t>
            </w:r>
          </w:p>
        </w:tc>
      </w:tr>
      <w:tr>
        <w:trPr>
          <w:trHeight w:val="208"/>
        </w:trPr>
        <w:tc>
          <w:tcPr>
            <w:tcW w:w="3840" w:type="dxa"/>
            <w:vAlign w:val="bottom"/>
            <w:shd w:val="clear" w:color="auto" w:fill="3E8EDE"/>
          </w:tcPr>
          <w:p>
            <w:pPr>
              <w:ind w:left="60"/>
              <w:spacing w:after="0"/>
              <w:rPr>
                <w:sz w:val="20"/>
                <w:szCs w:val="20"/>
                <w:color w:val="auto"/>
              </w:rPr>
            </w:pPr>
            <w:r>
              <w:rPr>
                <w:rFonts w:ascii="Arial" w:cs="Arial" w:eastAsia="Arial" w:hAnsi="Arial"/>
                <w:sz w:val="16"/>
                <w:szCs w:val="16"/>
                <w:b w:val="1"/>
                <w:bCs w:val="1"/>
                <w:color w:val="FFFFFF"/>
              </w:rPr>
              <w:t>Name</w:t>
            </w:r>
          </w:p>
        </w:tc>
        <w:tc>
          <w:tcPr>
            <w:tcW w:w="1740" w:type="dxa"/>
            <w:vAlign w:val="bottom"/>
            <w:shd w:val="clear" w:color="auto" w:fill="3E8EDE"/>
          </w:tcPr>
          <w:p>
            <w:pPr>
              <w:jc w:val="right"/>
              <w:ind w:right="382"/>
              <w:spacing w:after="0" w:line="209" w:lineRule="exact"/>
              <w:rPr>
                <w:sz w:val="20"/>
                <w:szCs w:val="20"/>
                <w:color w:val="auto"/>
              </w:rPr>
            </w:pPr>
            <w:r>
              <w:rPr>
                <w:rFonts w:ascii="Arial" w:cs="Arial" w:eastAsia="Arial" w:hAnsi="Arial"/>
                <w:sz w:val="16"/>
                <w:szCs w:val="16"/>
                <w:b w:val="1"/>
                <w:bCs w:val="1"/>
                <w:color w:val="FFFFFF"/>
              </w:rPr>
              <w:t>Cash ($)</w:t>
            </w:r>
            <w:r>
              <w:rPr>
                <w:rFonts w:ascii="Arial" w:cs="Arial" w:eastAsia="Arial" w:hAnsi="Arial"/>
                <w:sz w:val="23"/>
                <w:szCs w:val="23"/>
                <w:b w:val="1"/>
                <w:bCs w:val="1"/>
                <w:color w:val="FFFFFF"/>
                <w:vertAlign w:val="superscript"/>
              </w:rPr>
              <w:t>(1)</w:t>
            </w:r>
          </w:p>
        </w:tc>
        <w:tc>
          <w:tcPr>
            <w:tcW w:w="1400" w:type="dxa"/>
            <w:vAlign w:val="bottom"/>
            <w:shd w:val="clear" w:color="auto" w:fill="3E8EDE"/>
          </w:tcPr>
          <w:p>
            <w:pPr>
              <w:jc w:val="right"/>
              <w:ind w:right="422"/>
              <w:spacing w:after="0" w:line="209"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3"/>
                <w:szCs w:val="23"/>
                <w:b w:val="1"/>
                <w:bCs w:val="1"/>
                <w:color w:val="FFFFFF"/>
                <w:vertAlign w:val="superscript"/>
              </w:rPr>
              <w:t>(2)</w:t>
            </w:r>
          </w:p>
        </w:tc>
        <w:tc>
          <w:tcPr>
            <w:tcW w:w="1260" w:type="dxa"/>
            <w:vAlign w:val="bottom"/>
            <w:shd w:val="clear" w:color="auto" w:fill="3E8EDE"/>
          </w:tcPr>
          <w:p>
            <w:pPr>
              <w:jc w:val="right"/>
              <w:ind w:right="302"/>
              <w:spacing w:after="0" w:line="209"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3"/>
                <w:szCs w:val="23"/>
                <w:b w:val="1"/>
                <w:bCs w:val="1"/>
                <w:color w:val="FFFFFF"/>
                <w:vertAlign w:val="superscript"/>
              </w:rPr>
              <w:t>(3)</w:t>
            </w:r>
          </w:p>
        </w:tc>
        <w:tc>
          <w:tcPr>
            <w:tcW w:w="1580" w:type="dxa"/>
            <w:vAlign w:val="bottom"/>
            <w:shd w:val="clear" w:color="auto" w:fill="3E8EDE"/>
          </w:tcPr>
          <w:p>
            <w:pPr>
              <w:ind w:left="700"/>
              <w:spacing w:after="0" w:line="209"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3"/>
                <w:szCs w:val="23"/>
                <w:b w:val="1"/>
                <w:bCs w:val="1"/>
                <w:color w:val="FFFFFF"/>
                <w:vertAlign w:val="superscript"/>
              </w:rPr>
              <w:t>(4)</w:t>
            </w:r>
          </w:p>
        </w:tc>
        <w:tc>
          <w:tcPr>
            <w:tcW w:w="740" w:type="dxa"/>
            <w:vAlign w:val="bottom"/>
            <w:shd w:val="clear" w:color="auto" w:fill="3E8EDE"/>
          </w:tcPr>
          <w:p>
            <w:pPr>
              <w:jc w:val="right"/>
              <w:ind w:right="162"/>
              <w:spacing w:after="0"/>
              <w:rPr>
                <w:sz w:val="20"/>
                <w:szCs w:val="20"/>
                <w:color w:val="auto"/>
              </w:rPr>
            </w:pPr>
            <w:r>
              <w:rPr>
                <w:rFonts w:ascii="Arial" w:cs="Arial" w:eastAsia="Arial" w:hAnsi="Arial"/>
                <w:sz w:val="16"/>
                <w:szCs w:val="16"/>
                <w:b w:val="1"/>
                <w:bCs w:val="1"/>
                <w:color w:val="FFFFFF"/>
              </w:rPr>
              <w:t>($)</w:t>
            </w:r>
          </w:p>
        </w:tc>
      </w:tr>
      <w:tr>
        <w:trPr>
          <w:trHeight w:val="291"/>
        </w:trPr>
        <w:tc>
          <w:tcPr>
            <w:tcW w:w="384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6"/>
                <w:szCs w:val="16"/>
                <w:color w:val="auto"/>
              </w:rPr>
              <w:t>Dr. Esther M. Alegria</w:t>
            </w:r>
          </w:p>
        </w:tc>
        <w:tc>
          <w:tcPr>
            <w:tcW w:w="1740" w:type="dxa"/>
            <w:vAlign w:val="bottom"/>
            <w:tcBorders>
              <w:bottom w:val="single" w:sz="8" w:color="E2EEFA"/>
            </w:tcBorders>
            <w:shd w:val="clear" w:color="auto" w:fill="E2EEFA"/>
          </w:tcPr>
          <w:p>
            <w:pPr>
              <w:jc w:val="right"/>
              <w:ind w:right="442"/>
              <w:spacing w:after="0"/>
              <w:rPr>
                <w:sz w:val="20"/>
                <w:szCs w:val="20"/>
                <w:color w:val="auto"/>
              </w:rPr>
            </w:pPr>
            <w:r>
              <w:rPr>
                <w:rFonts w:ascii="Arial" w:cs="Arial" w:eastAsia="Arial" w:hAnsi="Arial"/>
                <w:sz w:val="16"/>
                <w:szCs w:val="16"/>
                <w:color w:val="auto"/>
              </w:rPr>
              <w:t>107,000</w:t>
            </w:r>
          </w:p>
        </w:tc>
        <w:tc>
          <w:tcPr>
            <w:tcW w:w="1400" w:type="dxa"/>
            <w:vAlign w:val="bottom"/>
            <w:tcBorders>
              <w:bottom w:val="single" w:sz="8" w:color="E2EEFA"/>
            </w:tcBorders>
            <w:shd w:val="clear" w:color="auto" w:fill="E2EEFA"/>
          </w:tcPr>
          <w:p>
            <w:pPr>
              <w:jc w:val="right"/>
              <w:ind w:right="262"/>
              <w:spacing w:after="0"/>
              <w:rPr>
                <w:sz w:val="20"/>
                <w:szCs w:val="20"/>
                <w:color w:val="auto"/>
              </w:rPr>
            </w:pPr>
            <w:r>
              <w:rPr>
                <w:rFonts w:ascii="Arial" w:cs="Arial" w:eastAsia="Arial" w:hAnsi="Arial"/>
                <w:sz w:val="16"/>
                <w:szCs w:val="16"/>
                <w:color w:val="auto"/>
              </w:rPr>
              <w:t>118,268</w:t>
            </w:r>
          </w:p>
        </w:tc>
        <w:tc>
          <w:tcPr>
            <w:tcW w:w="1260" w:type="dxa"/>
            <w:vAlign w:val="bottom"/>
            <w:tcBorders>
              <w:bottom w:val="single" w:sz="8" w:color="E2EEFA"/>
            </w:tcBorders>
            <w:shd w:val="clear" w:color="auto" w:fill="E2EEFA"/>
          </w:tcPr>
          <w:p>
            <w:pPr>
              <w:jc w:val="right"/>
              <w:ind w:right="162"/>
              <w:spacing w:after="0"/>
              <w:rPr>
                <w:sz w:val="20"/>
                <w:szCs w:val="20"/>
                <w:color w:val="auto"/>
              </w:rPr>
            </w:pPr>
            <w:r>
              <w:rPr>
                <w:rFonts w:ascii="Arial" w:cs="Arial" w:eastAsia="Arial" w:hAnsi="Arial"/>
                <w:sz w:val="16"/>
                <w:szCs w:val="16"/>
                <w:color w:val="auto"/>
              </w:rPr>
              <w:t>118,470</w:t>
            </w:r>
          </w:p>
        </w:tc>
        <w:tc>
          <w:tcPr>
            <w:tcW w:w="1580" w:type="dxa"/>
            <w:vAlign w:val="bottom"/>
            <w:tcBorders>
              <w:bottom w:val="single" w:sz="8" w:color="E2EEFA"/>
            </w:tcBorders>
            <w:shd w:val="clear" w:color="auto" w:fill="E2EEFA"/>
          </w:tcPr>
          <w:p>
            <w:pPr>
              <w:ind w:left="8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6"/>
                <w:szCs w:val="16"/>
                <w:color w:val="auto"/>
              </w:rPr>
              <w:t>343,738</w:t>
            </w:r>
          </w:p>
        </w:tc>
      </w:tr>
      <w:tr>
        <w:trPr>
          <w:trHeight w:val="257"/>
        </w:trPr>
        <w:tc>
          <w:tcPr>
            <w:tcW w:w="3840" w:type="dxa"/>
            <w:vAlign w:val="bottom"/>
          </w:tcPr>
          <w:p>
            <w:pPr>
              <w:ind w:left="60"/>
              <w:spacing w:after="0"/>
              <w:rPr>
                <w:sz w:val="20"/>
                <w:szCs w:val="20"/>
                <w:color w:val="auto"/>
              </w:rPr>
            </w:pPr>
            <w:r>
              <w:rPr>
                <w:rFonts w:ascii="Arial" w:cs="Arial" w:eastAsia="Arial" w:hAnsi="Arial"/>
                <w:sz w:val="16"/>
                <w:szCs w:val="16"/>
                <w:color w:val="auto"/>
              </w:rPr>
              <w:t>Richard C. Breeden</w:t>
            </w:r>
          </w:p>
        </w:tc>
        <w:tc>
          <w:tcPr>
            <w:tcW w:w="1740" w:type="dxa"/>
            <w:vAlign w:val="bottom"/>
          </w:tcPr>
          <w:p>
            <w:pPr>
              <w:jc w:val="right"/>
              <w:ind w:right="442"/>
              <w:spacing w:after="0"/>
              <w:rPr>
                <w:sz w:val="20"/>
                <w:szCs w:val="20"/>
                <w:color w:val="auto"/>
              </w:rPr>
            </w:pPr>
            <w:r>
              <w:rPr>
                <w:rFonts w:ascii="Arial" w:cs="Arial" w:eastAsia="Arial" w:hAnsi="Arial"/>
                <w:sz w:val="16"/>
                <w:szCs w:val="16"/>
                <w:color w:val="auto"/>
              </w:rPr>
              <w:t>7,500</w:t>
            </w:r>
          </w:p>
        </w:tc>
        <w:tc>
          <w:tcPr>
            <w:tcW w:w="1400" w:type="dxa"/>
            <w:vAlign w:val="bottom"/>
          </w:tcPr>
          <w:p>
            <w:pPr>
              <w:jc w:val="right"/>
              <w:ind w:right="262"/>
              <w:spacing w:after="0"/>
              <w:rPr>
                <w:sz w:val="20"/>
                <w:szCs w:val="20"/>
                <w:color w:val="auto"/>
              </w:rPr>
            </w:pPr>
            <w:r>
              <w:rPr>
                <w:rFonts w:ascii="Arial" w:cs="Arial" w:eastAsia="Arial" w:hAnsi="Arial"/>
                <w:sz w:val="16"/>
                <w:szCs w:val="16"/>
                <w:color w:val="auto"/>
              </w:rPr>
              <w:t>204,237</w:t>
            </w:r>
          </w:p>
        </w:tc>
        <w:tc>
          <w:tcPr>
            <w:tcW w:w="1260" w:type="dxa"/>
            <w:vAlign w:val="bottom"/>
          </w:tcPr>
          <w:p>
            <w:pPr>
              <w:jc w:val="right"/>
              <w:ind w:right="162"/>
              <w:spacing w:after="0"/>
              <w:rPr>
                <w:sz w:val="20"/>
                <w:szCs w:val="20"/>
                <w:color w:val="auto"/>
              </w:rPr>
            </w:pPr>
            <w:r>
              <w:rPr>
                <w:rFonts w:ascii="Arial" w:cs="Arial" w:eastAsia="Arial" w:hAnsi="Arial"/>
                <w:sz w:val="16"/>
                <w:szCs w:val="16"/>
                <w:color w:val="auto"/>
              </w:rPr>
              <w:t>143,393</w:t>
            </w:r>
          </w:p>
        </w:tc>
        <w:tc>
          <w:tcPr>
            <w:tcW w:w="1580" w:type="dxa"/>
            <w:vAlign w:val="bottom"/>
          </w:tcPr>
          <w:p>
            <w:pPr>
              <w:ind w:left="8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355,130</w:t>
            </w:r>
          </w:p>
        </w:tc>
      </w:tr>
      <w:tr>
        <w:trPr>
          <w:trHeight w:val="54"/>
        </w:trPr>
        <w:tc>
          <w:tcPr>
            <w:tcW w:w="38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91"/>
        </w:trPr>
        <w:tc>
          <w:tcPr>
            <w:tcW w:w="384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6"/>
                <w:szCs w:val="16"/>
                <w:color w:val="auto"/>
              </w:rPr>
              <w:t>Pierre Boulud</w:t>
            </w:r>
          </w:p>
        </w:tc>
        <w:tc>
          <w:tcPr>
            <w:tcW w:w="1740" w:type="dxa"/>
            <w:vAlign w:val="bottom"/>
            <w:tcBorders>
              <w:bottom w:val="single" w:sz="8" w:color="E2EEFA"/>
            </w:tcBorders>
            <w:shd w:val="clear" w:color="auto" w:fill="E2EEFA"/>
          </w:tcPr>
          <w:p>
            <w:pPr>
              <w:jc w:val="right"/>
              <w:ind w:right="44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2EEFA"/>
            </w:tcBorders>
            <w:shd w:val="clear" w:color="auto" w:fill="E2EEFA"/>
          </w:tcPr>
          <w:p>
            <w:pPr>
              <w:jc w:val="right"/>
              <w:ind w:right="262"/>
              <w:spacing w:after="0"/>
              <w:rPr>
                <w:sz w:val="20"/>
                <w:szCs w:val="20"/>
                <w:color w:val="auto"/>
              </w:rPr>
            </w:pPr>
            <w:r>
              <w:rPr>
                <w:rFonts w:ascii="Arial" w:cs="Arial" w:eastAsia="Arial" w:hAnsi="Arial"/>
                <w:sz w:val="16"/>
                <w:szCs w:val="16"/>
                <w:color w:val="auto"/>
              </w:rPr>
              <w:t>76,989</w:t>
            </w:r>
          </w:p>
        </w:tc>
        <w:tc>
          <w:tcPr>
            <w:tcW w:w="1260" w:type="dxa"/>
            <w:vAlign w:val="bottom"/>
            <w:tcBorders>
              <w:bottom w:val="single" w:sz="8" w:color="E2EEFA"/>
            </w:tcBorders>
            <w:shd w:val="clear" w:color="auto" w:fill="E2EEFA"/>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2EEFA"/>
            </w:tcBorders>
            <w:shd w:val="clear" w:color="auto" w:fill="E2EEFA"/>
          </w:tcPr>
          <w:p>
            <w:pPr>
              <w:ind w:left="8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6"/>
                <w:szCs w:val="16"/>
                <w:color w:val="auto"/>
              </w:rPr>
              <w:t>76,989</w:t>
            </w:r>
          </w:p>
        </w:tc>
      </w:tr>
      <w:tr>
        <w:trPr>
          <w:trHeight w:val="257"/>
        </w:trPr>
        <w:tc>
          <w:tcPr>
            <w:tcW w:w="3840" w:type="dxa"/>
            <w:vAlign w:val="bottom"/>
          </w:tcPr>
          <w:p>
            <w:pPr>
              <w:ind w:left="60"/>
              <w:spacing w:after="0"/>
              <w:rPr>
                <w:sz w:val="20"/>
                <w:szCs w:val="20"/>
                <w:color w:val="auto"/>
              </w:rPr>
            </w:pPr>
            <w:r>
              <w:rPr>
                <w:rFonts w:ascii="Arial" w:cs="Arial" w:eastAsia="Arial" w:hAnsi="Arial"/>
                <w:sz w:val="16"/>
                <w:szCs w:val="16"/>
                <w:color w:val="auto"/>
              </w:rPr>
              <w:t>Cynthia L. Feldmann</w:t>
            </w:r>
          </w:p>
        </w:tc>
        <w:tc>
          <w:tcPr>
            <w:tcW w:w="1740" w:type="dxa"/>
            <w:vAlign w:val="bottom"/>
          </w:tcPr>
          <w:p>
            <w:pPr>
              <w:jc w:val="right"/>
              <w:ind w:right="442"/>
              <w:spacing w:after="0"/>
              <w:rPr>
                <w:sz w:val="20"/>
                <w:szCs w:val="20"/>
                <w:color w:val="auto"/>
              </w:rPr>
            </w:pPr>
            <w:r>
              <w:rPr>
                <w:rFonts w:ascii="Arial" w:cs="Arial" w:eastAsia="Arial" w:hAnsi="Arial"/>
                <w:sz w:val="16"/>
                <w:szCs w:val="16"/>
                <w:color w:val="auto"/>
              </w:rPr>
              <w:t>113,000</w:t>
            </w:r>
          </w:p>
        </w:tc>
        <w:tc>
          <w:tcPr>
            <w:tcW w:w="1400" w:type="dxa"/>
            <w:vAlign w:val="bottom"/>
          </w:tcPr>
          <w:p>
            <w:pPr>
              <w:jc w:val="right"/>
              <w:ind w:right="262"/>
              <w:spacing w:after="0"/>
              <w:rPr>
                <w:sz w:val="20"/>
                <w:szCs w:val="20"/>
                <w:color w:val="auto"/>
              </w:rPr>
            </w:pPr>
            <w:r>
              <w:rPr>
                <w:rFonts w:ascii="Arial" w:cs="Arial" w:eastAsia="Arial" w:hAnsi="Arial"/>
                <w:sz w:val="16"/>
                <w:szCs w:val="16"/>
                <w:color w:val="auto"/>
              </w:rPr>
              <w:t>118,268</w:t>
            </w:r>
          </w:p>
        </w:tc>
        <w:tc>
          <w:tcPr>
            <w:tcW w:w="1260" w:type="dxa"/>
            <w:vAlign w:val="bottom"/>
          </w:tcPr>
          <w:p>
            <w:pPr>
              <w:jc w:val="right"/>
              <w:ind w:right="162"/>
              <w:spacing w:after="0"/>
              <w:rPr>
                <w:sz w:val="20"/>
                <w:szCs w:val="20"/>
                <w:color w:val="auto"/>
              </w:rPr>
            </w:pPr>
            <w:r>
              <w:rPr>
                <w:rFonts w:ascii="Arial" w:cs="Arial" w:eastAsia="Arial" w:hAnsi="Arial"/>
                <w:sz w:val="16"/>
                <w:szCs w:val="16"/>
                <w:color w:val="auto"/>
              </w:rPr>
              <w:t>118,470</w:t>
            </w:r>
          </w:p>
        </w:tc>
        <w:tc>
          <w:tcPr>
            <w:tcW w:w="1580" w:type="dxa"/>
            <w:vAlign w:val="bottom"/>
          </w:tcPr>
          <w:p>
            <w:pPr>
              <w:ind w:left="8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349,738</w:t>
            </w:r>
          </w:p>
        </w:tc>
      </w:tr>
      <w:tr>
        <w:trPr>
          <w:trHeight w:val="54"/>
        </w:trPr>
        <w:tc>
          <w:tcPr>
            <w:tcW w:w="38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91"/>
        </w:trPr>
        <w:tc>
          <w:tcPr>
            <w:tcW w:w="384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6"/>
                <w:szCs w:val="16"/>
                <w:color w:val="auto"/>
              </w:rPr>
              <w:t>Christopher S. Holland</w:t>
            </w:r>
          </w:p>
        </w:tc>
        <w:tc>
          <w:tcPr>
            <w:tcW w:w="1740" w:type="dxa"/>
            <w:vAlign w:val="bottom"/>
            <w:tcBorders>
              <w:bottom w:val="single" w:sz="8" w:color="E2EEFA"/>
            </w:tcBorders>
            <w:shd w:val="clear" w:color="auto" w:fill="E2EEFA"/>
          </w:tcPr>
          <w:p>
            <w:pPr>
              <w:jc w:val="right"/>
              <w:ind w:right="442"/>
              <w:spacing w:after="0"/>
              <w:rPr>
                <w:sz w:val="20"/>
                <w:szCs w:val="20"/>
                <w:color w:val="auto"/>
              </w:rPr>
            </w:pPr>
            <w:r>
              <w:rPr>
                <w:rFonts w:ascii="Arial" w:cs="Arial" w:eastAsia="Arial" w:hAnsi="Arial"/>
                <w:sz w:val="16"/>
                <w:szCs w:val="16"/>
                <w:color w:val="auto"/>
              </w:rPr>
              <w:t>118,000</w:t>
            </w:r>
          </w:p>
        </w:tc>
        <w:tc>
          <w:tcPr>
            <w:tcW w:w="1400" w:type="dxa"/>
            <w:vAlign w:val="bottom"/>
            <w:tcBorders>
              <w:bottom w:val="single" w:sz="8" w:color="E2EEFA"/>
            </w:tcBorders>
            <w:shd w:val="clear" w:color="auto" w:fill="E2EEFA"/>
          </w:tcPr>
          <w:p>
            <w:pPr>
              <w:jc w:val="right"/>
              <w:ind w:right="262"/>
              <w:spacing w:after="0"/>
              <w:rPr>
                <w:sz w:val="20"/>
                <w:szCs w:val="20"/>
                <w:color w:val="auto"/>
              </w:rPr>
            </w:pPr>
            <w:r>
              <w:rPr>
                <w:rFonts w:ascii="Arial" w:cs="Arial" w:eastAsia="Arial" w:hAnsi="Arial"/>
                <w:sz w:val="16"/>
                <w:szCs w:val="16"/>
                <w:color w:val="auto"/>
              </w:rPr>
              <w:t>236,779</w:t>
            </w:r>
          </w:p>
        </w:tc>
        <w:tc>
          <w:tcPr>
            <w:tcW w:w="1260" w:type="dxa"/>
            <w:vAlign w:val="bottom"/>
            <w:tcBorders>
              <w:bottom w:val="single" w:sz="8" w:color="E2EEFA"/>
            </w:tcBorders>
            <w:shd w:val="clear" w:color="auto" w:fill="E2EEFA"/>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2EEFA"/>
            </w:tcBorders>
            <w:shd w:val="clear" w:color="auto" w:fill="E2EEFA"/>
          </w:tcPr>
          <w:p>
            <w:pPr>
              <w:ind w:left="8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6"/>
                <w:szCs w:val="16"/>
                <w:color w:val="auto"/>
              </w:rPr>
              <w:t>354,779</w:t>
            </w:r>
          </w:p>
        </w:tc>
      </w:tr>
      <w:tr>
        <w:trPr>
          <w:trHeight w:val="257"/>
        </w:trPr>
        <w:tc>
          <w:tcPr>
            <w:tcW w:w="3840" w:type="dxa"/>
            <w:vAlign w:val="bottom"/>
          </w:tcPr>
          <w:p>
            <w:pPr>
              <w:ind w:left="60"/>
              <w:spacing w:after="0"/>
              <w:rPr>
                <w:sz w:val="20"/>
                <w:szCs w:val="20"/>
                <w:color w:val="auto"/>
              </w:rPr>
            </w:pPr>
            <w:r>
              <w:rPr>
                <w:rFonts w:ascii="Arial" w:cs="Arial" w:eastAsia="Arial" w:hAnsi="Arial"/>
                <w:sz w:val="16"/>
                <w:szCs w:val="16"/>
                <w:color w:val="auto"/>
              </w:rPr>
              <w:t>Paul E. Martin</w:t>
            </w:r>
          </w:p>
        </w:tc>
        <w:tc>
          <w:tcPr>
            <w:tcW w:w="1740" w:type="dxa"/>
            <w:vAlign w:val="bottom"/>
          </w:tcPr>
          <w:p>
            <w:pPr>
              <w:jc w:val="right"/>
              <w:ind w:right="442"/>
              <w:spacing w:after="0"/>
              <w:rPr>
                <w:sz w:val="20"/>
                <w:szCs w:val="20"/>
                <w:color w:val="auto"/>
              </w:rPr>
            </w:pPr>
            <w:r>
              <w:rPr>
                <w:rFonts w:ascii="Arial" w:cs="Arial" w:eastAsia="Arial" w:hAnsi="Arial"/>
                <w:sz w:val="16"/>
                <w:szCs w:val="16"/>
                <w:color w:val="auto"/>
              </w:rPr>
              <w:t>105,500</w:t>
            </w:r>
          </w:p>
        </w:tc>
        <w:tc>
          <w:tcPr>
            <w:tcW w:w="1400" w:type="dxa"/>
            <w:vAlign w:val="bottom"/>
          </w:tcPr>
          <w:p>
            <w:pPr>
              <w:jc w:val="right"/>
              <w:ind w:right="262"/>
              <w:spacing w:after="0"/>
              <w:rPr>
                <w:sz w:val="20"/>
                <w:szCs w:val="20"/>
                <w:color w:val="auto"/>
              </w:rPr>
            </w:pPr>
            <w:r>
              <w:rPr>
                <w:rFonts w:ascii="Arial" w:cs="Arial" w:eastAsia="Arial" w:hAnsi="Arial"/>
                <w:sz w:val="16"/>
                <w:szCs w:val="16"/>
                <w:color w:val="auto"/>
              </w:rPr>
              <w:t>118,268</w:t>
            </w:r>
          </w:p>
        </w:tc>
        <w:tc>
          <w:tcPr>
            <w:tcW w:w="1260" w:type="dxa"/>
            <w:vAlign w:val="bottom"/>
          </w:tcPr>
          <w:p>
            <w:pPr>
              <w:jc w:val="right"/>
              <w:ind w:right="162"/>
              <w:spacing w:after="0"/>
              <w:rPr>
                <w:sz w:val="20"/>
                <w:szCs w:val="20"/>
                <w:color w:val="auto"/>
              </w:rPr>
            </w:pPr>
            <w:r>
              <w:rPr>
                <w:rFonts w:ascii="Arial" w:cs="Arial" w:eastAsia="Arial" w:hAnsi="Arial"/>
                <w:sz w:val="16"/>
                <w:szCs w:val="16"/>
                <w:color w:val="auto"/>
              </w:rPr>
              <w:t>118,470</w:t>
            </w:r>
          </w:p>
        </w:tc>
        <w:tc>
          <w:tcPr>
            <w:tcW w:w="1580" w:type="dxa"/>
            <w:vAlign w:val="bottom"/>
          </w:tcPr>
          <w:p>
            <w:pPr>
              <w:ind w:left="8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342,238</w:t>
            </w:r>
          </w:p>
        </w:tc>
      </w:tr>
      <w:tr>
        <w:trPr>
          <w:trHeight w:val="54"/>
        </w:trPr>
        <w:tc>
          <w:tcPr>
            <w:tcW w:w="38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91"/>
        </w:trPr>
        <w:tc>
          <w:tcPr>
            <w:tcW w:w="384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6"/>
                <w:szCs w:val="16"/>
                <w:color w:val="auto"/>
              </w:rPr>
              <w:t>Dr. Nirav R. Shah</w:t>
            </w:r>
          </w:p>
        </w:tc>
        <w:tc>
          <w:tcPr>
            <w:tcW w:w="1740" w:type="dxa"/>
            <w:vAlign w:val="bottom"/>
            <w:tcBorders>
              <w:bottom w:val="single" w:sz="8" w:color="E2EEFA"/>
            </w:tcBorders>
            <w:shd w:val="clear" w:color="auto" w:fill="E2EEFA"/>
          </w:tcPr>
          <w:p>
            <w:pPr>
              <w:jc w:val="right"/>
              <w:ind w:right="442"/>
              <w:spacing w:after="0"/>
              <w:rPr>
                <w:sz w:val="20"/>
                <w:szCs w:val="20"/>
                <w:color w:val="auto"/>
              </w:rPr>
            </w:pPr>
            <w:r>
              <w:rPr>
                <w:rFonts w:ascii="Arial" w:cs="Arial" w:eastAsia="Arial" w:hAnsi="Arial"/>
                <w:sz w:val="16"/>
                <w:szCs w:val="16"/>
                <w:color w:val="auto"/>
              </w:rPr>
              <w:t>99,500</w:t>
            </w:r>
          </w:p>
        </w:tc>
        <w:tc>
          <w:tcPr>
            <w:tcW w:w="1400" w:type="dxa"/>
            <w:vAlign w:val="bottom"/>
            <w:tcBorders>
              <w:bottom w:val="single" w:sz="8" w:color="E2EEFA"/>
            </w:tcBorders>
            <w:shd w:val="clear" w:color="auto" w:fill="E2EEFA"/>
          </w:tcPr>
          <w:p>
            <w:pPr>
              <w:jc w:val="right"/>
              <w:ind w:right="262"/>
              <w:spacing w:after="0"/>
              <w:rPr>
                <w:sz w:val="20"/>
                <w:szCs w:val="20"/>
                <w:color w:val="auto"/>
              </w:rPr>
            </w:pPr>
            <w:r>
              <w:rPr>
                <w:rFonts w:ascii="Arial" w:cs="Arial" w:eastAsia="Arial" w:hAnsi="Arial"/>
                <w:sz w:val="16"/>
                <w:szCs w:val="16"/>
                <w:color w:val="auto"/>
              </w:rPr>
              <w:t>118,268</w:t>
            </w:r>
          </w:p>
        </w:tc>
        <w:tc>
          <w:tcPr>
            <w:tcW w:w="1260" w:type="dxa"/>
            <w:vAlign w:val="bottom"/>
            <w:tcBorders>
              <w:bottom w:val="single" w:sz="8" w:color="E2EEFA"/>
            </w:tcBorders>
            <w:shd w:val="clear" w:color="auto" w:fill="E2EEFA"/>
          </w:tcPr>
          <w:p>
            <w:pPr>
              <w:jc w:val="right"/>
              <w:ind w:right="162"/>
              <w:spacing w:after="0"/>
              <w:rPr>
                <w:sz w:val="20"/>
                <w:szCs w:val="20"/>
                <w:color w:val="auto"/>
              </w:rPr>
            </w:pPr>
            <w:r>
              <w:rPr>
                <w:rFonts w:ascii="Arial" w:cs="Arial" w:eastAsia="Arial" w:hAnsi="Arial"/>
                <w:sz w:val="16"/>
                <w:szCs w:val="16"/>
                <w:color w:val="auto"/>
              </w:rPr>
              <w:t>118,470</w:t>
            </w:r>
          </w:p>
        </w:tc>
        <w:tc>
          <w:tcPr>
            <w:tcW w:w="1580" w:type="dxa"/>
            <w:vAlign w:val="bottom"/>
            <w:tcBorders>
              <w:bottom w:val="single" w:sz="8" w:color="E2EEFA"/>
            </w:tcBorders>
            <w:shd w:val="clear" w:color="auto" w:fill="E2EEFA"/>
          </w:tcPr>
          <w:p>
            <w:pPr>
              <w:ind w:left="8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6"/>
                <w:szCs w:val="16"/>
                <w:color w:val="auto"/>
              </w:rPr>
              <w:t>336,238</w:t>
            </w:r>
          </w:p>
        </w:tc>
      </w:tr>
      <w:tr>
        <w:trPr>
          <w:trHeight w:val="257"/>
        </w:trPr>
        <w:tc>
          <w:tcPr>
            <w:tcW w:w="3840" w:type="dxa"/>
            <w:vAlign w:val="bottom"/>
          </w:tcPr>
          <w:p>
            <w:pPr>
              <w:ind w:left="60"/>
              <w:spacing w:after="0"/>
              <w:rPr>
                <w:sz w:val="20"/>
                <w:szCs w:val="20"/>
                <w:color w:val="auto"/>
              </w:rPr>
            </w:pPr>
            <w:r>
              <w:rPr>
                <w:rFonts w:ascii="Arial" w:cs="Arial" w:eastAsia="Arial" w:hAnsi="Arial"/>
                <w:sz w:val="16"/>
                <w:szCs w:val="16"/>
                <w:color w:val="auto"/>
              </w:rPr>
              <w:t>Louis A. Shapiro</w:t>
            </w:r>
          </w:p>
        </w:tc>
        <w:tc>
          <w:tcPr>
            <w:tcW w:w="1740" w:type="dxa"/>
            <w:vAlign w:val="bottom"/>
          </w:tcPr>
          <w:p>
            <w:pPr>
              <w:jc w:val="right"/>
              <w:ind w:right="442"/>
              <w:spacing w:after="0"/>
              <w:rPr>
                <w:sz w:val="20"/>
                <w:szCs w:val="20"/>
                <w:color w:val="auto"/>
              </w:rPr>
            </w:pPr>
            <w:r>
              <w:rPr>
                <w:rFonts w:ascii="Arial" w:cs="Arial" w:eastAsia="Arial" w:hAnsi="Arial"/>
                <w:sz w:val="16"/>
                <w:szCs w:val="16"/>
                <w:color w:val="auto"/>
              </w:rPr>
              <w:t>104,000</w:t>
            </w:r>
          </w:p>
        </w:tc>
        <w:tc>
          <w:tcPr>
            <w:tcW w:w="1400" w:type="dxa"/>
            <w:vAlign w:val="bottom"/>
          </w:tcPr>
          <w:p>
            <w:pPr>
              <w:jc w:val="right"/>
              <w:ind w:right="262"/>
              <w:spacing w:after="0"/>
              <w:rPr>
                <w:sz w:val="20"/>
                <w:szCs w:val="20"/>
                <w:color w:val="auto"/>
              </w:rPr>
            </w:pPr>
            <w:r>
              <w:rPr>
                <w:rFonts w:ascii="Arial" w:cs="Arial" w:eastAsia="Arial" w:hAnsi="Arial"/>
                <w:sz w:val="16"/>
                <w:szCs w:val="16"/>
                <w:color w:val="auto"/>
              </w:rPr>
              <w:t>236,779</w:t>
            </w:r>
          </w:p>
        </w:tc>
        <w:tc>
          <w:tcPr>
            <w:tcW w:w="12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tcPr>
          <w:p>
            <w:pPr>
              <w:ind w:left="8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340,779</w:t>
            </w:r>
          </w:p>
        </w:tc>
      </w:tr>
      <w:tr>
        <w:trPr>
          <w:trHeight w:val="54"/>
        </w:trPr>
        <w:tc>
          <w:tcPr>
            <w:tcW w:w="38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91"/>
        </w:trPr>
        <w:tc>
          <w:tcPr>
            <w:tcW w:w="384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6"/>
                <w:szCs w:val="16"/>
                <w:color w:val="auto"/>
              </w:rPr>
              <w:t>Dr. Mohsen M. Sohi</w:t>
            </w:r>
          </w:p>
        </w:tc>
        <w:tc>
          <w:tcPr>
            <w:tcW w:w="1740" w:type="dxa"/>
            <w:vAlign w:val="bottom"/>
            <w:tcBorders>
              <w:bottom w:val="single" w:sz="8" w:color="E2EEFA"/>
            </w:tcBorders>
            <w:shd w:val="clear" w:color="auto" w:fill="E2EEFA"/>
          </w:tcPr>
          <w:p>
            <w:pPr>
              <w:jc w:val="right"/>
              <w:ind w:right="442"/>
              <w:spacing w:after="0"/>
              <w:rPr>
                <w:sz w:val="20"/>
                <w:szCs w:val="20"/>
                <w:color w:val="auto"/>
              </w:rPr>
            </w:pPr>
            <w:r>
              <w:rPr>
                <w:rFonts w:ascii="Arial" w:cs="Arial" w:eastAsia="Arial" w:hAnsi="Arial"/>
                <w:sz w:val="16"/>
                <w:szCs w:val="16"/>
                <w:color w:val="auto"/>
              </w:rPr>
              <w:t>6,000</w:t>
            </w:r>
          </w:p>
        </w:tc>
        <w:tc>
          <w:tcPr>
            <w:tcW w:w="1400" w:type="dxa"/>
            <w:vAlign w:val="bottom"/>
            <w:tcBorders>
              <w:bottom w:val="single" w:sz="8" w:color="E2EEFA"/>
            </w:tcBorders>
            <w:shd w:val="clear" w:color="auto" w:fill="E2EEFA"/>
          </w:tcPr>
          <w:p>
            <w:pPr>
              <w:jc w:val="right"/>
              <w:ind w:right="262"/>
              <w:spacing w:after="0"/>
              <w:rPr>
                <w:sz w:val="20"/>
                <w:szCs w:val="20"/>
                <w:color w:val="auto"/>
              </w:rPr>
            </w:pPr>
            <w:r>
              <w:rPr>
                <w:rFonts w:ascii="Arial" w:cs="Arial" w:eastAsia="Arial" w:hAnsi="Arial"/>
                <w:sz w:val="16"/>
                <w:szCs w:val="16"/>
                <w:color w:val="auto"/>
              </w:rPr>
              <w:t>310,262</w:t>
            </w:r>
          </w:p>
        </w:tc>
        <w:tc>
          <w:tcPr>
            <w:tcW w:w="1260" w:type="dxa"/>
            <w:vAlign w:val="bottom"/>
            <w:tcBorders>
              <w:bottom w:val="single" w:sz="8" w:color="E2EEFA"/>
            </w:tcBorders>
            <w:shd w:val="clear" w:color="auto" w:fill="E2EEFA"/>
          </w:tcPr>
          <w:p>
            <w:pPr>
              <w:jc w:val="right"/>
              <w:ind w:right="162"/>
              <w:spacing w:after="0"/>
              <w:rPr>
                <w:sz w:val="20"/>
                <w:szCs w:val="20"/>
                <w:color w:val="auto"/>
              </w:rPr>
            </w:pPr>
            <w:r>
              <w:rPr>
                <w:rFonts w:ascii="Arial" w:cs="Arial" w:eastAsia="Arial" w:hAnsi="Arial"/>
                <w:sz w:val="16"/>
                <w:szCs w:val="16"/>
                <w:color w:val="auto"/>
              </w:rPr>
              <w:t>187,429</w:t>
            </w:r>
          </w:p>
        </w:tc>
        <w:tc>
          <w:tcPr>
            <w:tcW w:w="1580" w:type="dxa"/>
            <w:vAlign w:val="bottom"/>
            <w:tcBorders>
              <w:bottom w:val="single" w:sz="8" w:color="E2EEFA"/>
            </w:tcBorders>
            <w:shd w:val="clear" w:color="auto" w:fill="E2EEFA"/>
          </w:tcPr>
          <w:p>
            <w:pPr>
              <w:ind w:left="8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6"/>
                <w:szCs w:val="16"/>
                <w:color w:val="auto"/>
              </w:rPr>
              <w:t>503,691</w:t>
            </w:r>
          </w:p>
        </w:tc>
      </w:tr>
      <w:tr>
        <w:trPr>
          <w:trHeight w:val="20"/>
        </w:trPr>
        <w:tc>
          <w:tcPr>
            <w:tcW w:w="3840" w:type="dxa"/>
            <w:vAlign w:val="bottom"/>
            <w:shd w:val="clear" w:color="auto" w:fill="3E8EDE"/>
          </w:tcPr>
          <w:p>
            <w:pPr>
              <w:spacing w:after="0" w:line="20" w:lineRule="exact"/>
              <w:rPr>
                <w:sz w:val="1"/>
                <w:szCs w:val="1"/>
                <w:color w:val="auto"/>
              </w:rPr>
            </w:pPr>
          </w:p>
        </w:tc>
        <w:tc>
          <w:tcPr>
            <w:tcW w:w="1740" w:type="dxa"/>
            <w:vAlign w:val="bottom"/>
            <w:shd w:val="clear" w:color="auto" w:fill="3E8EDE"/>
          </w:tcPr>
          <w:p>
            <w:pPr>
              <w:spacing w:after="0" w:line="20" w:lineRule="exact"/>
              <w:rPr>
                <w:sz w:val="1"/>
                <w:szCs w:val="1"/>
                <w:color w:val="auto"/>
              </w:rPr>
            </w:pPr>
          </w:p>
        </w:tc>
        <w:tc>
          <w:tcPr>
            <w:tcW w:w="1400" w:type="dxa"/>
            <w:vAlign w:val="bottom"/>
            <w:shd w:val="clear" w:color="auto" w:fill="3E8EDE"/>
          </w:tcPr>
          <w:p>
            <w:pPr>
              <w:spacing w:after="0" w:line="20" w:lineRule="exact"/>
              <w:rPr>
                <w:sz w:val="1"/>
                <w:szCs w:val="1"/>
                <w:color w:val="auto"/>
              </w:rPr>
            </w:pPr>
          </w:p>
        </w:tc>
        <w:tc>
          <w:tcPr>
            <w:tcW w:w="1260" w:type="dxa"/>
            <w:vAlign w:val="bottom"/>
            <w:shd w:val="clear" w:color="auto" w:fill="3E8EDE"/>
          </w:tcPr>
          <w:p>
            <w:pPr>
              <w:spacing w:after="0" w:line="20" w:lineRule="exact"/>
              <w:rPr>
                <w:sz w:val="1"/>
                <w:szCs w:val="1"/>
                <w:color w:val="auto"/>
              </w:rPr>
            </w:pPr>
          </w:p>
        </w:tc>
        <w:tc>
          <w:tcPr>
            <w:tcW w:w="1580" w:type="dxa"/>
            <w:vAlign w:val="bottom"/>
            <w:shd w:val="clear" w:color="auto" w:fill="3E8EDE"/>
          </w:tcPr>
          <w:p>
            <w:pPr>
              <w:spacing w:after="0" w:line="20" w:lineRule="exact"/>
              <w:rPr>
                <w:sz w:val="1"/>
                <w:szCs w:val="1"/>
                <w:color w:val="auto"/>
              </w:rPr>
            </w:pPr>
          </w:p>
        </w:tc>
        <w:tc>
          <w:tcPr>
            <w:tcW w:w="740" w:type="dxa"/>
            <w:vAlign w:val="bottom"/>
            <w:shd w:val="clear" w:color="auto" w:fill="3E8EDE"/>
          </w:tcPr>
          <w:p>
            <w:pPr>
              <w:spacing w:after="0" w:line="20" w:lineRule="exact"/>
              <w:rPr>
                <w:sz w:val="1"/>
                <w:szCs w:val="1"/>
                <w:color w:val="auto"/>
              </w:rPr>
            </w:pPr>
          </w:p>
        </w:tc>
      </w:tr>
    </w:tbl>
    <w:p>
      <w:pPr>
        <w:spacing w:after="0" w:line="100" w:lineRule="exact"/>
        <w:rPr>
          <w:sz w:val="20"/>
          <w:szCs w:val="20"/>
          <w:color w:val="auto"/>
        </w:rPr>
      </w:pPr>
    </w:p>
    <w:p>
      <w:pPr>
        <w:ind w:left="760" w:right="120" w:hanging="420"/>
        <w:spacing w:after="0" w:line="257" w:lineRule="auto"/>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These dollar amounts represent the portion of the annual retainer fee paid in cash for the 2025-26 annual term for all non-employee Directors. These dollar amounts also include Chair Fees, where applicable, and Committee member fees for the 2025-26 annual term.</w:t>
      </w:r>
    </w:p>
    <w:p>
      <w:pPr>
        <w:spacing w:after="0" w:line="71" w:lineRule="exact"/>
        <w:rPr>
          <w:rFonts w:ascii="Arial" w:cs="Arial" w:eastAsia="Arial" w:hAnsi="Arial"/>
          <w:sz w:val="17"/>
          <w:szCs w:val="17"/>
          <w:color w:val="auto"/>
        </w:rPr>
      </w:pPr>
    </w:p>
    <w:p>
      <w:pPr>
        <w:ind w:left="760" w:right="60" w:hanging="420"/>
        <w:spacing w:after="0" w:line="242" w:lineRule="auto"/>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These dollar amounts represent the portion of the annual retainer fee and where applicable, Chair Fees, paid in stock or CRSUs for the 2025-26 term and reflect the closing sales price per share of the Company’s stock on the NYSE Composite Tape on the effective date of the grant, representing the grant date fair value for purposes of FASB ASC Topic 718. Mr. Holland elected to receive stock in lieu of CRSUs. As of June 4, 2026, the following Directors held the following amounts of outstanding CRSUs: Dr. Alegria, 2,896 CRSUs; Mr. Boulud, 367 CRSUs; Mr. Breeden, 19,545 CRSUs; Ms. Feldmann, 8,128 CRSUs; Mr. Holland, 4,964 CRSUs;</w:t>
      </w:r>
    </w:p>
    <w:p>
      <w:pPr>
        <w:spacing w:after="0" w:line="1"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7"/>
          <w:szCs w:val="17"/>
          <w:color w:val="auto"/>
        </w:rPr>
        <w:t>Mr. Martin, 4,562 CRSUs; Dr. Shah, 6,503 CRSUs; Mr. Shapiro, 975 CRSUs and Dr. Sohi, 7,750 CRSUs.</w:t>
      </w:r>
    </w:p>
    <w:p>
      <w:pPr>
        <w:spacing w:after="0" w:line="99" w:lineRule="exact"/>
        <w:rPr>
          <w:rFonts w:ascii="Arial" w:cs="Arial" w:eastAsia="Arial" w:hAnsi="Arial"/>
          <w:sz w:val="17"/>
          <w:szCs w:val="17"/>
          <w:color w:val="auto"/>
        </w:rPr>
      </w:pPr>
    </w:p>
    <w:p>
      <w:pPr>
        <w:ind w:left="760" w:hanging="420"/>
        <w:spacing w:after="0"/>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These dollar amounts represent the portion of the annual retainer fees, and where applicable, Chair Fees, paid in options for the</w:t>
      </w:r>
    </w:p>
    <w:p>
      <w:pPr>
        <w:spacing w:after="0" w:line="14" w:lineRule="exact"/>
        <w:rPr>
          <w:rFonts w:ascii="Arial" w:cs="Arial" w:eastAsia="Arial" w:hAnsi="Arial"/>
          <w:sz w:val="17"/>
          <w:szCs w:val="17"/>
          <w:color w:val="auto"/>
        </w:rPr>
      </w:pPr>
    </w:p>
    <w:p>
      <w:pPr>
        <w:ind w:left="760"/>
        <w:spacing w:after="0" w:line="242" w:lineRule="auto"/>
        <w:rPr>
          <w:rFonts w:ascii="Arial" w:cs="Arial" w:eastAsia="Arial" w:hAnsi="Arial"/>
          <w:sz w:val="17"/>
          <w:szCs w:val="17"/>
          <w:color w:val="auto"/>
        </w:rPr>
      </w:pPr>
      <w:r>
        <w:rPr>
          <w:rFonts w:ascii="Arial" w:cs="Arial" w:eastAsia="Arial" w:hAnsi="Arial"/>
          <w:sz w:val="17"/>
          <w:szCs w:val="17"/>
          <w:color w:val="auto"/>
        </w:rPr>
        <w:t>2026 fiscal year and reflect the grant date fair value of stock options granted in fiscal 2026 under FASB ASC Topic 718. The grant date fair value of an award is determined utilizing assumptions discussed in notes to our financial statements for the fiscal year ended March 31, 2026. The grant date fair value estimate for these stock option awards in accordance FASB ASC Topic 718 equaled the compensation cost recognized by the Company during fiscal 2026. As of June 4, 2026, the following Directors held the following outstanding options: Dr. Alegria, 1,407 options; Mr. Boulud, 0 options; Mr. Breeden, 27,561 options; Ms. Feldmann, 11,368 options; Mr. Holland, 1,544 options; Mr. Martin, 2,795 options; Dr. Shah, 8,262 options; Mr. Shapiro, 0 options and Dr. Sohi, 34,131 options.</w:t>
      </w:r>
    </w:p>
    <w:p>
      <w:pPr>
        <w:spacing w:after="0" w:line="83" w:lineRule="exact"/>
        <w:rPr>
          <w:rFonts w:ascii="Arial" w:cs="Arial" w:eastAsia="Arial" w:hAnsi="Arial"/>
          <w:sz w:val="17"/>
          <w:szCs w:val="17"/>
          <w:color w:val="auto"/>
        </w:rPr>
      </w:pPr>
    </w:p>
    <w:p>
      <w:pPr>
        <w:ind w:left="760" w:hanging="420"/>
        <w:spacing w:after="0" w:line="257" w:lineRule="auto"/>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aggregate amount of perquisites and other personal benefits did not exceed $10,000 in fiscal 2026 for any of the listed Directors. In January 2026, the Company purchased retirement gifts for former directors Dr. Jacqueline Kosecoff and Dr. Richard Steeves, which were valued at $13,585 and $6,975, respectively.</w:t>
      </w:r>
    </w:p>
    <w:p>
      <w:pPr>
        <w:spacing w:after="0" w:line="100"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3E8EDE"/>
        </w:rPr>
        <w:t xml:space="preserve">Notice of Annual Meeting of Shareholders </w:t>
      </w:r>
      <w:r>
        <w:rPr>
          <w:rFonts w:ascii="Arial" w:cs="Arial" w:eastAsia="Arial" w:hAnsi="Arial"/>
          <w:sz w:val="14"/>
          <w:szCs w:val="14"/>
          <w:color w:val="000000"/>
        </w:rPr>
        <w:t>and 2026 Proxy Statement   91</w:t>
      </w:r>
    </w:p>
    <w:p>
      <w:pPr>
        <w:sectPr>
          <w:pgSz w:w="11900" w:h="16838" w:orient="portrait"/>
          <w:cols w:equalWidth="0" w:num="1">
            <w:col w:w="10900"/>
          </w:cols>
          <w:pgMar w:left="320" w:top="469" w:right="6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2876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710045" cy="2876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500"/>
        <w:spacing w:after="0"/>
        <w:rPr>
          <w:sz w:val="20"/>
          <w:szCs w:val="20"/>
          <w:color w:val="auto"/>
        </w:rPr>
      </w:pPr>
      <w:r>
        <w:rPr>
          <w:rFonts w:ascii="Arial" w:cs="Arial" w:eastAsia="Arial" w:hAnsi="Arial"/>
          <w:sz w:val="21"/>
          <w:szCs w:val="21"/>
          <w:b w:val="1"/>
          <w:bCs w:val="1"/>
          <w:color w:val="3E8EDE"/>
        </w:rPr>
        <w:t>NON-EMPLOYEE DIRECTOR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68580</wp:posOffset>
            </wp:positionV>
            <wp:extent cx="671004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87" w:lineRule="exact"/>
        <w:rPr>
          <w:sz w:val="20"/>
          <w:szCs w:val="20"/>
          <w:color w:val="auto"/>
        </w:rPr>
      </w:pPr>
    </w:p>
    <w:p>
      <w:pPr>
        <w:ind w:left="340"/>
        <w:spacing w:after="0" w:line="231" w:lineRule="auto"/>
        <w:rPr>
          <w:sz w:val="20"/>
          <w:szCs w:val="20"/>
          <w:color w:val="auto"/>
        </w:rPr>
      </w:pPr>
      <w:r>
        <w:rPr>
          <w:rFonts w:ascii="Arial" w:cs="Arial" w:eastAsia="Arial" w:hAnsi="Arial"/>
          <w:sz w:val="19"/>
          <w:szCs w:val="19"/>
          <w:color w:val="auto"/>
        </w:rPr>
        <w:t>The Board’s non-employee director stock ownership guidelines (the “Guidelines”), require that each non-employee Director own Company Ordinary Shares with a value of at least six (6) times the cash portion of the annual Director fees payable to the Director (determined before giving effect to any election by the Director to receive fees in a different form). The cash portion of the annual Director fees for the 2025-26 term of office was $123,000 for the Chairman and $86,000 for each of the other non-employee Directors (determined before giving effect to any election by the Director to receive fees in other forms). A new Director has a period of five years from the date of initial appointment or election to satisfy the Guidelines. For purposes of the Guidelines, all shares held beneficially directly or indirectly by a Director and all CRSUs, if any, held by a Director will be counted; however, stock options are not counted for Guideline purposes. Based upon the number of shares and CRSUs held by each of our Directors as of March 31, 2026 and our share price of $221.13 per share as of the close of business on such date, each of our then current Directors satisfied the Guidelines as of such date, except for Mr. Shapiro, who joined the board in July 2025.</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760"/>
          </w:cols>
          <w:pgMar w:left="320" w:top="469" w:right="8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2876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10045" cy="2876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3E8EDE"/>
        </w:rPr>
        <w:t>OWNERSHIP OF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68580</wp:posOffset>
            </wp:positionV>
            <wp:extent cx="67100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Greater than 5% Owners</w:t>
      </w:r>
    </w:p>
    <w:p>
      <w:pPr>
        <w:spacing w:after="0" w:line="217" w:lineRule="exact"/>
        <w:rPr>
          <w:sz w:val="20"/>
          <w:szCs w:val="20"/>
          <w:color w:val="auto"/>
        </w:rPr>
      </w:pPr>
    </w:p>
    <w:p>
      <w:pPr>
        <w:ind w:left="340" w:right="20"/>
        <w:spacing w:after="0" w:line="239" w:lineRule="auto"/>
        <w:rPr>
          <w:sz w:val="20"/>
          <w:szCs w:val="20"/>
          <w:color w:val="auto"/>
        </w:rPr>
      </w:pPr>
      <w:r>
        <w:rPr>
          <w:rFonts w:ascii="Arial" w:cs="Arial" w:eastAsia="Arial" w:hAnsi="Arial"/>
          <w:sz w:val="19"/>
          <w:szCs w:val="19"/>
          <w:color w:val="auto"/>
        </w:rPr>
        <w:t>The following table furnishes information concerning all persons known to STERIS to beneficially own greater than 5% of the outstanding Ordinary Shares as of the dates indicated in the footnotes below. The information provided below was derived from reports filed with the SEC by the beneficial owners on the dates indicated in the footnotes below. Percentages are based upon the number of Ordinary Shares outstanding as of March 31, 2026 (97,802,741).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135255</wp:posOffset>
            </wp:positionV>
            <wp:extent cx="6710045" cy="271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10045" cy="271145"/>
                    </a:xfrm>
                    <a:prstGeom prst="rect">
                      <a:avLst/>
                    </a:prstGeom>
                    <a:noFill/>
                  </pic:spPr>
                </pic:pic>
              </a:graphicData>
            </a:graphic>
          </wp:anchor>
        </w:drawing>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6220" w:type="dxa"/>
            <w:vAlign w:val="bottom"/>
            <w:shd w:val="clear" w:color="auto" w:fill="3E8EDE"/>
          </w:tcPr>
          <w:p>
            <w:pPr>
              <w:spacing w:after="0"/>
              <w:rPr>
                <w:sz w:val="16"/>
                <w:szCs w:val="16"/>
                <w:color w:val="auto"/>
              </w:rPr>
            </w:pPr>
          </w:p>
        </w:tc>
        <w:tc>
          <w:tcPr>
            <w:tcW w:w="2800" w:type="dxa"/>
            <w:vAlign w:val="bottom"/>
            <w:shd w:val="clear" w:color="auto" w:fill="3E8EDE"/>
          </w:tcPr>
          <w:p>
            <w:pPr>
              <w:jc w:val="right"/>
              <w:ind w:right="522"/>
              <w:spacing w:after="0"/>
              <w:rPr>
                <w:sz w:val="20"/>
                <w:szCs w:val="20"/>
                <w:color w:val="auto"/>
              </w:rPr>
            </w:pPr>
            <w:r>
              <w:rPr>
                <w:rFonts w:ascii="Arial" w:cs="Arial" w:eastAsia="Arial" w:hAnsi="Arial"/>
                <w:sz w:val="16"/>
                <w:szCs w:val="16"/>
                <w:b w:val="1"/>
                <w:bCs w:val="1"/>
                <w:color w:val="FFFFFF"/>
              </w:rPr>
              <w:t>Amount and Nature</w:t>
            </w:r>
          </w:p>
        </w:tc>
        <w:tc>
          <w:tcPr>
            <w:tcW w:w="1540" w:type="dxa"/>
            <w:vAlign w:val="bottom"/>
            <w:shd w:val="clear" w:color="auto" w:fill="3E8EDE"/>
          </w:tcPr>
          <w:p>
            <w:pPr>
              <w:ind w:left="400"/>
              <w:spacing w:after="0"/>
              <w:rPr>
                <w:sz w:val="20"/>
                <w:szCs w:val="20"/>
                <w:color w:val="auto"/>
              </w:rPr>
            </w:pPr>
            <w:r>
              <w:rPr>
                <w:rFonts w:ascii="Arial" w:cs="Arial" w:eastAsia="Arial" w:hAnsi="Arial"/>
                <w:sz w:val="16"/>
                <w:szCs w:val="16"/>
                <w:b w:val="1"/>
                <w:bCs w:val="1"/>
                <w:color w:val="FFFFFF"/>
              </w:rPr>
              <w:t>  Percent of</w:t>
            </w:r>
          </w:p>
        </w:tc>
      </w:tr>
      <w:tr>
        <w:trPr>
          <w:trHeight w:val="221"/>
        </w:trPr>
        <w:tc>
          <w:tcPr>
            <w:tcW w:w="6220" w:type="dxa"/>
            <w:vAlign w:val="bottom"/>
            <w:shd w:val="clear" w:color="auto" w:fill="3E8EDE"/>
          </w:tcPr>
          <w:p>
            <w:pPr>
              <w:ind w:left="60"/>
              <w:spacing w:after="0"/>
              <w:rPr>
                <w:sz w:val="20"/>
                <w:szCs w:val="20"/>
                <w:color w:val="auto"/>
              </w:rPr>
            </w:pPr>
            <w:r>
              <w:rPr>
                <w:rFonts w:ascii="Arial" w:cs="Arial" w:eastAsia="Arial" w:hAnsi="Arial"/>
                <w:sz w:val="16"/>
                <w:szCs w:val="16"/>
                <w:b w:val="1"/>
                <w:bCs w:val="1"/>
                <w:color w:val="FFFFFF"/>
              </w:rPr>
              <w:t>Name and Address of Beneficial Owner</w:t>
            </w:r>
          </w:p>
        </w:tc>
        <w:tc>
          <w:tcPr>
            <w:tcW w:w="2800" w:type="dxa"/>
            <w:vAlign w:val="bottom"/>
            <w:shd w:val="clear" w:color="auto" w:fill="3E8EDE"/>
          </w:tcPr>
          <w:p>
            <w:pPr>
              <w:jc w:val="right"/>
              <w:ind w:right="322"/>
              <w:spacing w:after="0"/>
              <w:rPr>
                <w:sz w:val="20"/>
                <w:szCs w:val="20"/>
                <w:color w:val="auto"/>
              </w:rPr>
            </w:pPr>
            <w:r>
              <w:rPr>
                <w:rFonts w:ascii="Arial" w:cs="Arial" w:eastAsia="Arial" w:hAnsi="Arial"/>
                <w:sz w:val="16"/>
                <w:szCs w:val="16"/>
                <w:b w:val="1"/>
                <w:bCs w:val="1"/>
                <w:color w:val="FFFFFF"/>
              </w:rPr>
              <w:t xml:space="preserve">  of Beneficial Ownership </w:t>
            </w:r>
          </w:p>
        </w:tc>
        <w:tc>
          <w:tcPr>
            <w:tcW w:w="1540" w:type="dxa"/>
            <w:vAlign w:val="bottom"/>
            <w:shd w:val="clear" w:color="auto" w:fill="3E8EDE"/>
          </w:tcPr>
          <w:p>
            <w:pPr>
              <w:ind w:left="640"/>
              <w:spacing w:after="0"/>
              <w:rPr>
                <w:sz w:val="20"/>
                <w:szCs w:val="20"/>
                <w:color w:val="auto"/>
              </w:rPr>
            </w:pPr>
            <w:r>
              <w:rPr>
                <w:rFonts w:ascii="Arial" w:cs="Arial" w:eastAsia="Arial" w:hAnsi="Arial"/>
                <w:sz w:val="16"/>
                <w:szCs w:val="16"/>
                <w:b w:val="1"/>
                <w:bCs w:val="1"/>
                <w:color w:val="FFFFFF"/>
              </w:rPr>
              <w:t>Class</w:t>
            </w:r>
          </w:p>
        </w:tc>
      </w:tr>
      <w:tr>
        <w:trPr>
          <w:trHeight w:val="221"/>
        </w:trPr>
        <w:tc>
          <w:tcPr>
            <w:tcW w:w="6220" w:type="dxa"/>
            <w:vAlign w:val="bottom"/>
            <w:shd w:val="clear" w:color="auto" w:fill="E2EEFA"/>
          </w:tcPr>
          <w:p>
            <w:pPr>
              <w:ind w:left="80"/>
              <w:spacing w:after="0"/>
              <w:rPr>
                <w:sz w:val="20"/>
                <w:szCs w:val="20"/>
                <w:color w:val="auto"/>
              </w:rPr>
            </w:pPr>
            <w:r>
              <w:rPr>
                <w:rFonts w:ascii="Arial" w:cs="Arial" w:eastAsia="Arial" w:hAnsi="Arial"/>
                <w:sz w:val="16"/>
                <w:szCs w:val="16"/>
                <w:color w:val="auto"/>
              </w:rPr>
              <w:t>BlackRock, Inc.</w:t>
            </w:r>
          </w:p>
        </w:tc>
        <w:tc>
          <w:tcPr>
            <w:tcW w:w="2800" w:type="dxa"/>
            <w:vAlign w:val="bottom"/>
            <w:shd w:val="clear" w:color="auto" w:fill="E2EEFA"/>
          </w:tcPr>
          <w:p>
            <w:pPr>
              <w:spacing w:after="0"/>
              <w:rPr>
                <w:sz w:val="19"/>
                <w:szCs w:val="19"/>
                <w:color w:val="auto"/>
              </w:rPr>
            </w:pPr>
          </w:p>
        </w:tc>
        <w:tc>
          <w:tcPr>
            <w:tcW w:w="1540" w:type="dxa"/>
            <w:vAlign w:val="bottom"/>
            <w:shd w:val="clear" w:color="auto" w:fill="E2EEFA"/>
          </w:tcPr>
          <w:p>
            <w:pPr>
              <w:spacing w:after="0"/>
              <w:rPr>
                <w:sz w:val="19"/>
                <w:szCs w:val="19"/>
                <w:color w:val="auto"/>
              </w:rPr>
            </w:pPr>
          </w:p>
        </w:tc>
      </w:tr>
      <w:tr>
        <w:trPr>
          <w:trHeight w:val="181"/>
        </w:trPr>
        <w:tc>
          <w:tcPr>
            <w:tcW w:w="6220" w:type="dxa"/>
            <w:vAlign w:val="bottom"/>
            <w:shd w:val="clear" w:color="auto" w:fill="E2EEFA"/>
          </w:tcPr>
          <w:p>
            <w:pPr>
              <w:ind w:left="240"/>
              <w:spacing w:after="0" w:line="182" w:lineRule="exact"/>
              <w:rPr>
                <w:sz w:val="20"/>
                <w:szCs w:val="20"/>
                <w:color w:val="auto"/>
              </w:rPr>
            </w:pPr>
            <w:r>
              <w:rPr>
                <w:rFonts w:ascii="Arial" w:cs="Arial" w:eastAsia="Arial" w:hAnsi="Arial"/>
                <w:sz w:val="14"/>
                <w:szCs w:val="14"/>
                <w:color w:val="auto"/>
              </w:rPr>
              <w:t>55 East 52</w:t>
            </w:r>
            <w:r>
              <w:rPr>
                <w:rFonts w:ascii="Arial" w:cs="Arial" w:eastAsia="Arial" w:hAnsi="Arial"/>
                <w:sz w:val="21"/>
                <w:szCs w:val="21"/>
                <w:color w:val="auto"/>
                <w:vertAlign w:val="superscript"/>
              </w:rPr>
              <w:t>nd</w:t>
            </w:r>
            <w:r>
              <w:rPr>
                <w:rFonts w:ascii="Arial" w:cs="Arial" w:eastAsia="Arial" w:hAnsi="Arial"/>
                <w:sz w:val="14"/>
                <w:szCs w:val="14"/>
                <w:color w:val="auto"/>
              </w:rPr>
              <w:t xml:space="preserve"> Street</w:t>
            </w:r>
          </w:p>
        </w:tc>
        <w:tc>
          <w:tcPr>
            <w:tcW w:w="2800" w:type="dxa"/>
            <w:vAlign w:val="bottom"/>
            <w:shd w:val="clear" w:color="auto" w:fill="E2EEFA"/>
          </w:tcPr>
          <w:p>
            <w:pPr>
              <w:spacing w:after="0"/>
              <w:rPr>
                <w:sz w:val="15"/>
                <w:szCs w:val="15"/>
                <w:color w:val="auto"/>
              </w:rPr>
            </w:pPr>
          </w:p>
        </w:tc>
        <w:tc>
          <w:tcPr>
            <w:tcW w:w="1540" w:type="dxa"/>
            <w:vAlign w:val="bottom"/>
            <w:shd w:val="clear" w:color="auto" w:fill="E2EEFA"/>
          </w:tcPr>
          <w:p>
            <w:pPr>
              <w:spacing w:after="0"/>
              <w:rPr>
                <w:sz w:val="15"/>
                <w:szCs w:val="15"/>
                <w:color w:val="auto"/>
              </w:rPr>
            </w:pPr>
          </w:p>
        </w:tc>
      </w:tr>
      <w:tr>
        <w:trPr>
          <w:trHeight w:val="219"/>
        </w:trPr>
        <w:tc>
          <w:tcPr>
            <w:tcW w:w="6220" w:type="dxa"/>
            <w:vAlign w:val="bottom"/>
            <w:shd w:val="clear" w:color="auto" w:fill="E2EEFA"/>
          </w:tcPr>
          <w:p>
            <w:pPr>
              <w:ind w:left="240"/>
              <w:spacing w:after="0"/>
              <w:rPr>
                <w:sz w:val="20"/>
                <w:szCs w:val="20"/>
                <w:color w:val="auto"/>
              </w:rPr>
            </w:pPr>
            <w:r>
              <w:rPr>
                <w:rFonts w:ascii="Arial" w:cs="Arial" w:eastAsia="Arial" w:hAnsi="Arial"/>
                <w:sz w:val="16"/>
                <w:szCs w:val="16"/>
                <w:color w:val="auto"/>
              </w:rPr>
              <w:t>New York, NY 10022</w:t>
            </w:r>
          </w:p>
        </w:tc>
        <w:tc>
          <w:tcPr>
            <w:tcW w:w="2800" w:type="dxa"/>
            <w:vAlign w:val="bottom"/>
            <w:shd w:val="clear" w:color="auto" w:fill="E2EEFA"/>
          </w:tcPr>
          <w:p>
            <w:pPr>
              <w:jc w:val="right"/>
              <w:ind w:right="802"/>
              <w:spacing w:after="0" w:line="220" w:lineRule="exact"/>
              <w:rPr>
                <w:sz w:val="20"/>
                <w:szCs w:val="20"/>
                <w:color w:val="auto"/>
              </w:rPr>
            </w:pPr>
            <w:r>
              <w:rPr>
                <w:rFonts w:ascii="Arial" w:cs="Arial" w:eastAsia="Arial" w:hAnsi="Arial"/>
                <w:sz w:val="16"/>
                <w:szCs w:val="16"/>
                <w:color w:val="auto"/>
              </w:rPr>
              <w:t>9,105,204</w:t>
            </w:r>
            <w:r>
              <w:rPr>
                <w:rFonts w:ascii="Arial" w:cs="Arial" w:eastAsia="Arial" w:hAnsi="Arial"/>
                <w:sz w:val="23"/>
                <w:szCs w:val="23"/>
                <w:color w:val="auto"/>
                <w:vertAlign w:val="superscript"/>
              </w:rPr>
              <w:t>(1)</w:t>
            </w:r>
          </w:p>
        </w:tc>
        <w:tc>
          <w:tcPr>
            <w:tcW w:w="1540" w:type="dxa"/>
            <w:vAlign w:val="bottom"/>
            <w:shd w:val="clear" w:color="auto" w:fill="E2EEFA"/>
          </w:tcPr>
          <w:p>
            <w:pPr>
              <w:ind w:left="660"/>
              <w:spacing w:after="0"/>
              <w:rPr>
                <w:sz w:val="20"/>
                <w:szCs w:val="20"/>
                <w:color w:val="auto"/>
              </w:rPr>
            </w:pPr>
            <w:r>
              <w:rPr>
                <w:rFonts w:ascii="Arial" w:cs="Arial" w:eastAsia="Arial" w:hAnsi="Arial"/>
                <w:sz w:val="16"/>
                <w:szCs w:val="16"/>
                <w:color w:val="auto"/>
              </w:rPr>
              <w:t>9.30%</w:t>
            </w:r>
          </w:p>
        </w:tc>
      </w:tr>
      <w:tr>
        <w:trPr>
          <w:trHeight w:val="221"/>
        </w:trPr>
        <w:tc>
          <w:tcPr>
            <w:tcW w:w="6220" w:type="dxa"/>
            <w:vAlign w:val="bottom"/>
          </w:tcPr>
          <w:p>
            <w:pPr>
              <w:ind w:left="80"/>
              <w:spacing w:after="0"/>
              <w:rPr>
                <w:sz w:val="20"/>
                <w:szCs w:val="20"/>
                <w:color w:val="auto"/>
              </w:rPr>
            </w:pPr>
            <w:r>
              <w:rPr>
                <w:rFonts w:ascii="Arial" w:cs="Arial" w:eastAsia="Arial" w:hAnsi="Arial"/>
                <w:sz w:val="16"/>
                <w:szCs w:val="16"/>
                <w:color w:val="auto"/>
              </w:rPr>
              <w:t>Vanguard Capital Management</w:t>
            </w:r>
          </w:p>
        </w:tc>
        <w:tc>
          <w:tcPr>
            <w:tcW w:w="28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81"/>
        </w:trPr>
        <w:tc>
          <w:tcPr>
            <w:tcW w:w="6220" w:type="dxa"/>
            <w:vAlign w:val="bottom"/>
          </w:tcPr>
          <w:p>
            <w:pPr>
              <w:ind w:left="240"/>
              <w:spacing w:after="0" w:line="181" w:lineRule="exact"/>
              <w:rPr>
                <w:sz w:val="20"/>
                <w:szCs w:val="20"/>
                <w:color w:val="auto"/>
              </w:rPr>
            </w:pPr>
            <w:r>
              <w:rPr>
                <w:rFonts w:ascii="Arial" w:cs="Arial" w:eastAsia="Arial" w:hAnsi="Arial"/>
                <w:sz w:val="16"/>
                <w:szCs w:val="16"/>
                <w:color w:val="auto"/>
              </w:rPr>
              <w:t>100 Vanguard Blvd.</w:t>
            </w:r>
          </w:p>
        </w:tc>
        <w:tc>
          <w:tcPr>
            <w:tcW w:w="28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9"/>
        </w:trPr>
        <w:tc>
          <w:tcPr>
            <w:tcW w:w="6220" w:type="dxa"/>
            <w:vAlign w:val="bottom"/>
          </w:tcPr>
          <w:p>
            <w:pPr>
              <w:ind w:left="240"/>
              <w:spacing w:after="0"/>
              <w:rPr>
                <w:sz w:val="20"/>
                <w:szCs w:val="20"/>
                <w:color w:val="auto"/>
              </w:rPr>
            </w:pPr>
            <w:r>
              <w:rPr>
                <w:rFonts w:ascii="Arial" w:cs="Arial" w:eastAsia="Arial" w:hAnsi="Arial"/>
                <w:sz w:val="16"/>
                <w:szCs w:val="16"/>
                <w:color w:val="auto"/>
              </w:rPr>
              <w:t>Malvern, PA 19355</w:t>
            </w:r>
          </w:p>
        </w:tc>
        <w:tc>
          <w:tcPr>
            <w:tcW w:w="2800" w:type="dxa"/>
            <w:vAlign w:val="bottom"/>
          </w:tcPr>
          <w:p>
            <w:pPr>
              <w:jc w:val="right"/>
              <w:ind w:right="802"/>
              <w:spacing w:after="0" w:line="220" w:lineRule="exact"/>
              <w:rPr>
                <w:sz w:val="20"/>
                <w:szCs w:val="20"/>
                <w:color w:val="auto"/>
              </w:rPr>
            </w:pPr>
            <w:r>
              <w:rPr>
                <w:rFonts w:ascii="Arial" w:cs="Arial" w:eastAsia="Arial" w:hAnsi="Arial"/>
                <w:sz w:val="16"/>
                <w:szCs w:val="16"/>
                <w:color w:val="auto"/>
              </w:rPr>
              <w:t>7,340,236</w:t>
            </w:r>
            <w:r>
              <w:rPr>
                <w:rFonts w:ascii="Arial" w:cs="Arial" w:eastAsia="Arial" w:hAnsi="Arial"/>
                <w:sz w:val="23"/>
                <w:szCs w:val="23"/>
                <w:color w:val="auto"/>
                <w:vertAlign w:val="superscript"/>
              </w:rPr>
              <w:t>(2)</w:t>
            </w:r>
          </w:p>
        </w:tc>
        <w:tc>
          <w:tcPr>
            <w:tcW w:w="1540" w:type="dxa"/>
            <w:vAlign w:val="bottom"/>
          </w:tcPr>
          <w:p>
            <w:pPr>
              <w:ind w:left="660"/>
              <w:spacing w:after="0"/>
              <w:rPr>
                <w:sz w:val="20"/>
                <w:szCs w:val="20"/>
                <w:color w:val="auto"/>
              </w:rPr>
            </w:pPr>
            <w:r>
              <w:rPr>
                <w:rFonts w:ascii="Arial" w:cs="Arial" w:eastAsia="Arial" w:hAnsi="Arial"/>
                <w:sz w:val="16"/>
                <w:szCs w:val="16"/>
                <w:color w:val="auto"/>
              </w:rPr>
              <w:t>7.50%</w:t>
            </w:r>
          </w:p>
        </w:tc>
      </w:tr>
      <w:tr>
        <w:trPr>
          <w:trHeight w:val="221"/>
        </w:trPr>
        <w:tc>
          <w:tcPr>
            <w:tcW w:w="6220" w:type="dxa"/>
            <w:vAlign w:val="bottom"/>
            <w:shd w:val="clear" w:color="auto" w:fill="E2EEFA"/>
          </w:tcPr>
          <w:p>
            <w:pPr>
              <w:ind w:left="80"/>
              <w:spacing w:after="0"/>
              <w:rPr>
                <w:sz w:val="20"/>
                <w:szCs w:val="20"/>
                <w:color w:val="auto"/>
              </w:rPr>
            </w:pPr>
            <w:r>
              <w:rPr>
                <w:rFonts w:ascii="Arial" w:cs="Arial" w:eastAsia="Arial" w:hAnsi="Arial"/>
                <w:sz w:val="16"/>
                <w:szCs w:val="16"/>
                <w:color w:val="auto"/>
              </w:rPr>
              <w:t>State Street Corporation</w:t>
            </w:r>
          </w:p>
        </w:tc>
        <w:tc>
          <w:tcPr>
            <w:tcW w:w="2800" w:type="dxa"/>
            <w:vAlign w:val="bottom"/>
            <w:shd w:val="clear" w:color="auto" w:fill="E2EEFA"/>
          </w:tcPr>
          <w:p>
            <w:pPr>
              <w:spacing w:after="0"/>
              <w:rPr>
                <w:sz w:val="19"/>
                <w:szCs w:val="19"/>
                <w:color w:val="auto"/>
              </w:rPr>
            </w:pPr>
          </w:p>
        </w:tc>
        <w:tc>
          <w:tcPr>
            <w:tcW w:w="1540" w:type="dxa"/>
            <w:vAlign w:val="bottom"/>
            <w:shd w:val="clear" w:color="auto" w:fill="E2EEFA"/>
          </w:tcPr>
          <w:p>
            <w:pPr>
              <w:spacing w:after="0"/>
              <w:rPr>
                <w:sz w:val="19"/>
                <w:szCs w:val="19"/>
                <w:color w:val="auto"/>
              </w:rPr>
            </w:pPr>
          </w:p>
        </w:tc>
      </w:tr>
      <w:tr>
        <w:trPr>
          <w:trHeight w:val="181"/>
        </w:trPr>
        <w:tc>
          <w:tcPr>
            <w:tcW w:w="6220" w:type="dxa"/>
            <w:vAlign w:val="bottom"/>
            <w:shd w:val="clear" w:color="auto" w:fill="E2EEFA"/>
          </w:tcPr>
          <w:p>
            <w:pPr>
              <w:ind w:left="240"/>
              <w:spacing w:after="0" w:line="181" w:lineRule="exact"/>
              <w:rPr>
                <w:sz w:val="20"/>
                <w:szCs w:val="20"/>
                <w:color w:val="auto"/>
              </w:rPr>
            </w:pPr>
            <w:r>
              <w:rPr>
                <w:rFonts w:ascii="Arial" w:cs="Arial" w:eastAsia="Arial" w:hAnsi="Arial"/>
                <w:sz w:val="16"/>
                <w:szCs w:val="16"/>
                <w:color w:val="auto"/>
              </w:rPr>
              <w:t>One Congress Street, Suite 1</w:t>
            </w:r>
          </w:p>
        </w:tc>
        <w:tc>
          <w:tcPr>
            <w:tcW w:w="2800" w:type="dxa"/>
            <w:vAlign w:val="bottom"/>
            <w:shd w:val="clear" w:color="auto" w:fill="E2EEFA"/>
          </w:tcPr>
          <w:p>
            <w:pPr>
              <w:spacing w:after="0"/>
              <w:rPr>
                <w:sz w:val="15"/>
                <w:szCs w:val="15"/>
                <w:color w:val="auto"/>
              </w:rPr>
            </w:pPr>
          </w:p>
        </w:tc>
        <w:tc>
          <w:tcPr>
            <w:tcW w:w="1540" w:type="dxa"/>
            <w:vAlign w:val="bottom"/>
            <w:shd w:val="clear" w:color="auto" w:fill="E2EEFA"/>
          </w:tcPr>
          <w:p>
            <w:pPr>
              <w:spacing w:after="0"/>
              <w:rPr>
                <w:sz w:val="15"/>
                <w:szCs w:val="15"/>
                <w:color w:val="auto"/>
              </w:rPr>
            </w:pPr>
          </w:p>
        </w:tc>
      </w:tr>
      <w:tr>
        <w:trPr>
          <w:trHeight w:val="219"/>
        </w:trPr>
        <w:tc>
          <w:tcPr>
            <w:tcW w:w="6220" w:type="dxa"/>
            <w:vAlign w:val="bottom"/>
            <w:shd w:val="clear" w:color="auto" w:fill="E2EEFA"/>
          </w:tcPr>
          <w:p>
            <w:pPr>
              <w:ind w:left="240"/>
              <w:spacing w:after="0"/>
              <w:rPr>
                <w:sz w:val="20"/>
                <w:szCs w:val="20"/>
                <w:color w:val="auto"/>
              </w:rPr>
            </w:pPr>
            <w:r>
              <w:rPr>
                <w:rFonts w:ascii="Arial" w:cs="Arial" w:eastAsia="Arial" w:hAnsi="Arial"/>
                <w:sz w:val="16"/>
                <w:szCs w:val="16"/>
                <w:color w:val="auto"/>
              </w:rPr>
              <w:t>Boston, MA 02114</w:t>
            </w:r>
          </w:p>
        </w:tc>
        <w:tc>
          <w:tcPr>
            <w:tcW w:w="2800" w:type="dxa"/>
            <w:vAlign w:val="bottom"/>
            <w:shd w:val="clear" w:color="auto" w:fill="E2EEFA"/>
          </w:tcPr>
          <w:p>
            <w:pPr>
              <w:jc w:val="right"/>
              <w:ind w:right="802"/>
              <w:spacing w:after="0" w:line="220" w:lineRule="exact"/>
              <w:rPr>
                <w:sz w:val="20"/>
                <w:szCs w:val="20"/>
                <w:color w:val="auto"/>
              </w:rPr>
            </w:pPr>
            <w:r>
              <w:rPr>
                <w:rFonts w:ascii="Arial" w:cs="Arial" w:eastAsia="Arial" w:hAnsi="Arial"/>
                <w:sz w:val="16"/>
                <w:szCs w:val="16"/>
                <w:color w:val="auto"/>
              </w:rPr>
              <w:t>4,995,259</w:t>
            </w:r>
            <w:r>
              <w:rPr>
                <w:rFonts w:ascii="Arial" w:cs="Arial" w:eastAsia="Arial" w:hAnsi="Arial"/>
                <w:sz w:val="23"/>
                <w:szCs w:val="23"/>
                <w:color w:val="auto"/>
                <w:vertAlign w:val="superscript"/>
              </w:rPr>
              <w:t>(3)</w:t>
            </w:r>
          </w:p>
        </w:tc>
        <w:tc>
          <w:tcPr>
            <w:tcW w:w="1540" w:type="dxa"/>
            <w:vAlign w:val="bottom"/>
            <w:shd w:val="clear" w:color="auto" w:fill="E2EEFA"/>
          </w:tcPr>
          <w:p>
            <w:pPr>
              <w:ind w:left="660"/>
              <w:spacing w:after="0"/>
              <w:rPr>
                <w:sz w:val="20"/>
                <w:szCs w:val="20"/>
                <w:color w:val="auto"/>
              </w:rPr>
            </w:pPr>
            <w:r>
              <w:rPr>
                <w:rFonts w:ascii="Arial" w:cs="Arial" w:eastAsia="Arial" w:hAnsi="Arial"/>
                <w:sz w:val="16"/>
                <w:szCs w:val="16"/>
                <w:color w:val="auto"/>
              </w:rPr>
              <w:t>5.10%</w:t>
            </w:r>
          </w:p>
        </w:tc>
      </w:tr>
      <w:tr>
        <w:trPr>
          <w:trHeight w:val="221"/>
        </w:trPr>
        <w:tc>
          <w:tcPr>
            <w:tcW w:w="6220" w:type="dxa"/>
            <w:vAlign w:val="bottom"/>
          </w:tcPr>
          <w:p>
            <w:pPr>
              <w:ind w:left="80"/>
              <w:spacing w:after="0"/>
              <w:rPr>
                <w:sz w:val="20"/>
                <w:szCs w:val="20"/>
                <w:color w:val="auto"/>
              </w:rPr>
            </w:pPr>
            <w:r>
              <w:rPr>
                <w:rFonts w:ascii="Arial" w:cs="Arial" w:eastAsia="Arial" w:hAnsi="Arial"/>
                <w:sz w:val="16"/>
                <w:szCs w:val="16"/>
                <w:color w:val="auto"/>
              </w:rPr>
              <w:t>Vanguard Portfolio Management</w:t>
            </w:r>
          </w:p>
        </w:tc>
        <w:tc>
          <w:tcPr>
            <w:tcW w:w="28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81"/>
        </w:trPr>
        <w:tc>
          <w:tcPr>
            <w:tcW w:w="6220" w:type="dxa"/>
            <w:vAlign w:val="bottom"/>
          </w:tcPr>
          <w:p>
            <w:pPr>
              <w:ind w:left="240"/>
              <w:spacing w:after="0" w:line="181" w:lineRule="exact"/>
              <w:rPr>
                <w:sz w:val="20"/>
                <w:szCs w:val="20"/>
                <w:color w:val="auto"/>
              </w:rPr>
            </w:pPr>
            <w:r>
              <w:rPr>
                <w:rFonts w:ascii="Arial" w:cs="Arial" w:eastAsia="Arial" w:hAnsi="Arial"/>
                <w:sz w:val="16"/>
                <w:szCs w:val="16"/>
                <w:color w:val="auto"/>
              </w:rPr>
              <w:t>100 Vanguard Blvd.</w:t>
            </w:r>
          </w:p>
        </w:tc>
        <w:tc>
          <w:tcPr>
            <w:tcW w:w="28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9"/>
        </w:trPr>
        <w:tc>
          <w:tcPr>
            <w:tcW w:w="6220" w:type="dxa"/>
            <w:vAlign w:val="bottom"/>
            <w:tcBorders>
              <w:bottom w:val="single" w:sz="8" w:color="3E8EDE"/>
            </w:tcBorders>
          </w:tcPr>
          <w:p>
            <w:pPr>
              <w:ind w:left="240"/>
              <w:spacing w:after="0"/>
              <w:rPr>
                <w:sz w:val="20"/>
                <w:szCs w:val="20"/>
                <w:color w:val="auto"/>
              </w:rPr>
            </w:pPr>
            <w:r>
              <w:rPr>
                <w:rFonts w:ascii="Arial" w:cs="Arial" w:eastAsia="Arial" w:hAnsi="Arial"/>
                <w:sz w:val="16"/>
                <w:szCs w:val="16"/>
                <w:color w:val="auto"/>
              </w:rPr>
              <w:t>Malvern, PA 19355</w:t>
            </w:r>
          </w:p>
        </w:tc>
        <w:tc>
          <w:tcPr>
            <w:tcW w:w="2800" w:type="dxa"/>
            <w:vAlign w:val="bottom"/>
            <w:tcBorders>
              <w:bottom w:val="single" w:sz="8" w:color="3E8EDE"/>
            </w:tcBorders>
          </w:tcPr>
          <w:p>
            <w:pPr>
              <w:jc w:val="right"/>
              <w:ind w:right="802"/>
              <w:spacing w:after="0" w:line="220" w:lineRule="exact"/>
              <w:rPr>
                <w:sz w:val="20"/>
                <w:szCs w:val="20"/>
                <w:color w:val="auto"/>
              </w:rPr>
            </w:pPr>
            <w:r>
              <w:rPr>
                <w:rFonts w:ascii="Arial" w:cs="Arial" w:eastAsia="Arial" w:hAnsi="Arial"/>
                <w:sz w:val="16"/>
                <w:szCs w:val="16"/>
                <w:color w:val="auto"/>
              </w:rPr>
              <w:t>4,962,018</w:t>
            </w:r>
            <w:r>
              <w:rPr>
                <w:rFonts w:ascii="Arial" w:cs="Arial" w:eastAsia="Arial" w:hAnsi="Arial"/>
                <w:sz w:val="23"/>
                <w:szCs w:val="23"/>
                <w:color w:val="auto"/>
                <w:vertAlign w:val="superscript"/>
              </w:rPr>
              <w:t>(4)</w:t>
            </w:r>
          </w:p>
        </w:tc>
        <w:tc>
          <w:tcPr>
            <w:tcW w:w="1540" w:type="dxa"/>
            <w:vAlign w:val="bottom"/>
            <w:tcBorders>
              <w:bottom w:val="single" w:sz="8" w:color="3E8EDE"/>
            </w:tcBorders>
          </w:tcPr>
          <w:p>
            <w:pPr>
              <w:ind w:left="660"/>
              <w:spacing w:after="0"/>
              <w:rPr>
                <w:sz w:val="20"/>
                <w:szCs w:val="20"/>
                <w:color w:val="auto"/>
              </w:rPr>
            </w:pPr>
            <w:r>
              <w:rPr>
                <w:rFonts w:ascii="Arial" w:cs="Arial" w:eastAsia="Arial" w:hAnsi="Arial"/>
                <w:sz w:val="16"/>
                <w:szCs w:val="16"/>
                <w:color w:val="auto"/>
              </w:rPr>
              <w:t>5.07%</w:t>
            </w:r>
          </w:p>
        </w:tc>
      </w:tr>
    </w:tbl>
    <w:p>
      <w:pPr>
        <w:spacing w:after="0" w:line="95" w:lineRule="exact"/>
        <w:rPr>
          <w:sz w:val="20"/>
          <w:szCs w:val="20"/>
          <w:color w:val="auto"/>
        </w:rPr>
      </w:pPr>
    </w:p>
    <w:p>
      <w:pPr>
        <w:ind w:left="860" w:right="40" w:hanging="520"/>
        <w:spacing w:after="0" w:line="239" w:lineRule="auto"/>
        <w:tabs>
          <w:tab w:leader="none" w:pos="8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Based solely upon information contained in an amended Schedule 13G filed with the SEC on November 8, 2024, which Schedule specifies that BlackRock, Inc. had sole voting power with respect to 8,397,680 Ordinary Shares, shared voting power with respect to zero Ordinary Shares, sole dispositive power with respect to 9,105,204 Ordinary Shares and shared dispositive power with respect to no Ordinary Shares.</w:t>
      </w:r>
    </w:p>
    <w:p>
      <w:pPr>
        <w:spacing w:after="0" w:line="75" w:lineRule="exact"/>
        <w:rPr>
          <w:rFonts w:ascii="Arial" w:cs="Arial" w:eastAsia="Arial" w:hAnsi="Arial"/>
          <w:sz w:val="19"/>
          <w:szCs w:val="19"/>
          <w:color w:val="auto"/>
        </w:rPr>
      </w:pPr>
    </w:p>
    <w:p>
      <w:pPr>
        <w:ind w:left="860" w:right="60" w:hanging="520"/>
        <w:spacing w:after="0" w:line="239" w:lineRule="auto"/>
        <w:tabs>
          <w:tab w:leader="none" w:pos="8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Based solely upon information contained in a Schedule 13G filed with the SEC on April 30, 2026, which Schedule specifies that Vanguard Capital Management had sole voting power with respect to 973,858 Ordinary Shares, shared voting power with respect to no Ordinary Shares, sole dispositive power with respect to 7,340,236 Ordinary Shares and shared dispositive power with respect to no Ordinary Shares.</w:t>
      </w:r>
    </w:p>
    <w:p>
      <w:pPr>
        <w:spacing w:after="0" w:line="75" w:lineRule="exact"/>
        <w:rPr>
          <w:rFonts w:ascii="Arial" w:cs="Arial" w:eastAsia="Arial" w:hAnsi="Arial"/>
          <w:sz w:val="19"/>
          <w:szCs w:val="19"/>
          <w:color w:val="auto"/>
        </w:rPr>
      </w:pPr>
    </w:p>
    <w:p>
      <w:pPr>
        <w:ind w:left="860" w:right="140" w:hanging="520"/>
        <w:spacing w:after="0" w:line="239" w:lineRule="auto"/>
        <w:tabs>
          <w:tab w:leader="none" w:pos="8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Based solely upon information contained in a Schedule 13G filed with the SEC on May 12, 2026, which Schedule specifies that State Street Corporation had sole voting power with respect to no Ordinary Shares, shared voting power with respect to 3,198,310 Ordinary Shares, sole dispositive power with respect to no Ordinary Shares and shared dispositive power with respect to 4,992,076 Ordinary Shares.</w:t>
      </w:r>
    </w:p>
    <w:p>
      <w:pPr>
        <w:spacing w:after="0" w:line="75" w:lineRule="exact"/>
        <w:rPr>
          <w:rFonts w:ascii="Arial" w:cs="Arial" w:eastAsia="Arial" w:hAnsi="Arial"/>
          <w:sz w:val="19"/>
          <w:szCs w:val="19"/>
          <w:color w:val="auto"/>
        </w:rPr>
      </w:pPr>
    </w:p>
    <w:p>
      <w:pPr>
        <w:ind w:left="860" w:right="60" w:hanging="520"/>
        <w:spacing w:after="0" w:line="239" w:lineRule="auto"/>
        <w:tabs>
          <w:tab w:leader="none" w:pos="8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Based solely upon information contained in a Schedule 13G filed with the SEC on April 29, 2026, which Schedule specifies that Vanguard Portfolio Management had sole voting power with respect to 11,978 Ordinary Shares, shared voting power with respect to no Ordinary Shares, sole dispositive power with respect to 4,962,018 Ordinary Shares and shared dispositive power with respect to no Ordinary Shares.</w:t>
      </w:r>
    </w:p>
    <w:p>
      <w:pPr>
        <w:spacing w:after="0" w:line="108"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3E8EDE"/>
        </w:rPr>
        <w:t xml:space="preserve">Notice of Annual Meeting of Shareholders </w:t>
      </w:r>
      <w:r>
        <w:rPr>
          <w:rFonts w:ascii="Arial" w:cs="Arial" w:eastAsia="Arial" w:hAnsi="Arial"/>
          <w:sz w:val="14"/>
          <w:szCs w:val="14"/>
          <w:color w:val="000000"/>
        </w:rPr>
        <w:t>and 2026 Proxy Statement   93</w:t>
      </w:r>
    </w:p>
    <w:p>
      <w:pPr>
        <w:sectPr>
          <w:pgSz w:w="11900" w:h="16838" w:orient="portrait"/>
          <w:cols w:equalWidth="0" w:num="1">
            <w:col w:w="10900"/>
          </w:cols>
          <w:pgMar w:left="320" w:top="469" w:right="6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460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Ownership of Voting Securities: </w:t>
      </w:r>
      <w:r>
        <w:rPr>
          <w:rFonts w:ascii="Arial" w:cs="Arial" w:eastAsia="Arial" w:hAnsi="Arial"/>
          <w:sz w:val="15"/>
          <w:szCs w:val="15"/>
          <w:b w:val="1"/>
          <w:bCs w:val="1"/>
          <w:color w:val="000000"/>
        </w:rPr>
        <w:t>Stock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Stock Ownership of Directors and Executive Officers</w:t>
      </w:r>
    </w:p>
    <w:p>
      <w:pPr>
        <w:spacing w:after="0" w:line="217" w:lineRule="exact"/>
        <w:rPr>
          <w:sz w:val="20"/>
          <w:szCs w:val="20"/>
          <w:color w:val="auto"/>
        </w:rPr>
      </w:pPr>
    </w:p>
    <w:p>
      <w:pPr>
        <w:ind w:left="340" w:right="140"/>
        <w:spacing w:after="0" w:line="239" w:lineRule="auto"/>
        <w:rPr>
          <w:sz w:val="20"/>
          <w:szCs w:val="20"/>
          <w:color w:val="auto"/>
        </w:rPr>
      </w:pPr>
      <w:r>
        <w:rPr>
          <w:rFonts w:ascii="Arial" w:cs="Arial" w:eastAsia="Arial" w:hAnsi="Arial"/>
          <w:sz w:val="19"/>
          <w:szCs w:val="19"/>
          <w:color w:val="auto"/>
        </w:rPr>
        <w:t>The following table shows the beneficial ownership of Ordinary Shares by each director of the Company, each nominee for election as director, each of the named executive officers and all directors, nominees, and executive officers of the Company as a group, as of March 31, 2026, unless otherwise indicated below. Percentages are based upon the number of Ordinary Shares outstanding as of March 31, 2026 (97,802,741).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135255</wp:posOffset>
            </wp:positionV>
            <wp:extent cx="6710045" cy="4603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710045" cy="460375"/>
                    </a:xfrm>
                    <a:prstGeom prst="rect">
                      <a:avLst/>
                    </a:prstGeom>
                    <a:noFill/>
                  </pic:spPr>
                </pic:pic>
              </a:graphicData>
            </a:graphic>
          </wp:anchor>
        </w:drawing>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40" w:type="dxa"/>
            <w:vAlign w:val="bottom"/>
            <w:shd w:val="clear" w:color="auto" w:fill="3E8EDE"/>
          </w:tcPr>
          <w:p>
            <w:pPr>
              <w:spacing w:after="0"/>
              <w:rPr>
                <w:sz w:val="19"/>
                <w:szCs w:val="19"/>
                <w:color w:val="auto"/>
              </w:rPr>
            </w:pPr>
          </w:p>
        </w:tc>
        <w:tc>
          <w:tcPr>
            <w:tcW w:w="4220" w:type="dxa"/>
            <w:vAlign w:val="bottom"/>
            <w:gridSpan w:val="4"/>
            <w:shd w:val="clear" w:color="auto" w:fill="3E8EDE"/>
          </w:tcPr>
          <w:p>
            <w:pPr>
              <w:jc w:val="right"/>
              <w:ind w:right="44"/>
              <w:spacing w:after="0"/>
              <w:rPr>
                <w:sz w:val="20"/>
                <w:szCs w:val="20"/>
                <w:color w:val="auto"/>
              </w:rPr>
            </w:pPr>
            <w:r>
              <w:rPr>
                <w:rFonts w:ascii="Arial" w:cs="Arial" w:eastAsia="Arial" w:hAnsi="Arial"/>
                <w:sz w:val="14"/>
                <w:szCs w:val="14"/>
                <w:b w:val="1"/>
                <w:bCs w:val="1"/>
                <w:color w:val="FFFFFF"/>
                <w:w w:val="99"/>
              </w:rPr>
              <w:t>Number of Shares Beneficially Owned as of March 31, 2026</w:t>
            </w:r>
            <w:r>
              <w:rPr>
                <w:rFonts w:ascii="Arial" w:cs="Arial" w:eastAsia="Arial" w:hAnsi="Arial"/>
                <w:sz w:val="20"/>
                <w:szCs w:val="20"/>
                <w:b w:val="1"/>
                <w:bCs w:val="1"/>
                <w:color w:val="FFFFFF"/>
                <w:w w:val="99"/>
                <w:vertAlign w:val="superscript"/>
              </w:rPr>
              <w:t>(1)</w:t>
            </w:r>
          </w:p>
        </w:tc>
      </w:tr>
      <w:tr>
        <w:trPr>
          <w:trHeight w:val="155"/>
        </w:trPr>
        <w:tc>
          <w:tcPr>
            <w:tcW w:w="6340" w:type="dxa"/>
            <w:vAlign w:val="bottom"/>
            <w:shd w:val="clear" w:color="auto" w:fill="3E8EDE"/>
          </w:tcPr>
          <w:p>
            <w:pPr>
              <w:spacing w:after="0"/>
              <w:rPr>
                <w:sz w:val="13"/>
                <w:szCs w:val="13"/>
                <w:color w:val="auto"/>
              </w:rPr>
            </w:pPr>
          </w:p>
        </w:tc>
        <w:tc>
          <w:tcPr>
            <w:tcW w:w="1060" w:type="dxa"/>
            <w:vAlign w:val="bottom"/>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8"/>
              </w:rPr>
              <w:t>Shares Owned</w:t>
            </w:r>
          </w:p>
        </w:tc>
        <w:tc>
          <w:tcPr>
            <w:tcW w:w="140" w:type="dxa"/>
            <w:vAlign w:val="bottom"/>
            <w:shd w:val="clear" w:color="auto" w:fill="3E8EDE"/>
          </w:tcPr>
          <w:p>
            <w:pPr>
              <w:spacing w:after="0"/>
              <w:rPr>
                <w:sz w:val="13"/>
                <w:szCs w:val="13"/>
                <w:color w:val="auto"/>
              </w:rPr>
            </w:pPr>
          </w:p>
        </w:tc>
        <w:tc>
          <w:tcPr>
            <w:tcW w:w="2020" w:type="dxa"/>
            <w:vAlign w:val="bottom"/>
            <w:shd w:val="clear" w:color="auto" w:fill="3E8EDE"/>
          </w:tcPr>
          <w:p>
            <w:pPr>
              <w:jc w:val="center"/>
              <w:ind w:right="44"/>
              <w:spacing w:after="0" w:line="155" w:lineRule="exact"/>
              <w:rPr>
                <w:sz w:val="20"/>
                <w:szCs w:val="20"/>
                <w:color w:val="auto"/>
              </w:rPr>
            </w:pPr>
            <w:r>
              <w:rPr>
                <w:rFonts w:ascii="Arial" w:cs="Arial" w:eastAsia="Arial" w:hAnsi="Arial"/>
                <w:sz w:val="14"/>
                <w:szCs w:val="14"/>
                <w:b w:val="1"/>
                <w:bCs w:val="1"/>
                <w:color w:val="FFFFFF"/>
                <w:w w:val="98"/>
              </w:rPr>
              <w:t>Stock Options Exercisable</w:t>
            </w:r>
          </w:p>
        </w:tc>
        <w:tc>
          <w:tcPr>
            <w:tcW w:w="1000" w:type="dxa"/>
            <w:vAlign w:val="bottom"/>
            <w:shd w:val="clear" w:color="auto" w:fill="3E8EDE"/>
          </w:tcPr>
          <w:p>
            <w:pPr>
              <w:jc w:val="center"/>
              <w:spacing w:after="0" w:line="155" w:lineRule="exact"/>
              <w:rPr>
                <w:sz w:val="20"/>
                <w:szCs w:val="20"/>
                <w:color w:val="auto"/>
              </w:rPr>
            </w:pPr>
            <w:r>
              <w:rPr>
                <w:rFonts w:ascii="Arial" w:cs="Arial" w:eastAsia="Arial" w:hAnsi="Arial"/>
                <w:sz w:val="14"/>
                <w:szCs w:val="14"/>
                <w:b w:val="1"/>
                <w:bCs w:val="1"/>
                <w:color w:val="FFFFFF"/>
                <w:w w:val="97"/>
              </w:rPr>
              <w:t>Total Stock-</w:t>
            </w:r>
          </w:p>
        </w:tc>
      </w:tr>
      <w:tr>
        <w:trPr>
          <w:trHeight w:val="152"/>
        </w:trPr>
        <w:tc>
          <w:tcPr>
            <w:tcW w:w="6340" w:type="dxa"/>
            <w:vAlign w:val="bottom"/>
            <w:shd w:val="clear" w:color="auto" w:fill="3E8EDE"/>
          </w:tcPr>
          <w:p>
            <w:pPr>
              <w:spacing w:after="0"/>
              <w:rPr>
                <w:sz w:val="13"/>
                <w:szCs w:val="13"/>
                <w:color w:val="auto"/>
              </w:rPr>
            </w:pPr>
          </w:p>
        </w:tc>
        <w:tc>
          <w:tcPr>
            <w:tcW w:w="1060" w:type="dxa"/>
            <w:vAlign w:val="bottom"/>
            <w:shd w:val="clear" w:color="auto" w:fill="3E8EDE"/>
          </w:tcPr>
          <w:p>
            <w:pPr>
              <w:jc w:val="center"/>
              <w:ind w:left="4"/>
              <w:spacing w:after="0" w:line="152" w:lineRule="exact"/>
              <w:rPr>
                <w:sz w:val="20"/>
                <w:szCs w:val="20"/>
                <w:color w:val="auto"/>
              </w:rPr>
            </w:pPr>
            <w:r>
              <w:rPr>
                <w:rFonts w:ascii="Arial" w:cs="Arial" w:eastAsia="Arial" w:hAnsi="Arial"/>
                <w:sz w:val="14"/>
                <w:szCs w:val="14"/>
                <w:b w:val="1"/>
                <w:bCs w:val="1"/>
                <w:color w:val="FFFFFF"/>
                <w:w w:val="97"/>
              </w:rPr>
              <w:t>Directly and</w:t>
            </w:r>
          </w:p>
        </w:tc>
        <w:tc>
          <w:tcPr>
            <w:tcW w:w="140" w:type="dxa"/>
            <w:vAlign w:val="bottom"/>
            <w:shd w:val="clear" w:color="auto" w:fill="3E8EDE"/>
          </w:tcPr>
          <w:p>
            <w:pPr>
              <w:spacing w:after="0"/>
              <w:rPr>
                <w:sz w:val="13"/>
                <w:szCs w:val="13"/>
                <w:color w:val="auto"/>
              </w:rPr>
            </w:pPr>
          </w:p>
        </w:tc>
        <w:tc>
          <w:tcPr>
            <w:tcW w:w="2020" w:type="dxa"/>
            <w:vAlign w:val="bottom"/>
            <w:shd w:val="clear" w:color="auto" w:fill="3E8EDE"/>
          </w:tcPr>
          <w:p>
            <w:pPr>
              <w:jc w:val="center"/>
              <w:ind w:right="24"/>
              <w:spacing w:after="0" w:line="152" w:lineRule="exact"/>
              <w:rPr>
                <w:sz w:val="20"/>
                <w:szCs w:val="20"/>
                <w:color w:val="auto"/>
              </w:rPr>
            </w:pPr>
            <w:r>
              <w:rPr>
                <w:rFonts w:ascii="Arial" w:cs="Arial" w:eastAsia="Arial" w:hAnsi="Arial"/>
                <w:sz w:val="14"/>
                <w:szCs w:val="14"/>
                <w:b w:val="1"/>
                <w:bCs w:val="1"/>
                <w:color w:val="FFFFFF"/>
                <w:w w:val="99"/>
              </w:rPr>
              <w:t>Within 60 Days of</w:t>
            </w:r>
          </w:p>
        </w:tc>
        <w:tc>
          <w:tcPr>
            <w:tcW w:w="1000" w:type="dxa"/>
            <w:vAlign w:val="bottom"/>
            <w:shd w:val="clear" w:color="auto" w:fill="3E8EDE"/>
          </w:tcPr>
          <w:p>
            <w:pPr>
              <w:jc w:val="center"/>
              <w:spacing w:after="0" w:line="152" w:lineRule="exact"/>
              <w:rPr>
                <w:sz w:val="20"/>
                <w:szCs w:val="20"/>
                <w:color w:val="auto"/>
              </w:rPr>
            </w:pPr>
            <w:r>
              <w:rPr>
                <w:rFonts w:ascii="Arial" w:cs="Arial" w:eastAsia="Arial" w:hAnsi="Arial"/>
                <w:sz w:val="14"/>
                <w:szCs w:val="14"/>
                <w:b w:val="1"/>
                <w:bCs w:val="1"/>
                <w:color w:val="FFFFFF"/>
                <w:w w:val="99"/>
              </w:rPr>
              <w:t>Based</w:t>
            </w:r>
          </w:p>
        </w:tc>
      </w:tr>
      <w:tr>
        <w:trPr>
          <w:trHeight w:val="194"/>
        </w:trPr>
        <w:tc>
          <w:tcPr>
            <w:tcW w:w="6340" w:type="dxa"/>
            <w:vAlign w:val="bottom"/>
            <w:shd w:val="clear" w:color="auto" w:fill="3E8EDE"/>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1060" w:type="dxa"/>
            <w:vAlign w:val="bottom"/>
            <w:shd w:val="clear" w:color="auto" w:fill="3E8EDE"/>
          </w:tcPr>
          <w:p>
            <w:pPr>
              <w:jc w:val="center"/>
              <w:ind w:left="4"/>
              <w:spacing w:after="0" w:line="194" w:lineRule="exact"/>
              <w:rPr>
                <w:sz w:val="20"/>
                <w:szCs w:val="20"/>
                <w:color w:val="auto"/>
              </w:rPr>
            </w:pPr>
            <w:r>
              <w:rPr>
                <w:rFonts w:ascii="Arial" w:cs="Arial" w:eastAsia="Arial" w:hAnsi="Arial"/>
                <w:sz w:val="14"/>
                <w:szCs w:val="14"/>
                <w:b w:val="1"/>
                <w:bCs w:val="1"/>
                <w:color w:val="FFFFFF"/>
                <w:w w:val="94"/>
              </w:rPr>
              <w:t>Indirectly</w:t>
            </w:r>
            <w:r>
              <w:rPr>
                <w:rFonts w:ascii="Arial" w:cs="Arial" w:eastAsia="Arial" w:hAnsi="Arial"/>
                <w:sz w:val="20"/>
                <w:szCs w:val="20"/>
                <w:b w:val="1"/>
                <w:bCs w:val="1"/>
                <w:color w:val="FFFFFF"/>
                <w:w w:val="94"/>
                <w:vertAlign w:val="superscript"/>
              </w:rPr>
              <w:t>(2)</w:t>
            </w:r>
          </w:p>
        </w:tc>
        <w:tc>
          <w:tcPr>
            <w:tcW w:w="140" w:type="dxa"/>
            <w:vAlign w:val="bottom"/>
            <w:shd w:val="clear" w:color="auto" w:fill="3E8EDE"/>
          </w:tcPr>
          <w:p>
            <w:pPr>
              <w:spacing w:after="0"/>
              <w:rPr>
                <w:sz w:val="16"/>
                <w:szCs w:val="16"/>
                <w:color w:val="auto"/>
              </w:rPr>
            </w:pPr>
          </w:p>
        </w:tc>
        <w:tc>
          <w:tcPr>
            <w:tcW w:w="2020" w:type="dxa"/>
            <w:vAlign w:val="bottom"/>
            <w:shd w:val="clear" w:color="auto" w:fill="3E8EDE"/>
          </w:tcPr>
          <w:p>
            <w:pPr>
              <w:jc w:val="center"/>
              <w:ind w:right="44"/>
              <w:spacing w:after="0"/>
              <w:rPr>
                <w:sz w:val="20"/>
                <w:szCs w:val="20"/>
                <w:color w:val="auto"/>
              </w:rPr>
            </w:pPr>
            <w:r>
              <w:rPr>
                <w:rFonts w:ascii="Arial" w:cs="Arial" w:eastAsia="Arial" w:hAnsi="Arial"/>
                <w:sz w:val="14"/>
                <w:szCs w:val="14"/>
                <w:b w:val="1"/>
                <w:bCs w:val="1"/>
                <w:color w:val="FFFFFF"/>
                <w:w w:val="98"/>
              </w:rPr>
              <w:t>March 31, 2026</w:t>
            </w:r>
          </w:p>
        </w:tc>
        <w:tc>
          <w:tcPr>
            <w:tcW w:w="1000" w:type="dxa"/>
            <w:vAlign w:val="bottom"/>
            <w:shd w:val="clear" w:color="auto" w:fill="3E8EDE"/>
          </w:tcPr>
          <w:p>
            <w:pPr>
              <w:jc w:val="center"/>
              <w:ind w:right="4"/>
              <w:spacing w:after="0"/>
              <w:rPr>
                <w:sz w:val="20"/>
                <w:szCs w:val="20"/>
                <w:color w:val="auto"/>
              </w:rPr>
            </w:pPr>
            <w:r>
              <w:rPr>
                <w:rFonts w:ascii="Arial" w:cs="Arial" w:eastAsia="Arial" w:hAnsi="Arial"/>
                <w:sz w:val="14"/>
                <w:szCs w:val="14"/>
                <w:b w:val="1"/>
                <w:bCs w:val="1"/>
                <w:color w:val="FFFFFF"/>
                <w:w w:val="99"/>
              </w:rPr>
              <w:t>Ownership</w:t>
            </w:r>
          </w:p>
        </w:tc>
      </w:tr>
      <w:tr>
        <w:trPr>
          <w:trHeight w:val="278"/>
        </w:trPr>
        <w:tc>
          <w:tcPr>
            <w:tcW w:w="634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6"/>
                <w:szCs w:val="16"/>
                <w:color w:val="auto"/>
              </w:rPr>
              <w:t>Daniel A. Carestio</w:t>
            </w:r>
          </w:p>
        </w:tc>
        <w:tc>
          <w:tcPr>
            <w:tcW w:w="1060" w:type="dxa"/>
            <w:vAlign w:val="bottom"/>
            <w:tcBorders>
              <w:bottom w:val="single" w:sz="8" w:color="E2EEFA"/>
            </w:tcBorders>
            <w:shd w:val="clear" w:color="auto" w:fill="E2EEFA"/>
          </w:tcPr>
          <w:p>
            <w:pPr>
              <w:jc w:val="right"/>
              <w:ind w:right="24"/>
              <w:spacing w:after="0"/>
              <w:rPr>
                <w:sz w:val="20"/>
                <w:szCs w:val="20"/>
                <w:color w:val="auto"/>
              </w:rPr>
            </w:pPr>
            <w:r>
              <w:rPr>
                <w:rFonts w:ascii="Arial" w:cs="Arial" w:eastAsia="Arial" w:hAnsi="Arial"/>
                <w:sz w:val="16"/>
                <w:szCs w:val="16"/>
                <w:color w:val="auto"/>
              </w:rPr>
              <w:t>51,096 </w:t>
            </w:r>
          </w:p>
        </w:tc>
        <w:tc>
          <w:tcPr>
            <w:tcW w:w="140" w:type="dxa"/>
            <w:vAlign w:val="bottom"/>
            <w:tcBorders>
              <w:bottom w:val="single" w:sz="8" w:color="E2EEFA"/>
            </w:tcBorders>
            <w:shd w:val="clear" w:color="auto" w:fill="E2EEFA"/>
          </w:tcPr>
          <w:p>
            <w:pPr>
              <w:ind w:left="20"/>
              <w:spacing w:after="0"/>
              <w:rPr>
                <w:sz w:val="20"/>
                <w:szCs w:val="20"/>
                <w:color w:val="auto"/>
              </w:rPr>
            </w:pPr>
            <w:r>
              <w:rPr>
                <w:rFonts w:ascii="Arial" w:cs="Arial" w:eastAsia="Arial" w:hAnsi="Arial"/>
                <w:sz w:val="16"/>
                <w:szCs w:val="16"/>
                <w:color w:val="auto"/>
              </w:rPr>
              <w:t>  </w:t>
            </w:r>
          </w:p>
        </w:tc>
        <w:tc>
          <w:tcPr>
            <w:tcW w:w="2020" w:type="dxa"/>
            <w:vAlign w:val="bottom"/>
            <w:tcBorders>
              <w:bottom w:val="single" w:sz="8" w:color="E2EEFA"/>
            </w:tcBorders>
            <w:shd w:val="clear" w:color="auto" w:fill="E2EEFA"/>
          </w:tcPr>
          <w:p>
            <w:pPr>
              <w:jc w:val="right"/>
              <w:ind w:right="4"/>
              <w:spacing w:after="0"/>
              <w:rPr>
                <w:sz w:val="20"/>
                <w:szCs w:val="20"/>
                <w:color w:val="auto"/>
              </w:rPr>
            </w:pPr>
            <w:r>
              <w:rPr>
                <w:rFonts w:ascii="Arial" w:cs="Arial" w:eastAsia="Arial" w:hAnsi="Arial"/>
                <w:sz w:val="16"/>
                <w:szCs w:val="16"/>
                <w:color w:val="auto"/>
              </w:rPr>
              <w:t xml:space="preserve">302,963               </w:t>
            </w:r>
          </w:p>
        </w:tc>
        <w:tc>
          <w:tcPr>
            <w:tcW w:w="1000" w:type="dxa"/>
            <w:vAlign w:val="bottom"/>
            <w:tcBorders>
              <w:bottom w:val="single" w:sz="8" w:color="E2EEFA"/>
            </w:tcBorders>
            <w:shd w:val="clear" w:color="auto" w:fill="E2EEFA"/>
          </w:tcPr>
          <w:p>
            <w:pPr>
              <w:jc w:val="right"/>
              <w:ind w:right="44"/>
              <w:spacing w:after="0"/>
              <w:rPr>
                <w:sz w:val="20"/>
                <w:szCs w:val="20"/>
                <w:color w:val="auto"/>
              </w:rPr>
            </w:pPr>
            <w:r>
              <w:rPr>
                <w:rFonts w:ascii="Arial" w:cs="Arial" w:eastAsia="Arial" w:hAnsi="Arial"/>
                <w:sz w:val="16"/>
                <w:szCs w:val="16"/>
                <w:color w:val="auto"/>
              </w:rPr>
              <w:t>354,059 </w:t>
            </w:r>
          </w:p>
        </w:tc>
      </w:tr>
      <w:tr>
        <w:trPr>
          <w:trHeight w:val="257"/>
        </w:trPr>
        <w:tc>
          <w:tcPr>
            <w:tcW w:w="6340" w:type="dxa"/>
            <w:vAlign w:val="bottom"/>
          </w:tcPr>
          <w:p>
            <w:pPr>
              <w:ind w:left="60"/>
              <w:spacing w:after="0"/>
              <w:rPr>
                <w:sz w:val="20"/>
                <w:szCs w:val="20"/>
                <w:color w:val="auto"/>
              </w:rPr>
            </w:pPr>
            <w:r>
              <w:rPr>
                <w:rFonts w:ascii="Arial" w:cs="Arial" w:eastAsia="Arial" w:hAnsi="Arial"/>
                <w:sz w:val="16"/>
                <w:szCs w:val="16"/>
                <w:color w:val="auto"/>
              </w:rPr>
              <w:t>Karen L. Burton</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8,304 </w:t>
            </w:r>
          </w:p>
        </w:tc>
        <w:tc>
          <w:tcPr>
            <w:tcW w:w="140" w:type="dxa"/>
            <w:vAlign w:val="bottom"/>
          </w:tcPr>
          <w:p>
            <w:pPr>
              <w:ind w:left="20"/>
              <w:spacing w:after="0"/>
              <w:rPr>
                <w:sz w:val="20"/>
                <w:szCs w:val="20"/>
                <w:color w:val="auto"/>
              </w:rPr>
            </w:pPr>
            <w:r>
              <w:rPr>
                <w:rFonts w:ascii="Arial" w:cs="Arial" w:eastAsia="Arial" w:hAnsi="Arial"/>
                <w:sz w:val="16"/>
                <w:szCs w:val="16"/>
                <w:color w:val="auto"/>
              </w:rPr>
              <w:t>  </w:t>
            </w:r>
          </w:p>
        </w:tc>
        <w:tc>
          <w:tcPr>
            <w:tcW w:w="2020" w:type="dxa"/>
            <w:vAlign w:val="bottom"/>
          </w:tcPr>
          <w:p>
            <w:pPr>
              <w:jc w:val="right"/>
              <w:ind w:right="4"/>
              <w:spacing w:after="0"/>
              <w:rPr>
                <w:sz w:val="20"/>
                <w:szCs w:val="20"/>
                <w:color w:val="auto"/>
              </w:rPr>
            </w:pPr>
            <w:r>
              <w:rPr>
                <w:rFonts w:ascii="Arial" w:cs="Arial" w:eastAsia="Arial" w:hAnsi="Arial"/>
                <w:sz w:val="16"/>
                <w:szCs w:val="16"/>
                <w:color w:val="auto"/>
              </w:rPr>
              <w:t xml:space="preserve">22,471               </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30,775 </w:t>
            </w:r>
          </w:p>
        </w:tc>
      </w:tr>
      <w:tr>
        <w:trPr>
          <w:trHeight w:val="41"/>
        </w:trPr>
        <w:tc>
          <w:tcPr>
            <w:tcW w:w="634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20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8"/>
        </w:trPr>
        <w:tc>
          <w:tcPr>
            <w:tcW w:w="6340" w:type="dxa"/>
            <w:vAlign w:val="bottom"/>
            <w:shd w:val="clear" w:color="auto" w:fill="E2EEFA"/>
          </w:tcPr>
          <w:p>
            <w:pPr>
              <w:ind w:left="60"/>
              <w:spacing w:after="0"/>
              <w:rPr>
                <w:sz w:val="20"/>
                <w:szCs w:val="20"/>
                <w:color w:val="auto"/>
              </w:rPr>
            </w:pPr>
            <w:r>
              <w:rPr>
                <w:rFonts w:ascii="Arial" w:cs="Arial" w:eastAsia="Arial" w:hAnsi="Arial"/>
                <w:sz w:val="16"/>
                <w:szCs w:val="16"/>
                <w:color w:val="auto"/>
              </w:rPr>
              <w:t>Michael J. Tokich</w:t>
            </w:r>
          </w:p>
        </w:tc>
        <w:tc>
          <w:tcPr>
            <w:tcW w:w="1200" w:type="dxa"/>
            <w:vAlign w:val="bottom"/>
            <w:gridSpan w:val="2"/>
            <w:shd w:val="clear" w:color="auto" w:fill="E2EEFA"/>
          </w:tcPr>
          <w:p>
            <w:pPr>
              <w:jc w:val="right"/>
              <w:ind w:right="42"/>
              <w:spacing w:after="0"/>
              <w:rPr>
                <w:sz w:val="20"/>
                <w:szCs w:val="20"/>
                <w:color w:val="auto"/>
              </w:rPr>
            </w:pPr>
            <w:r>
              <w:rPr>
                <w:rFonts w:ascii="Arial" w:cs="Arial" w:eastAsia="Arial" w:hAnsi="Arial"/>
                <w:sz w:val="16"/>
                <w:szCs w:val="16"/>
                <w:color w:val="auto"/>
              </w:rPr>
              <w:t>47,454</w:t>
            </w:r>
            <w:r>
              <w:rPr>
                <w:rFonts w:ascii="Arial" w:cs="Arial" w:eastAsia="Arial" w:hAnsi="Arial"/>
                <w:sz w:val="23"/>
                <w:szCs w:val="23"/>
                <w:color w:val="auto"/>
                <w:vertAlign w:val="superscript"/>
              </w:rPr>
              <w:t>(3)</w:t>
            </w:r>
          </w:p>
        </w:tc>
        <w:tc>
          <w:tcPr>
            <w:tcW w:w="2020" w:type="dxa"/>
            <w:vAlign w:val="bottom"/>
            <w:shd w:val="clear" w:color="auto" w:fill="E2EEFA"/>
          </w:tcPr>
          <w:p>
            <w:pPr>
              <w:jc w:val="right"/>
              <w:ind w:right="4"/>
              <w:spacing w:after="0"/>
              <w:rPr>
                <w:sz w:val="20"/>
                <w:szCs w:val="20"/>
                <w:color w:val="auto"/>
              </w:rPr>
            </w:pPr>
            <w:r>
              <w:rPr>
                <w:rFonts w:ascii="Arial" w:cs="Arial" w:eastAsia="Arial" w:hAnsi="Arial"/>
                <w:sz w:val="16"/>
                <w:szCs w:val="16"/>
                <w:color w:val="auto"/>
              </w:rPr>
              <w:t xml:space="preserve">132,201               </w:t>
            </w:r>
          </w:p>
        </w:tc>
        <w:tc>
          <w:tcPr>
            <w:tcW w:w="1000" w:type="dxa"/>
            <w:vAlign w:val="bottom"/>
            <w:shd w:val="clear" w:color="auto" w:fill="E2EEFA"/>
          </w:tcPr>
          <w:p>
            <w:pPr>
              <w:jc w:val="right"/>
              <w:ind w:right="44"/>
              <w:spacing w:after="0"/>
              <w:rPr>
                <w:sz w:val="20"/>
                <w:szCs w:val="20"/>
                <w:color w:val="auto"/>
              </w:rPr>
            </w:pPr>
            <w:r>
              <w:rPr>
                <w:rFonts w:ascii="Arial" w:cs="Arial" w:eastAsia="Arial" w:hAnsi="Arial"/>
                <w:sz w:val="16"/>
                <w:szCs w:val="16"/>
                <w:color w:val="auto"/>
              </w:rPr>
              <w:t>179,655 </w:t>
            </w:r>
          </w:p>
        </w:tc>
      </w:tr>
      <w:tr>
        <w:trPr>
          <w:trHeight w:val="257"/>
        </w:trPr>
        <w:tc>
          <w:tcPr>
            <w:tcW w:w="6340" w:type="dxa"/>
            <w:vAlign w:val="bottom"/>
          </w:tcPr>
          <w:p>
            <w:pPr>
              <w:ind w:left="60"/>
              <w:spacing w:after="0"/>
              <w:rPr>
                <w:sz w:val="20"/>
                <w:szCs w:val="20"/>
                <w:color w:val="auto"/>
              </w:rPr>
            </w:pPr>
            <w:r>
              <w:rPr>
                <w:rFonts w:ascii="Arial" w:cs="Arial" w:eastAsia="Arial" w:hAnsi="Arial"/>
                <w:sz w:val="16"/>
                <w:szCs w:val="16"/>
                <w:color w:val="auto"/>
              </w:rPr>
              <w:t>J. Adam Zangerle</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33,669 </w:t>
            </w:r>
          </w:p>
        </w:tc>
        <w:tc>
          <w:tcPr>
            <w:tcW w:w="140" w:type="dxa"/>
            <w:vAlign w:val="bottom"/>
          </w:tcPr>
          <w:p>
            <w:pPr>
              <w:ind w:left="20"/>
              <w:spacing w:after="0"/>
              <w:rPr>
                <w:sz w:val="20"/>
                <w:szCs w:val="20"/>
                <w:color w:val="auto"/>
              </w:rPr>
            </w:pPr>
            <w:r>
              <w:rPr>
                <w:rFonts w:ascii="Arial" w:cs="Arial" w:eastAsia="Arial" w:hAnsi="Arial"/>
                <w:sz w:val="16"/>
                <w:szCs w:val="16"/>
                <w:color w:val="auto"/>
              </w:rPr>
              <w:t>  </w:t>
            </w:r>
          </w:p>
        </w:tc>
        <w:tc>
          <w:tcPr>
            <w:tcW w:w="2020" w:type="dxa"/>
            <w:vAlign w:val="bottom"/>
          </w:tcPr>
          <w:p>
            <w:pPr>
              <w:jc w:val="right"/>
              <w:ind w:right="4"/>
              <w:spacing w:after="0"/>
              <w:rPr>
                <w:sz w:val="20"/>
                <w:szCs w:val="20"/>
                <w:color w:val="auto"/>
              </w:rPr>
            </w:pPr>
            <w:r>
              <w:rPr>
                <w:rFonts w:ascii="Arial" w:cs="Arial" w:eastAsia="Arial" w:hAnsi="Arial"/>
                <w:sz w:val="16"/>
                <w:szCs w:val="16"/>
                <w:color w:val="auto"/>
              </w:rPr>
              <w:t xml:space="preserve">123,618               </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157,287 </w:t>
            </w:r>
          </w:p>
        </w:tc>
      </w:tr>
      <w:tr>
        <w:trPr>
          <w:trHeight w:val="41"/>
        </w:trPr>
        <w:tc>
          <w:tcPr>
            <w:tcW w:w="634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20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8"/>
        </w:trPr>
        <w:tc>
          <w:tcPr>
            <w:tcW w:w="6340" w:type="dxa"/>
            <w:vAlign w:val="bottom"/>
            <w:shd w:val="clear" w:color="auto" w:fill="E2EEFA"/>
          </w:tcPr>
          <w:p>
            <w:pPr>
              <w:ind w:left="60"/>
              <w:spacing w:after="0"/>
              <w:rPr>
                <w:sz w:val="20"/>
                <w:szCs w:val="20"/>
                <w:color w:val="auto"/>
              </w:rPr>
            </w:pPr>
            <w:r>
              <w:rPr>
                <w:rFonts w:ascii="Arial" w:cs="Arial" w:eastAsia="Arial" w:hAnsi="Arial"/>
                <w:sz w:val="16"/>
                <w:szCs w:val="16"/>
                <w:color w:val="auto"/>
              </w:rPr>
              <w:t>Cary L. Majors</w:t>
            </w:r>
          </w:p>
        </w:tc>
        <w:tc>
          <w:tcPr>
            <w:tcW w:w="1200" w:type="dxa"/>
            <w:vAlign w:val="bottom"/>
            <w:gridSpan w:val="2"/>
            <w:shd w:val="clear" w:color="auto" w:fill="E2EEFA"/>
          </w:tcPr>
          <w:p>
            <w:pPr>
              <w:jc w:val="right"/>
              <w:ind w:right="42"/>
              <w:spacing w:after="0"/>
              <w:rPr>
                <w:sz w:val="20"/>
                <w:szCs w:val="20"/>
                <w:color w:val="auto"/>
              </w:rPr>
            </w:pPr>
            <w:r>
              <w:rPr>
                <w:rFonts w:ascii="Arial" w:cs="Arial" w:eastAsia="Arial" w:hAnsi="Arial"/>
                <w:sz w:val="16"/>
                <w:szCs w:val="16"/>
                <w:color w:val="auto"/>
              </w:rPr>
              <w:t>13,494</w:t>
            </w:r>
            <w:r>
              <w:rPr>
                <w:rFonts w:ascii="Arial" w:cs="Arial" w:eastAsia="Arial" w:hAnsi="Arial"/>
                <w:sz w:val="23"/>
                <w:szCs w:val="23"/>
                <w:color w:val="auto"/>
                <w:vertAlign w:val="superscript"/>
              </w:rPr>
              <w:t>(4)</w:t>
            </w:r>
          </w:p>
        </w:tc>
        <w:tc>
          <w:tcPr>
            <w:tcW w:w="2020" w:type="dxa"/>
            <w:vAlign w:val="bottom"/>
            <w:shd w:val="clear" w:color="auto" w:fill="E2EEFA"/>
          </w:tcPr>
          <w:p>
            <w:pPr>
              <w:jc w:val="right"/>
              <w:ind w:right="4"/>
              <w:spacing w:after="0"/>
              <w:rPr>
                <w:sz w:val="20"/>
                <w:szCs w:val="20"/>
                <w:color w:val="auto"/>
              </w:rPr>
            </w:pPr>
            <w:r>
              <w:rPr>
                <w:rFonts w:ascii="Arial" w:cs="Arial" w:eastAsia="Arial" w:hAnsi="Arial"/>
                <w:sz w:val="16"/>
                <w:szCs w:val="16"/>
                <w:color w:val="auto"/>
              </w:rPr>
              <w:t xml:space="preserve">46,422               </w:t>
            </w:r>
          </w:p>
        </w:tc>
        <w:tc>
          <w:tcPr>
            <w:tcW w:w="1000" w:type="dxa"/>
            <w:vAlign w:val="bottom"/>
            <w:shd w:val="clear" w:color="auto" w:fill="E2EEFA"/>
          </w:tcPr>
          <w:p>
            <w:pPr>
              <w:jc w:val="right"/>
              <w:ind w:right="44"/>
              <w:spacing w:after="0"/>
              <w:rPr>
                <w:sz w:val="20"/>
                <w:szCs w:val="20"/>
                <w:color w:val="auto"/>
              </w:rPr>
            </w:pPr>
            <w:r>
              <w:rPr>
                <w:rFonts w:ascii="Arial" w:cs="Arial" w:eastAsia="Arial" w:hAnsi="Arial"/>
                <w:sz w:val="16"/>
                <w:szCs w:val="16"/>
                <w:color w:val="auto"/>
              </w:rPr>
              <w:t>59,916 </w:t>
            </w:r>
          </w:p>
        </w:tc>
      </w:tr>
      <w:tr>
        <w:trPr>
          <w:trHeight w:val="257"/>
        </w:trPr>
        <w:tc>
          <w:tcPr>
            <w:tcW w:w="6340" w:type="dxa"/>
            <w:vAlign w:val="bottom"/>
          </w:tcPr>
          <w:p>
            <w:pPr>
              <w:ind w:left="60"/>
              <w:spacing w:after="0"/>
              <w:rPr>
                <w:sz w:val="20"/>
                <w:szCs w:val="20"/>
                <w:color w:val="auto"/>
              </w:rPr>
            </w:pPr>
            <w:r>
              <w:rPr>
                <w:rFonts w:ascii="Arial" w:cs="Arial" w:eastAsia="Arial" w:hAnsi="Arial"/>
                <w:sz w:val="16"/>
                <w:szCs w:val="16"/>
                <w:color w:val="auto"/>
              </w:rPr>
              <w:t>Mary Clare Fraser</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12,882 </w:t>
            </w:r>
          </w:p>
        </w:tc>
        <w:tc>
          <w:tcPr>
            <w:tcW w:w="140" w:type="dxa"/>
            <w:vAlign w:val="bottom"/>
          </w:tcPr>
          <w:p>
            <w:pPr>
              <w:ind w:left="20"/>
              <w:spacing w:after="0"/>
              <w:rPr>
                <w:sz w:val="20"/>
                <w:szCs w:val="20"/>
                <w:color w:val="auto"/>
              </w:rPr>
            </w:pPr>
            <w:r>
              <w:rPr>
                <w:rFonts w:ascii="Arial" w:cs="Arial" w:eastAsia="Arial" w:hAnsi="Arial"/>
                <w:sz w:val="16"/>
                <w:szCs w:val="16"/>
                <w:color w:val="auto"/>
              </w:rPr>
              <w:t>  </w:t>
            </w:r>
          </w:p>
        </w:tc>
        <w:tc>
          <w:tcPr>
            <w:tcW w:w="2020" w:type="dxa"/>
            <w:vAlign w:val="bottom"/>
          </w:tcPr>
          <w:p>
            <w:pPr>
              <w:jc w:val="right"/>
              <w:ind w:right="4"/>
              <w:spacing w:after="0"/>
              <w:rPr>
                <w:sz w:val="20"/>
                <w:szCs w:val="20"/>
                <w:color w:val="auto"/>
              </w:rPr>
            </w:pPr>
            <w:r>
              <w:rPr>
                <w:rFonts w:ascii="Arial" w:cs="Arial" w:eastAsia="Arial" w:hAnsi="Arial"/>
                <w:sz w:val="16"/>
                <w:szCs w:val="16"/>
                <w:color w:val="auto"/>
              </w:rPr>
              <w:t xml:space="preserve">29,484               </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42,366 </w:t>
            </w:r>
          </w:p>
        </w:tc>
      </w:tr>
      <w:tr>
        <w:trPr>
          <w:trHeight w:val="41"/>
        </w:trPr>
        <w:tc>
          <w:tcPr>
            <w:tcW w:w="6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8"/>
        </w:trPr>
        <w:tc>
          <w:tcPr>
            <w:tcW w:w="634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6"/>
                <w:szCs w:val="16"/>
                <w:color w:val="auto"/>
              </w:rPr>
              <w:t>Dr. Esther M. Alegria</w:t>
            </w:r>
          </w:p>
        </w:tc>
        <w:tc>
          <w:tcPr>
            <w:tcW w:w="1060" w:type="dxa"/>
            <w:vAlign w:val="bottom"/>
            <w:tcBorders>
              <w:bottom w:val="single" w:sz="8" w:color="E2EEFA"/>
            </w:tcBorders>
            <w:shd w:val="clear" w:color="auto" w:fill="E2EEFA"/>
          </w:tcPr>
          <w:p>
            <w:pPr>
              <w:jc w:val="right"/>
              <w:ind w:right="24"/>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E2EEFA"/>
            </w:tcBorders>
            <w:shd w:val="clear" w:color="auto" w:fill="E2EEFA"/>
          </w:tcPr>
          <w:p>
            <w:pPr>
              <w:ind w:left="20"/>
              <w:spacing w:after="0"/>
              <w:rPr>
                <w:sz w:val="20"/>
                <w:szCs w:val="20"/>
                <w:color w:val="auto"/>
              </w:rPr>
            </w:pPr>
            <w:r>
              <w:rPr>
                <w:rFonts w:ascii="Arial" w:cs="Arial" w:eastAsia="Arial" w:hAnsi="Arial"/>
                <w:sz w:val="16"/>
                <w:szCs w:val="16"/>
                <w:color w:val="auto"/>
              </w:rPr>
              <w:t>  </w:t>
            </w:r>
          </w:p>
        </w:tc>
        <w:tc>
          <w:tcPr>
            <w:tcW w:w="2020" w:type="dxa"/>
            <w:vAlign w:val="bottom"/>
            <w:tcBorders>
              <w:bottom w:val="single" w:sz="8" w:color="E2EEFA"/>
            </w:tcBorders>
            <w:shd w:val="clear" w:color="auto" w:fill="E2EEFA"/>
          </w:tcPr>
          <w:p>
            <w:pPr>
              <w:jc w:val="right"/>
              <w:ind w:right="4"/>
              <w:spacing w:after="0"/>
              <w:rPr>
                <w:sz w:val="20"/>
                <w:szCs w:val="20"/>
                <w:color w:val="auto"/>
              </w:rPr>
            </w:pPr>
            <w:r>
              <w:rPr>
                <w:rFonts w:ascii="Arial" w:cs="Arial" w:eastAsia="Arial" w:hAnsi="Arial"/>
                <w:sz w:val="16"/>
                <w:szCs w:val="16"/>
                <w:color w:val="auto"/>
              </w:rPr>
              <w:t xml:space="preserve">1,407               </w:t>
            </w:r>
          </w:p>
        </w:tc>
        <w:tc>
          <w:tcPr>
            <w:tcW w:w="1000" w:type="dxa"/>
            <w:vAlign w:val="bottom"/>
            <w:tcBorders>
              <w:bottom w:val="single" w:sz="8" w:color="E2EEFA"/>
            </w:tcBorders>
            <w:shd w:val="clear" w:color="auto" w:fill="E2EEFA"/>
          </w:tcPr>
          <w:p>
            <w:pPr>
              <w:jc w:val="right"/>
              <w:ind w:right="44"/>
              <w:spacing w:after="0"/>
              <w:rPr>
                <w:sz w:val="20"/>
                <w:szCs w:val="20"/>
                <w:color w:val="auto"/>
              </w:rPr>
            </w:pPr>
            <w:r>
              <w:rPr>
                <w:rFonts w:ascii="Arial" w:cs="Arial" w:eastAsia="Arial" w:hAnsi="Arial"/>
                <w:sz w:val="16"/>
                <w:szCs w:val="16"/>
                <w:color w:val="auto"/>
              </w:rPr>
              <w:t>1,407 </w:t>
            </w:r>
          </w:p>
        </w:tc>
      </w:tr>
      <w:tr>
        <w:trPr>
          <w:trHeight w:val="298"/>
        </w:trPr>
        <w:tc>
          <w:tcPr>
            <w:tcW w:w="6340" w:type="dxa"/>
            <w:vAlign w:val="bottom"/>
          </w:tcPr>
          <w:p>
            <w:pPr>
              <w:ind w:left="60"/>
              <w:spacing w:after="0"/>
              <w:rPr>
                <w:sz w:val="20"/>
                <w:szCs w:val="20"/>
                <w:color w:val="auto"/>
              </w:rPr>
            </w:pPr>
            <w:r>
              <w:rPr>
                <w:rFonts w:ascii="Arial" w:cs="Arial" w:eastAsia="Arial" w:hAnsi="Arial"/>
                <w:sz w:val="16"/>
                <w:szCs w:val="16"/>
                <w:color w:val="auto"/>
              </w:rPr>
              <w:t>Pierre Boulud</w:t>
            </w:r>
            <w:r>
              <w:rPr>
                <w:rFonts w:ascii="Arial" w:cs="Arial" w:eastAsia="Arial" w:hAnsi="Arial"/>
                <w:sz w:val="23"/>
                <w:szCs w:val="23"/>
                <w:color w:val="auto"/>
                <w:vertAlign w:val="superscript"/>
              </w:rPr>
              <w:t>(5)</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— </w:t>
            </w:r>
          </w:p>
        </w:tc>
        <w:tc>
          <w:tcPr>
            <w:tcW w:w="140" w:type="dxa"/>
            <w:vAlign w:val="bottom"/>
          </w:tcPr>
          <w:p>
            <w:pPr>
              <w:ind w:left="20"/>
              <w:spacing w:after="0"/>
              <w:rPr>
                <w:sz w:val="20"/>
                <w:szCs w:val="20"/>
                <w:color w:val="auto"/>
              </w:rPr>
            </w:pPr>
            <w:r>
              <w:rPr>
                <w:rFonts w:ascii="Arial" w:cs="Arial" w:eastAsia="Arial" w:hAnsi="Arial"/>
                <w:sz w:val="16"/>
                <w:szCs w:val="16"/>
                <w:color w:val="auto"/>
              </w:rPr>
              <w:t>  </w:t>
            </w:r>
          </w:p>
        </w:tc>
        <w:tc>
          <w:tcPr>
            <w:tcW w:w="2020" w:type="dxa"/>
            <w:vAlign w:val="bottom"/>
          </w:tcPr>
          <w:p>
            <w:pPr>
              <w:jc w:val="right"/>
              <w:ind w:right="4"/>
              <w:spacing w:after="0"/>
              <w:rPr>
                <w:sz w:val="20"/>
                <w:szCs w:val="20"/>
                <w:color w:val="auto"/>
              </w:rPr>
            </w:pPr>
            <w:r>
              <w:rPr>
                <w:rFonts w:ascii="Arial" w:cs="Arial" w:eastAsia="Arial" w:hAnsi="Arial"/>
                <w:sz w:val="16"/>
                <w:szCs w:val="16"/>
                <w:color w:val="auto"/>
              </w:rPr>
              <w:t xml:space="preserve">—               </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— </w:t>
            </w:r>
          </w:p>
        </w:tc>
      </w:tr>
      <w:tr>
        <w:trPr>
          <w:trHeight w:val="298"/>
        </w:trPr>
        <w:tc>
          <w:tcPr>
            <w:tcW w:w="6340" w:type="dxa"/>
            <w:vAlign w:val="bottom"/>
            <w:shd w:val="clear" w:color="auto" w:fill="E2EEFA"/>
          </w:tcPr>
          <w:p>
            <w:pPr>
              <w:ind w:left="60"/>
              <w:spacing w:after="0"/>
              <w:rPr>
                <w:sz w:val="20"/>
                <w:szCs w:val="20"/>
                <w:color w:val="auto"/>
              </w:rPr>
            </w:pPr>
            <w:r>
              <w:rPr>
                <w:rFonts w:ascii="Arial" w:cs="Arial" w:eastAsia="Arial" w:hAnsi="Arial"/>
                <w:sz w:val="16"/>
                <w:szCs w:val="16"/>
                <w:color w:val="auto"/>
              </w:rPr>
              <w:t>Richard C. Breeden</w:t>
            </w:r>
            <w:r>
              <w:rPr>
                <w:rFonts w:ascii="Arial" w:cs="Arial" w:eastAsia="Arial" w:hAnsi="Arial"/>
                <w:sz w:val="23"/>
                <w:szCs w:val="23"/>
                <w:color w:val="auto"/>
                <w:vertAlign w:val="superscript"/>
              </w:rPr>
              <w:t>(6)</w:t>
            </w:r>
          </w:p>
        </w:tc>
        <w:tc>
          <w:tcPr>
            <w:tcW w:w="1060" w:type="dxa"/>
            <w:vAlign w:val="bottom"/>
            <w:shd w:val="clear" w:color="auto" w:fill="E2EEFA"/>
          </w:tcPr>
          <w:p>
            <w:pPr>
              <w:jc w:val="right"/>
              <w:ind w:right="24"/>
              <w:spacing w:after="0"/>
              <w:rPr>
                <w:sz w:val="20"/>
                <w:szCs w:val="20"/>
                <w:color w:val="auto"/>
              </w:rPr>
            </w:pPr>
            <w:r>
              <w:rPr>
                <w:rFonts w:ascii="Arial" w:cs="Arial" w:eastAsia="Arial" w:hAnsi="Arial"/>
                <w:sz w:val="16"/>
                <w:szCs w:val="16"/>
                <w:color w:val="auto"/>
              </w:rPr>
              <w:t>63,906 </w:t>
            </w:r>
          </w:p>
        </w:tc>
        <w:tc>
          <w:tcPr>
            <w:tcW w:w="140" w:type="dxa"/>
            <w:vAlign w:val="bottom"/>
            <w:shd w:val="clear" w:color="auto" w:fill="E2EEFA"/>
          </w:tcPr>
          <w:p>
            <w:pPr>
              <w:ind w:left="20"/>
              <w:spacing w:after="0"/>
              <w:rPr>
                <w:sz w:val="20"/>
                <w:szCs w:val="20"/>
                <w:color w:val="auto"/>
              </w:rPr>
            </w:pPr>
            <w:r>
              <w:rPr>
                <w:rFonts w:ascii="Arial" w:cs="Arial" w:eastAsia="Arial" w:hAnsi="Arial"/>
                <w:sz w:val="16"/>
                <w:szCs w:val="16"/>
                <w:color w:val="auto"/>
              </w:rPr>
              <w:t>  </w:t>
            </w:r>
          </w:p>
        </w:tc>
        <w:tc>
          <w:tcPr>
            <w:tcW w:w="2020" w:type="dxa"/>
            <w:vAlign w:val="bottom"/>
            <w:shd w:val="clear" w:color="auto" w:fill="E2EEFA"/>
          </w:tcPr>
          <w:p>
            <w:pPr>
              <w:jc w:val="right"/>
              <w:ind w:right="4"/>
              <w:spacing w:after="0"/>
              <w:rPr>
                <w:sz w:val="20"/>
                <w:szCs w:val="20"/>
                <w:color w:val="auto"/>
              </w:rPr>
            </w:pPr>
            <w:r>
              <w:rPr>
                <w:rFonts w:ascii="Arial" w:cs="Arial" w:eastAsia="Arial" w:hAnsi="Arial"/>
                <w:sz w:val="16"/>
                <w:szCs w:val="16"/>
                <w:color w:val="auto"/>
              </w:rPr>
              <w:t xml:space="preserve">27,561               </w:t>
            </w:r>
          </w:p>
        </w:tc>
        <w:tc>
          <w:tcPr>
            <w:tcW w:w="1000" w:type="dxa"/>
            <w:vAlign w:val="bottom"/>
            <w:shd w:val="clear" w:color="auto" w:fill="E2EEFA"/>
          </w:tcPr>
          <w:p>
            <w:pPr>
              <w:jc w:val="right"/>
              <w:ind w:right="44"/>
              <w:spacing w:after="0"/>
              <w:rPr>
                <w:sz w:val="20"/>
                <w:szCs w:val="20"/>
                <w:color w:val="auto"/>
              </w:rPr>
            </w:pPr>
            <w:r>
              <w:rPr>
                <w:rFonts w:ascii="Arial" w:cs="Arial" w:eastAsia="Arial" w:hAnsi="Arial"/>
                <w:sz w:val="16"/>
                <w:szCs w:val="16"/>
                <w:color w:val="auto"/>
              </w:rPr>
              <w:t>91,467 </w:t>
            </w:r>
          </w:p>
        </w:tc>
      </w:tr>
      <w:tr>
        <w:trPr>
          <w:trHeight w:val="298"/>
        </w:trPr>
        <w:tc>
          <w:tcPr>
            <w:tcW w:w="6340" w:type="dxa"/>
            <w:vAlign w:val="bottom"/>
          </w:tcPr>
          <w:p>
            <w:pPr>
              <w:ind w:left="60"/>
              <w:spacing w:after="0"/>
              <w:rPr>
                <w:sz w:val="20"/>
                <w:szCs w:val="20"/>
                <w:color w:val="auto"/>
              </w:rPr>
            </w:pPr>
            <w:r>
              <w:rPr>
                <w:rFonts w:ascii="Arial" w:cs="Arial" w:eastAsia="Arial" w:hAnsi="Arial"/>
                <w:sz w:val="16"/>
                <w:szCs w:val="16"/>
                <w:color w:val="auto"/>
              </w:rPr>
              <w:t>Cynthia L. Feldmann</w:t>
            </w:r>
            <w:r>
              <w:rPr>
                <w:rFonts w:ascii="Arial" w:cs="Arial" w:eastAsia="Arial" w:hAnsi="Arial"/>
                <w:sz w:val="23"/>
                <w:szCs w:val="23"/>
                <w:color w:val="auto"/>
                <w:vertAlign w:val="superscript"/>
              </w:rPr>
              <w:t>(7)</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9,368 </w:t>
            </w:r>
          </w:p>
        </w:tc>
        <w:tc>
          <w:tcPr>
            <w:tcW w:w="140" w:type="dxa"/>
            <w:vAlign w:val="bottom"/>
          </w:tcPr>
          <w:p>
            <w:pPr>
              <w:ind w:left="20"/>
              <w:spacing w:after="0"/>
              <w:rPr>
                <w:sz w:val="20"/>
                <w:szCs w:val="20"/>
                <w:color w:val="auto"/>
              </w:rPr>
            </w:pPr>
            <w:r>
              <w:rPr>
                <w:rFonts w:ascii="Arial" w:cs="Arial" w:eastAsia="Arial" w:hAnsi="Arial"/>
                <w:sz w:val="16"/>
                <w:szCs w:val="16"/>
                <w:color w:val="auto"/>
              </w:rPr>
              <w:t>  </w:t>
            </w:r>
          </w:p>
        </w:tc>
        <w:tc>
          <w:tcPr>
            <w:tcW w:w="2020" w:type="dxa"/>
            <w:vAlign w:val="bottom"/>
          </w:tcPr>
          <w:p>
            <w:pPr>
              <w:jc w:val="right"/>
              <w:ind w:right="4"/>
              <w:spacing w:after="0"/>
              <w:rPr>
                <w:sz w:val="20"/>
                <w:szCs w:val="20"/>
                <w:color w:val="auto"/>
              </w:rPr>
            </w:pPr>
            <w:r>
              <w:rPr>
                <w:rFonts w:ascii="Arial" w:cs="Arial" w:eastAsia="Arial" w:hAnsi="Arial"/>
                <w:sz w:val="16"/>
                <w:szCs w:val="16"/>
                <w:color w:val="auto"/>
              </w:rPr>
              <w:t xml:space="preserve">11,368               </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20,736 </w:t>
            </w:r>
          </w:p>
        </w:tc>
      </w:tr>
      <w:tr>
        <w:trPr>
          <w:trHeight w:val="278"/>
        </w:trPr>
        <w:tc>
          <w:tcPr>
            <w:tcW w:w="634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6"/>
                <w:szCs w:val="16"/>
                <w:color w:val="auto"/>
              </w:rPr>
              <w:t>Christopher S. Holland</w:t>
            </w:r>
          </w:p>
        </w:tc>
        <w:tc>
          <w:tcPr>
            <w:tcW w:w="1060" w:type="dxa"/>
            <w:vAlign w:val="bottom"/>
            <w:tcBorders>
              <w:bottom w:val="single" w:sz="8" w:color="E2EEFA"/>
            </w:tcBorders>
            <w:shd w:val="clear" w:color="auto" w:fill="E2EEFA"/>
          </w:tcPr>
          <w:p>
            <w:pPr>
              <w:jc w:val="right"/>
              <w:ind w:right="24"/>
              <w:spacing w:after="0"/>
              <w:rPr>
                <w:sz w:val="20"/>
                <w:szCs w:val="20"/>
                <w:color w:val="auto"/>
              </w:rPr>
            </w:pPr>
            <w:r>
              <w:rPr>
                <w:rFonts w:ascii="Arial" w:cs="Arial" w:eastAsia="Arial" w:hAnsi="Arial"/>
                <w:sz w:val="16"/>
                <w:szCs w:val="16"/>
                <w:color w:val="auto"/>
              </w:rPr>
              <w:t>582 </w:t>
            </w:r>
          </w:p>
        </w:tc>
        <w:tc>
          <w:tcPr>
            <w:tcW w:w="140" w:type="dxa"/>
            <w:vAlign w:val="bottom"/>
            <w:tcBorders>
              <w:bottom w:val="single" w:sz="8" w:color="E2EEFA"/>
            </w:tcBorders>
            <w:shd w:val="clear" w:color="auto" w:fill="E2EEFA"/>
          </w:tcPr>
          <w:p>
            <w:pPr>
              <w:ind w:left="20"/>
              <w:spacing w:after="0"/>
              <w:rPr>
                <w:sz w:val="20"/>
                <w:szCs w:val="20"/>
                <w:color w:val="auto"/>
              </w:rPr>
            </w:pPr>
            <w:r>
              <w:rPr>
                <w:rFonts w:ascii="Arial" w:cs="Arial" w:eastAsia="Arial" w:hAnsi="Arial"/>
                <w:sz w:val="16"/>
                <w:szCs w:val="16"/>
                <w:color w:val="auto"/>
              </w:rPr>
              <w:t>  </w:t>
            </w:r>
          </w:p>
        </w:tc>
        <w:tc>
          <w:tcPr>
            <w:tcW w:w="2020" w:type="dxa"/>
            <w:vAlign w:val="bottom"/>
            <w:tcBorders>
              <w:bottom w:val="single" w:sz="8" w:color="E2EEFA"/>
            </w:tcBorders>
            <w:shd w:val="clear" w:color="auto" w:fill="E2EEFA"/>
          </w:tcPr>
          <w:p>
            <w:pPr>
              <w:jc w:val="right"/>
              <w:ind w:right="4"/>
              <w:spacing w:after="0"/>
              <w:rPr>
                <w:sz w:val="20"/>
                <w:szCs w:val="20"/>
                <w:color w:val="auto"/>
              </w:rPr>
            </w:pPr>
            <w:r>
              <w:rPr>
                <w:rFonts w:ascii="Arial" w:cs="Arial" w:eastAsia="Arial" w:hAnsi="Arial"/>
                <w:sz w:val="16"/>
                <w:szCs w:val="16"/>
                <w:color w:val="auto"/>
              </w:rPr>
              <w:t xml:space="preserve">1,544               </w:t>
            </w:r>
          </w:p>
        </w:tc>
        <w:tc>
          <w:tcPr>
            <w:tcW w:w="1000" w:type="dxa"/>
            <w:vAlign w:val="bottom"/>
            <w:tcBorders>
              <w:bottom w:val="single" w:sz="8" w:color="E2EEFA"/>
            </w:tcBorders>
            <w:shd w:val="clear" w:color="auto" w:fill="E2EEFA"/>
          </w:tcPr>
          <w:p>
            <w:pPr>
              <w:jc w:val="right"/>
              <w:ind w:right="44"/>
              <w:spacing w:after="0"/>
              <w:rPr>
                <w:sz w:val="20"/>
                <w:szCs w:val="20"/>
                <w:color w:val="auto"/>
              </w:rPr>
            </w:pPr>
            <w:r>
              <w:rPr>
                <w:rFonts w:ascii="Arial" w:cs="Arial" w:eastAsia="Arial" w:hAnsi="Arial"/>
                <w:sz w:val="16"/>
                <w:szCs w:val="16"/>
                <w:color w:val="auto"/>
              </w:rPr>
              <w:t>2,126 </w:t>
            </w:r>
          </w:p>
        </w:tc>
      </w:tr>
      <w:tr>
        <w:trPr>
          <w:trHeight w:val="257"/>
        </w:trPr>
        <w:tc>
          <w:tcPr>
            <w:tcW w:w="6340" w:type="dxa"/>
            <w:vAlign w:val="bottom"/>
          </w:tcPr>
          <w:p>
            <w:pPr>
              <w:ind w:left="60"/>
              <w:spacing w:after="0"/>
              <w:rPr>
                <w:sz w:val="20"/>
                <w:szCs w:val="20"/>
                <w:color w:val="auto"/>
              </w:rPr>
            </w:pPr>
            <w:r>
              <w:rPr>
                <w:rFonts w:ascii="Arial" w:cs="Arial" w:eastAsia="Arial" w:hAnsi="Arial"/>
                <w:sz w:val="16"/>
                <w:szCs w:val="16"/>
                <w:color w:val="auto"/>
              </w:rPr>
              <w:t>Paul E. Martin</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— </w:t>
            </w:r>
          </w:p>
        </w:tc>
        <w:tc>
          <w:tcPr>
            <w:tcW w:w="140" w:type="dxa"/>
            <w:vAlign w:val="bottom"/>
          </w:tcPr>
          <w:p>
            <w:pPr>
              <w:ind w:left="20"/>
              <w:spacing w:after="0"/>
              <w:rPr>
                <w:sz w:val="20"/>
                <w:szCs w:val="20"/>
                <w:color w:val="auto"/>
              </w:rPr>
            </w:pPr>
            <w:r>
              <w:rPr>
                <w:rFonts w:ascii="Arial" w:cs="Arial" w:eastAsia="Arial" w:hAnsi="Arial"/>
                <w:sz w:val="16"/>
                <w:szCs w:val="16"/>
                <w:color w:val="auto"/>
              </w:rPr>
              <w:t>  </w:t>
            </w:r>
          </w:p>
        </w:tc>
        <w:tc>
          <w:tcPr>
            <w:tcW w:w="2020" w:type="dxa"/>
            <w:vAlign w:val="bottom"/>
          </w:tcPr>
          <w:p>
            <w:pPr>
              <w:jc w:val="right"/>
              <w:ind w:right="4"/>
              <w:spacing w:after="0"/>
              <w:rPr>
                <w:sz w:val="20"/>
                <w:szCs w:val="20"/>
                <w:color w:val="auto"/>
              </w:rPr>
            </w:pPr>
            <w:r>
              <w:rPr>
                <w:rFonts w:ascii="Arial" w:cs="Arial" w:eastAsia="Arial" w:hAnsi="Arial"/>
                <w:sz w:val="16"/>
                <w:szCs w:val="16"/>
                <w:color w:val="auto"/>
              </w:rPr>
              <w:t xml:space="preserve">2,795               </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2,795 </w:t>
            </w:r>
          </w:p>
        </w:tc>
      </w:tr>
      <w:tr>
        <w:trPr>
          <w:trHeight w:val="41"/>
        </w:trPr>
        <w:tc>
          <w:tcPr>
            <w:tcW w:w="6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8"/>
        </w:trPr>
        <w:tc>
          <w:tcPr>
            <w:tcW w:w="634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6"/>
                <w:szCs w:val="16"/>
                <w:color w:val="auto"/>
              </w:rPr>
              <w:t>Dr. Nirav R. Shah</w:t>
            </w:r>
          </w:p>
        </w:tc>
        <w:tc>
          <w:tcPr>
            <w:tcW w:w="1060" w:type="dxa"/>
            <w:vAlign w:val="bottom"/>
            <w:tcBorders>
              <w:bottom w:val="single" w:sz="8" w:color="E2EEFA"/>
            </w:tcBorders>
            <w:shd w:val="clear" w:color="auto" w:fill="E2EEFA"/>
          </w:tcPr>
          <w:p>
            <w:pPr>
              <w:jc w:val="right"/>
              <w:ind w:right="24"/>
              <w:spacing w:after="0"/>
              <w:rPr>
                <w:sz w:val="20"/>
                <w:szCs w:val="20"/>
                <w:color w:val="auto"/>
              </w:rPr>
            </w:pPr>
            <w:r>
              <w:rPr>
                <w:rFonts w:ascii="Arial" w:cs="Arial" w:eastAsia="Arial" w:hAnsi="Arial"/>
                <w:sz w:val="16"/>
                <w:szCs w:val="16"/>
                <w:color w:val="auto"/>
              </w:rPr>
              <w:t>292 </w:t>
            </w:r>
          </w:p>
        </w:tc>
        <w:tc>
          <w:tcPr>
            <w:tcW w:w="140" w:type="dxa"/>
            <w:vAlign w:val="bottom"/>
            <w:tcBorders>
              <w:bottom w:val="single" w:sz="8" w:color="E2EEFA"/>
            </w:tcBorders>
            <w:shd w:val="clear" w:color="auto" w:fill="E2EEFA"/>
          </w:tcPr>
          <w:p>
            <w:pPr>
              <w:ind w:left="20"/>
              <w:spacing w:after="0"/>
              <w:rPr>
                <w:sz w:val="20"/>
                <w:szCs w:val="20"/>
                <w:color w:val="auto"/>
              </w:rPr>
            </w:pPr>
            <w:r>
              <w:rPr>
                <w:rFonts w:ascii="Arial" w:cs="Arial" w:eastAsia="Arial" w:hAnsi="Arial"/>
                <w:sz w:val="16"/>
                <w:szCs w:val="16"/>
                <w:color w:val="auto"/>
              </w:rPr>
              <w:t>  </w:t>
            </w:r>
          </w:p>
        </w:tc>
        <w:tc>
          <w:tcPr>
            <w:tcW w:w="2020" w:type="dxa"/>
            <w:vAlign w:val="bottom"/>
            <w:tcBorders>
              <w:bottom w:val="single" w:sz="8" w:color="E2EEFA"/>
            </w:tcBorders>
            <w:shd w:val="clear" w:color="auto" w:fill="E2EEFA"/>
          </w:tcPr>
          <w:p>
            <w:pPr>
              <w:jc w:val="right"/>
              <w:ind w:right="4"/>
              <w:spacing w:after="0"/>
              <w:rPr>
                <w:sz w:val="20"/>
                <w:szCs w:val="20"/>
                <w:color w:val="auto"/>
              </w:rPr>
            </w:pPr>
            <w:r>
              <w:rPr>
                <w:rFonts w:ascii="Arial" w:cs="Arial" w:eastAsia="Arial" w:hAnsi="Arial"/>
                <w:sz w:val="16"/>
                <w:szCs w:val="16"/>
                <w:color w:val="auto"/>
              </w:rPr>
              <w:t xml:space="preserve">8,262               </w:t>
            </w:r>
          </w:p>
        </w:tc>
        <w:tc>
          <w:tcPr>
            <w:tcW w:w="1000" w:type="dxa"/>
            <w:vAlign w:val="bottom"/>
            <w:tcBorders>
              <w:bottom w:val="single" w:sz="8" w:color="E2EEFA"/>
            </w:tcBorders>
            <w:shd w:val="clear" w:color="auto" w:fill="E2EEFA"/>
          </w:tcPr>
          <w:p>
            <w:pPr>
              <w:jc w:val="right"/>
              <w:ind w:right="44"/>
              <w:spacing w:after="0"/>
              <w:rPr>
                <w:sz w:val="20"/>
                <w:szCs w:val="20"/>
                <w:color w:val="auto"/>
              </w:rPr>
            </w:pPr>
            <w:r>
              <w:rPr>
                <w:rFonts w:ascii="Arial" w:cs="Arial" w:eastAsia="Arial" w:hAnsi="Arial"/>
                <w:sz w:val="16"/>
                <w:szCs w:val="16"/>
                <w:color w:val="auto"/>
              </w:rPr>
              <w:t>8,554 </w:t>
            </w:r>
          </w:p>
        </w:tc>
      </w:tr>
      <w:tr>
        <w:trPr>
          <w:trHeight w:val="257"/>
        </w:trPr>
        <w:tc>
          <w:tcPr>
            <w:tcW w:w="6340" w:type="dxa"/>
            <w:vAlign w:val="bottom"/>
          </w:tcPr>
          <w:p>
            <w:pPr>
              <w:ind w:left="60"/>
              <w:spacing w:after="0"/>
              <w:rPr>
                <w:sz w:val="20"/>
                <w:szCs w:val="20"/>
                <w:color w:val="auto"/>
              </w:rPr>
            </w:pPr>
            <w:r>
              <w:rPr>
                <w:rFonts w:ascii="Arial" w:cs="Arial" w:eastAsia="Arial" w:hAnsi="Arial"/>
                <w:sz w:val="16"/>
                <w:szCs w:val="16"/>
                <w:color w:val="auto"/>
              </w:rPr>
              <w:t>Louis A. Shapiro</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— </w:t>
            </w:r>
          </w:p>
        </w:tc>
        <w:tc>
          <w:tcPr>
            <w:tcW w:w="140" w:type="dxa"/>
            <w:vAlign w:val="bottom"/>
          </w:tcPr>
          <w:p>
            <w:pPr>
              <w:ind w:left="20"/>
              <w:spacing w:after="0"/>
              <w:rPr>
                <w:sz w:val="20"/>
                <w:szCs w:val="20"/>
                <w:color w:val="auto"/>
              </w:rPr>
            </w:pPr>
            <w:r>
              <w:rPr>
                <w:rFonts w:ascii="Arial" w:cs="Arial" w:eastAsia="Arial" w:hAnsi="Arial"/>
                <w:sz w:val="16"/>
                <w:szCs w:val="16"/>
                <w:color w:val="auto"/>
              </w:rPr>
              <w:t>  </w:t>
            </w:r>
          </w:p>
        </w:tc>
        <w:tc>
          <w:tcPr>
            <w:tcW w:w="2020" w:type="dxa"/>
            <w:vAlign w:val="bottom"/>
          </w:tcPr>
          <w:p>
            <w:pPr>
              <w:jc w:val="right"/>
              <w:ind w:right="4"/>
              <w:spacing w:after="0"/>
              <w:rPr>
                <w:sz w:val="20"/>
                <w:szCs w:val="20"/>
                <w:color w:val="auto"/>
              </w:rPr>
            </w:pPr>
            <w:r>
              <w:rPr>
                <w:rFonts w:ascii="Arial" w:cs="Arial" w:eastAsia="Arial" w:hAnsi="Arial"/>
                <w:sz w:val="16"/>
                <w:szCs w:val="16"/>
                <w:color w:val="auto"/>
              </w:rPr>
              <w:t xml:space="preserve">—               </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— </w:t>
            </w:r>
          </w:p>
        </w:tc>
      </w:tr>
      <w:tr>
        <w:trPr>
          <w:trHeight w:val="41"/>
        </w:trPr>
        <w:tc>
          <w:tcPr>
            <w:tcW w:w="6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8"/>
        </w:trPr>
        <w:tc>
          <w:tcPr>
            <w:tcW w:w="634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6"/>
                <w:szCs w:val="16"/>
                <w:color w:val="auto"/>
              </w:rPr>
              <w:t>Dr. Mohsen M. Sohi</w:t>
            </w:r>
          </w:p>
        </w:tc>
        <w:tc>
          <w:tcPr>
            <w:tcW w:w="1060" w:type="dxa"/>
            <w:vAlign w:val="bottom"/>
            <w:tcBorders>
              <w:bottom w:val="single" w:sz="8" w:color="E2EEFA"/>
            </w:tcBorders>
            <w:shd w:val="clear" w:color="auto" w:fill="E2EEFA"/>
          </w:tcPr>
          <w:p>
            <w:pPr>
              <w:jc w:val="right"/>
              <w:ind w:right="24"/>
              <w:spacing w:after="0"/>
              <w:rPr>
                <w:sz w:val="20"/>
                <w:szCs w:val="20"/>
                <w:color w:val="auto"/>
              </w:rPr>
            </w:pPr>
            <w:r>
              <w:rPr>
                <w:rFonts w:ascii="Arial" w:cs="Arial" w:eastAsia="Arial" w:hAnsi="Arial"/>
                <w:sz w:val="16"/>
                <w:szCs w:val="16"/>
                <w:color w:val="auto"/>
              </w:rPr>
              <w:t>22,361 </w:t>
            </w:r>
          </w:p>
        </w:tc>
        <w:tc>
          <w:tcPr>
            <w:tcW w:w="140" w:type="dxa"/>
            <w:vAlign w:val="bottom"/>
            <w:tcBorders>
              <w:bottom w:val="single" w:sz="8" w:color="E2EEFA"/>
            </w:tcBorders>
            <w:shd w:val="clear" w:color="auto" w:fill="E2EEFA"/>
          </w:tcPr>
          <w:p>
            <w:pPr>
              <w:ind w:left="20"/>
              <w:spacing w:after="0"/>
              <w:rPr>
                <w:sz w:val="20"/>
                <w:szCs w:val="20"/>
                <w:color w:val="auto"/>
              </w:rPr>
            </w:pPr>
            <w:r>
              <w:rPr>
                <w:rFonts w:ascii="Arial" w:cs="Arial" w:eastAsia="Arial" w:hAnsi="Arial"/>
                <w:sz w:val="16"/>
                <w:szCs w:val="16"/>
                <w:color w:val="auto"/>
              </w:rPr>
              <w:t>  </w:t>
            </w:r>
          </w:p>
        </w:tc>
        <w:tc>
          <w:tcPr>
            <w:tcW w:w="2020" w:type="dxa"/>
            <w:vAlign w:val="bottom"/>
            <w:tcBorders>
              <w:bottom w:val="single" w:sz="8" w:color="E2EEFA"/>
            </w:tcBorders>
            <w:shd w:val="clear" w:color="auto" w:fill="E2EEFA"/>
          </w:tcPr>
          <w:p>
            <w:pPr>
              <w:jc w:val="right"/>
              <w:ind w:right="4"/>
              <w:spacing w:after="0"/>
              <w:rPr>
                <w:sz w:val="20"/>
                <w:szCs w:val="20"/>
                <w:color w:val="auto"/>
              </w:rPr>
            </w:pPr>
            <w:r>
              <w:rPr>
                <w:rFonts w:ascii="Arial" w:cs="Arial" w:eastAsia="Arial" w:hAnsi="Arial"/>
                <w:sz w:val="16"/>
                <w:szCs w:val="16"/>
                <w:color w:val="auto"/>
              </w:rPr>
              <w:t xml:space="preserve">34,131               </w:t>
            </w:r>
          </w:p>
        </w:tc>
        <w:tc>
          <w:tcPr>
            <w:tcW w:w="1000" w:type="dxa"/>
            <w:vAlign w:val="bottom"/>
            <w:tcBorders>
              <w:bottom w:val="single" w:sz="8" w:color="E2EEFA"/>
            </w:tcBorders>
            <w:shd w:val="clear" w:color="auto" w:fill="E2EEFA"/>
          </w:tcPr>
          <w:p>
            <w:pPr>
              <w:jc w:val="right"/>
              <w:ind w:right="44"/>
              <w:spacing w:after="0"/>
              <w:rPr>
                <w:sz w:val="20"/>
                <w:szCs w:val="20"/>
                <w:color w:val="auto"/>
              </w:rPr>
            </w:pPr>
            <w:r>
              <w:rPr>
                <w:rFonts w:ascii="Arial" w:cs="Arial" w:eastAsia="Arial" w:hAnsi="Arial"/>
                <w:sz w:val="16"/>
                <w:szCs w:val="16"/>
                <w:color w:val="auto"/>
              </w:rPr>
              <w:t>56,492 </w:t>
            </w:r>
          </w:p>
        </w:tc>
      </w:tr>
      <w:tr>
        <w:trPr>
          <w:trHeight w:val="257"/>
        </w:trPr>
        <w:tc>
          <w:tcPr>
            <w:tcW w:w="6340" w:type="dxa"/>
            <w:vAlign w:val="bottom"/>
          </w:tcPr>
          <w:p>
            <w:pPr>
              <w:ind w:left="60"/>
              <w:spacing w:after="0"/>
              <w:rPr>
                <w:sz w:val="20"/>
                <w:szCs w:val="20"/>
                <w:color w:val="auto"/>
              </w:rPr>
            </w:pPr>
            <w:r>
              <w:rPr>
                <w:rFonts w:ascii="Arial" w:cs="Arial" w:eastAsia="Arial" w:hAnsi="Arial"/>
                <w:sz w:val="16"/>
                <w:szCs w:val="16"/>
                <w:color w:val="auto"/>
              </w:rPr>
              <w:t>All Directors, Nominees, and Executive Officers as a group (19 persons)</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294,736 </w:t>
            </w:r>
          </w:p>
        </w:tc>
        <w:tc>
          <w:tcPr>
            <w:tcW w:w="140" w:type="dxa"/>
            <w:vAlign w:val="bottom"/>
          </w:tcPr>
          <w:p>
            <w:pPr>
              <w:ind w:left="20"/>
              <w:spacing w:after="0"/>
              <w:rPr>
                <w:sz w:val="20"/>
                <w:szCs w:val="20"/>
                <w:color w:val="auto"/>
              </w:rPr>
            </w:pPr>
            <w:r>
              <w:rPr>
                <w:rFonts w:ascii="Arial" w:cs="Arial" w:eastAsia="Arial" w:hAnsi="Arial"/>
                <w:sz w:val="16"/>
                <w:szCs w:val="16"/>
                <w:color w:val="auto"/>
              </w:rPr>
              <w:t>  </w:t>
            </w:r>
          </w:p>
        </w:tc>
        <w:tc>
          <w:tcPr>
            <w:tcW w:w="2020" w:type="dxa"/>
            <w:vAlign w:val="bottom"/>
          </w:tcPr>
          <w:p>
            <w:pPr>
              <w:jc w:val="right"/>
              <w:ind w:right="4"/>
              <w:spacing w:after="0"/>
              <w:rPr>
                <w:sz w:val="20"/>
                <w:szCs w:val="20"/>
                <w:color w:val="auto"/>
              </w:rPr>
            </w:pPr>
            <w:r>
              <w:rPr>
                <w:rFonts w:ascii="Arial" w:cs="Arial" w:eastAsia="Arial" w:hAnsi="Arial"/>
                <w:sz w:val="16"/>
                <w:szCs w:val="16"/>
                <w:color w:val="auto"/>
              </w:rPr>
              <w:t xml:space="preserve">796,010               </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1,090,746 </w:t>
            </w:r>
          </w:p>
        </w:tc>
      </w:tr>
      <w:tr>
        <w:trPr>
          <w:trHeight w:val="47"/>
        </w:trPr>
        <w:tc>
          <w:tcPr>
            <w:tcW w:w="6340" w:type="dxa"/>
            <w:vAlign w:val="bottom"/>
            <w:tcBorders>
              <w:bottom w:val="single" w:sz="8" w:color="3E8EDE"/>
            </w:tcBorders>
          </w:tcPr>
          <w:p>
            <w:pPr>
              <w:spacing w:after="0"/>
              <w:rPr>
                <w:sz w:val="4"/>
                <w:szCs w:val="4"/>
                <w:color w:val="auto"/>
              </w:rPr>
            </w:pPr>
          </w:p>
        </w:tc>
        <w:tc>
          <w:tcPr>
            <w:tcW w:w="1060" w:type="dxa"/>
            <w:vAlign w:val="bottom"/>
            <w:tcBorders>
              <w:bottom w:val="single" w:sz="8" w:color="3E8EDE"/>
            </w:tcBorders>
          </w:tcPr>
          <w:p>
            <w:pPr>
              <w:spacing w:after="0"/>
              <w:rPr>
                <w:sz w:val="4"/>
                <w:szCs w:val="4"/>
                <w:color w:val="auto"/>
              </w:rPr>
            </w:pPr>
          </w:p>
        </w:tc>
        <w:tc>
          <w:tcPr>
            <w:tcW w:w="140" w:type="dxa"/>
            <w:vAlign w:val="bottom"/>
            <w:tcBorders>
              <w:bottom w:val="single" w:sz="8" w:color="3E8EDE"/>
            </w:tcBorders>
          </w:tcPr>
          <w:p>
            <w:pPr>
              <w:spacing w:after="0"/>
              <w:rPr>
                <w:sz w:val="4"/>
                <w:szCs w:val="4"/>
                <w:color w:val="auto"/>
              </w:rPr>
            </w:pPr>
          </w:p>
        </w:tc>
        <w:tc>
          <w:tcPr>
            <w:tcW w:w="2020" w:type="dxa"/>
            <w:vAlign w:val="bottom"/>
            <w:tcBorders>
              <w:bottom w:val="single" w:sz="8" w:color="3E8EDE"/>
            </w:tcBorders>
          </w:tcPr>
          <w:p>
            <w:pPr>
              <w:spacing w:after="0"/>
              <w:rPr>
                <w:sz w:val="4"/>
                <w:szCs w:val="4"/>
                <w:color w:val="auto"/>
              </w:rPr>
            </w:pPr>
          </w:p>
        </w:tc>
        <w:tc>
          <w:tcPr>
            <w:tcW w:w="1000" w:type="dxa"/>
            <w:vAlign w:val="bottom"/>
            <w:tcBorders>
              <w:bottom w:val="single" w:sz="8" w:color="3E8EDE"/>
            </w:tcBorders>
          </w:tcPr>
          <w:p>
            <w:pPr>
              <w:spacing w:after="0"/>
              <w:rPr>
                <w:sz w:val="4"/>
                <w:szCs w:val="4"/>
                <w:color w:val="auto"/>
              </w:rPr>
            </w:pPr>
          </w:p>
        </w:tc>
      </w:tr>
    </w:tbl>
    <w:p>
      <w:pPr>
        <w:spacing w:after="0" w:line="104" w:lineRule="exact"/>
        <w:rPr>
          <w:sz w:val="20"/>
          <w:szCs w:val="20"/>
          <w:color w:val="auto"/>
        </w:rPr>
      </w:pPr>
    </w:p>
    <w:p>
      <w:pPr>
        <w:ind w:left="760" w:right="100" w:hanging="420"/>
        <w:spacing w:after="0" w:line="249"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As of March 31, 2026, (a) none of our directors, director nominees or executive officers beneficially owned 1% or more of our outstanding Ordinary Shares, and (b) the directors, director nominees and executive officers of the Company as a group beneficially owned approximately 1% of the outstanding Ordinary Shares (including shares subject to stock options exercisable by them within 60 days after March 31, 2026).</w:t>
      </w:r>
    </w:p>
    <w:p>
      <w:pPr>
        <w:spacing w:after="0" w:line="87" w:lineRule="exact"/>
        <w:rPr>
          <w:rFonts w:ascii="Arial" w:cs="Arial" w:eastAsia="Arial" w:hAnsi="Arial"/>
          <w:sz w:val="16"/>
          <w:szCs w:val="16"/>
          <w:color w:val="auto"/>
        </w:rPr>
      </w:pPr>
    </w:p>
    <w:p>
      <w:pPr>
        <w:ind w:left="760" w:right="20" w:hanging="420"/>
        <w:spacing w:after="0" w:line="249"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Included are (a) Ordinary Shares beneficially owned outright; (b) restricted Ordinary Shares; (c) Ordinary Shares held in the Company’s 401(k) plan, and Ordinary Shares held through trusts. Except as otherwise provided in the following footnotes, all listed Beneficial Owners have sole voting power and sole investment power as to the Ordinary Shares listed in this column.</w:t>
      </w:r>
    </w:p>
    <w:p>
      <w:pPr>
        <w:spacing w:after="0" w:line="87" w:lineRule="exact"/>
        <w:rPr>
          <w:rFonts w:ascii="Arial" w:cs="Arial" w:eastAsia="Arial" w:hAnsi="Arial"/>
          <w:sz w:val="16"/>
          <w:szCs w:val="16"/>
          <w:color w:val="auto"/>
        </w:rPr>
      </w:pPr>
    </w:p>
    <w:p>
      <w:pPr>
        <w:ind w:left="760" w:hanging="420"/>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units representing 3,631 ordinary share equivalents in the STERIS Corporation 401(k) Plan as of March 31, 2026.</w:t>
      </w:r>
    </w:p>
    <w:p>
      <w:pPr>
        <w:spacing w:after="0" w:line="113" w:lineRule="exact"/>
        <w:rPr>
          <w:rFonts w:ascii="Arial" w:cs="Arial" w:eastAsia="Arial" w:hAnsi="Arial"/>
          <w:sz w:val="16"/>
          <w:szCs w:val="16"/>
          <w:color w:val="auto"/>
        </w:rPr>
      </w:pPr>
    </w:p>
    <w:p>
      <w:pPr>
        <w:ind w:left="760" w:hanging="420"/>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units representing 67 ordinary share equivalents in the STERIS Corporation 401(k) Plan as of March 31, 2026.</w:t>
      </w:r>
    </w:p>
    <w:p>
      <w:pPr>
        <w:spacing w:after="0" w:line="113" w:lineRule="exact"/>
        <w:rPr>
          <w:rFonts w:ascii="Arial" w:cs="Arial" w:eastAsia="Arial" w:hAnsi="Arial"/>
          <w:sz w:val="16"/>
          <w:szCs w:val="16"/>
          <w:color w:val="auto"/>
        </w:rPr>
      </w:pPr>
    </w:p>
    <w:p>
      <w:pPr>
        <w:ind w:left="760" w:hanging="420"/>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Mr. Boulud was appointed to the Board in May 2026.</w:t>
      </w:r>
    </w:p>
    <w:p>
      <w:pPr>
        <w:spacing w:after="0" w:line="113" w:lineRule="exact"/>
        <w:rPr>
          <w:rFonts w:ascii="Arial" w:cs="Arial" w:eastAsia="Arial" w:hAnsi="Arial"/>
          <w:sz w:val="16"/>
          <w:szCs w:val="16"/>
          <w:color w:val="auto"/>
        </w:rPr>
      </w:pPr>
    </w:p>
    <w:p>
      <w:pPr>
        <w:ind w:left="760" w:right="60" w:hanging="420"/>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Richard C. Breeden is the managing member of Breeden Capital Partners LLC, and managing member and chairman and chief executive officer of Breeden Capital Management LLC. Breeden Capital Partners LLC is in turn the general partner of Breeden Partners L.P. (the “Fund”). Pursuant to Rule 16a-1(a)(2)(ii)(B) of the Exchange Act, Mr. Breeden in his capacity as managing member, as well as chairman and chief executive officer of Breeden Capital Management LLC, may be deemed to be the indirect beneficial owner of Ordinary Shares owned by the Fund and its General Partner, and may be deemed to have beneficial ownership of all 27,242 such shares. Mr. Breeden has disclaimed beneficial ownership of 1,359 Ordinary Shares, which Ordinary Shares are held by Breeden Partnership LLP. All of the shares described in this note are included in the first column for Mr. Breeden.</w:t>
      </w:r>
    </w:p>
    <w:p>
      <w:pPr>
        <w:spacing w:after="0" w:line="97" w:lineRule="exact"/>
        <w:rPr>
          <w:rFonts w:ascii="Arial" w:cs="Arial" w:eastAsia="Arial" w:hAnsi="Arial"/>
          <w:sz w:val="16"/>
          <w:szCs w:val="16"/>
          <w:color w:val="auto"/>
        </w:rPr>
      </w:pPr>
    </w:p>
    <w:p>
      <w:pPr>
        <w:ind w:left="760" w:right="120" w:hanging="420"/>
        <w:spacing w:after="0" w:line="263"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8,663 of the Ordinary Shares listed in the first column are held in a trust with respect to which Ms. Cynthia Feldmann has shared voting power and shared investment power.</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542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 xml:space="preserve">Ownership of Voting Securities: </w:t>
      </w:r>
      <w:r>
        <w:rPr>
          <w:rFonts w:ascii="Arial" w:cs="Arial" w:eastAsia="Arial" w:hAnsi="Arial"/>
          <w:sz w:val="15"/>
          <w:szCs w:val="15"/>
          <w:b w:val="1"/>
          <w:bCs w:val="1"/>
          <w:color w:val="000000"/>
        </w:rPr>
        <w:t>Shares and Career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Shares and Career Restricted Stock Units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sets forth ownership of Ordinary Shares and CRSUs by non-employee directors and nominees, as of</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142875</wp:posOffset>
            </wp:positionV>
            <wp:extent cx="6710045" cy="6661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10045" cy="666115"/>
                    </a:xfrm>
                    <a:prstGeom prst="rect">
                      <a:avLst/>
                    </a:prstGeom>
                    <a:noFill/>
                  </pic:spPr>
                </pic:pic>
              </a:graphicData>
            </a:graphic>
          </wp:anchor>
        </w:drawing>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98"/>
        </w:trPr>
        <w:tc>
          <w:tcPr>
            <w:tcW w:w="5960" w:type="dxa"/>
            <w:vAlign w:val="bottom"/>
            <w:shd w:val="clear" w:color="auto" w:fill="3E8EDE"/>
          </w:tcPr>
          <w:p>
            <w:pPr>
              <w:spacing w:after="0"/>
              <w:rPr>
                <w:sz w:val="17"/>
                <w:szCs w:val="17"/>
                <w:color w:val="auto"/>
              </w:rPr>
            </w:pPr>
          </w:p>
        </w:tc>
        <w:tc>
          <w:tcPr>
            <w:tcW w:w="4600" w:type="dxa"/>
            <w:vAlign w:val="bottom"/>
            <w:gridSpan w:val="3"/>
            <w:shd w:val="clear" w:color="auto" w:fill="3E8EDE"/>
          </w:tcPr>
          <w:p>
            <w:pPr>
              <w:jc w:val="center"/>
              <w:ind w:left="19"/>
              <w:spacing w:after="0"/>
              <w:rPr>
                <w:sz w:val="20"/>
                <w:szCs w:val="20"/>
                <w:color w:val="auto"/>
              </w:rPr>
            </w:pPr>
            <w:r>
              <w:rPr>
                <w:rFonts w:ascii="Arial" w:cs="Arial" w:eastAsia="Arial" w:hAnsi="Arial"/>
                <w:sz w:val="14"/>
                <w:szCs w:val="14"/>
                <w:b w:val="1"/>
                <w:bCs w:val="1"/>
                <w:color w:val="FFFFFF"/>
                <w:w w:val="98"/>
              </w:rPr>
              <w:t>Total Number of Shares Beneficially Owned by and CRSUs of</w:t>
            </w:r>
          </w:p>
        </w:tc>
      </w:tr>
      <w:tr>
        <w:trPr>
          <w:trHeight w:val="189"/>
        </w:trPr>
        <w:tc>
          <w:tcPr>
            <w:tcW w:w="5960" w:type="dxa"/>
            <w:vAlign w:val="bottom"/>
            <w:shd w:val="clear" w:color="auto" w:fill="3E8EDE"/>
          </w:tcPr>
          <w:p>
            <w:pPr>
              <w:spacing w:after="0"/>
              <w:rPr>
                <w:sz w:val="16"/>
                <w:szCs w:val="16"/>
                <w:color w:val="auto"/>
              </w:rPr>
            </w:pPr>
          </w:p>
        </w:tc>
        <w:tc>
          <w:tcPr>
            <w:tcW w:w="4600" w:type="dxa"/>
            <w:vAlign w:val="bottom"/>
            <w:gridSpan w:val="3"/>
            <w:shd w:val="clear" w:color="auto" w:fill="3E8EDE"/>
          </w:tcPr>
          <w:p>
            <w:pPr>
              <w:jc w:val="center"/>
              <w:ind w:left="19"/>
              <w:spacing w:after="0"/>
              <w:rPr>
                <w:sz w:val="20"/>
                <w:szCs w:val="20"/>
                <w:color w:val="auto"/>
              </w:rPr>
            </w:pPr>
            <w:r>
              <w:rPr>
                <w:rFonts w:ascii="Arial" w:cs="Arial" w:eastAsia="Arial" w:hAnsi="Arial"/>
                <w:sz w:val="14"/>
                <w:szCs w:val="14"/>
                <w:b w:val="1"/>
                <w:bCs w:val="1"/>
                <w:color w:val="FFFFFF"/>
                <w:w w:val="98"/>
              </w:rPr>
              <w:t>Non-Employee Directors as of March 31, 2026</w:t>
            </w:r>
          </w:p>
        </w:tc>
      </w:tr>
      <w:tr>
        <w:trPr>
          <w:trHeight w:val="251"/>
        </w:trPr>
        <w:tc>
          <w:tcPr>
            <w:tcW w:w="5960" w:type="dxa"/>
            <w:vAlign w:val="bottom"/>
            <w:shd w:val="clear" w:color="auto" w:fill="3E8EDE"/>
          </w:tcPr>
          <w:p>
            <w:pPr>
              <w:spacing w:after="0"/>
              <w:rPr>
                <w:sz w:val="21"/>
                <w:szCs w:val="21"/>
                <w:color w:val="auto"/>
              </w:rPr>
            </w:pPr>
          </w:p>
        </w:tc>
        <w:tc>
          <w:tcPr>
            <w:tcW w:w="1840" w:type="dxa"/>
            <w:vAlign w:val="bottom"/>
            <w:shd w:val="clear" w:color="auto" w:fill="3E8EDE"/>
          </w:tcPr>
          <w:p>
            <w:pPr>
              <w:spacing w:after="0"/>
              <w:rPr>
                <w:sz w:val="21"/>
                <w:szCs w:val="21"/>
                <w:color w:val="auto"/>
              </w:rPr>
            </w:pPr>
          </w:p>
        </w:tc>
        <w:tc>
          <w:tcPr>
            <w:tcW w:w="1040" w:type="dxa"/>
            <w:vAlign w:val="bottom"/>
            <w:shd w:val="clear" w:color="auto" w:fill="3E8EDE"/>
          </w:tcPr>
          <w:p>
            <w:pPr>
              <w:spacing w:after="0"/>
              <w:rPr>
                <w:sz w:val="21"/>
                <w:szCs w:val="21"/>
                <w:color w:val="auto"/>
              </w:rPr>
            </w:pPr>
          </w:p>
        </w:tc>
        <w:tc>
          <w:tcPr>
            <w:tcW w:w="1720" w:type="dxa"/>
            <w:vAlign w:val="bottom"/>
            <w:shd w:val="clear" w:color="auto" w:fill="3E8EDE"/>
          </w:tcPr>
          <w:p>
            <w:pPr>
              <w:jc w:val="center"/>
              <w:ind w:right="38"/>
              <w:spacing w:after="0"/>
              <w:rPr>
                <w:sz w:val="20"/>
                <w:szCs w:val="20"/>
                <w:color w:val="auto"/>
              </w:rPr>
            </w:pPr>
            <w:r>
              <w:rPr>
                <w:rFonts w:ascii="Arial" w:cs="Arial" w:eastAsia="Arial" w:hAnsi="Arial"/>
                <w:sz w:val="14"/>
                <w:szCs w:val="14"/>
                <w:b w:val="1"/>
                <w:bCs w:val="1"/>
                <w:color w:val="FFFFFF"/>
                <w:w w:val="98"/>
              </w:rPr>
              <w:t>Total Stock-Based</w:t>
            </w:r>
          </w:p>
        </w:tc>
      </w:tr>
      <w:tr>
        <w:trPr>
          <w:trHeight w:val="152"/>
        </w:trPr>
        <w:tc>
          <w:tcPr>
            <w:tcW w:w="5960" w:type="dxa"/>
            <w:vAlign w:val="bottom"/>
            <w:shd w:val="clear" w:color="auto" w:fill="3E8EDE"/>
          </w:tcPr>
          <w:p>
            <w:pPr>
              <w:spacing w:after="0"/>
              <w:rPr>
                <w:sz w:val="13"/>
                <w:szCs w:val="13"/>
                <w:color w:val="auto"/>
              </w:rPr>
            </w:pPr>
          </w:p>
        </w:tc>
        <w:tc>
          <w:tcPr>
            <w:tcW w:w="1840" w:type="dxa"/>
            <w:vAlign w:val="bottom"/>
            <w:shd w:val="clear" w:color="auto" w:fill="3E8EDE"/>
          </w:tcPr>
          <w:p>
            <w:pPr>
              <w:jc w:val="right"/>
              <w:ind w:right="159"/>
              <w:spacing w:after="0" w:line="152" w:lineRule="exact"/>
              <w:rPr>
                <w:sz w:val="20"/>
                <w:szCs w:val="20"/>
                <w:color w:val="auto"/>
              </w:rPr>
            </w:pPr>
            <w:r>
              <w:rPr>
                <w:rFonts w:ascii="Arial" w:cs="Arial" w:eastAsia="Arial" w:hAnsi="Arial"/>
                <w:sz w:val="14"/>
                <w:szCs w:val="14"/>
                <w:b w:val="1"/>
                <w:bCs w:val="1"/>
                <w:color w:val="FFFFFF"/>
              </w:rPr>
              <w:t>Total Stock-Based</w:t>
            </w:r>
          </w:p>
        </w:tc>
        <w:tc>
          <w:tcPr>
            <w:tcW w:w="1040" w:type="dxa"/>
            <w:vAlign w:val="bottom"/>
            <w:shd w:val="clear" w:color="auto" w:fill="3E8EDE"/>
          </w:tcPr>
          <w:p>
            <w:pPr>
              <w:jc w:val="center"/>
              <w:spacing w:after="0" w:line="152" w:lineRule="exact"/>
              <w:rPr>
                <w:sz w:val="20"/>
                <w:szCs w:val="20"/>
                <w:color w:val="auto"/>
              </w:rPr>
            </w:pPr>
            <w:r>
              <w:rPr>
                <w:rFonts w:ascii="Arial" w:cs="Arial" w:eastAsia="Arial" w:hAnsi="Arial"/>
                <w:sz w:val="14"/>
                <w:szCs w:val="14"/>
                <w:b w:val="1"/>
                <w:bCs w:val="1"/>
                <w:color w:val="FFFFFF"/>
                <w:w w:val="98"/>
              </w:rPr>
              <w:t>STERIS</w:t>
            </w:r>
          </w:p>
        </w:tc>
        <w:tc>
          <w:tcPr>
            <w:tcW w:w="1720" w:type="dxa"/>
            <w:vAlign w:val="bottom"/>
            <w:shd w:val="clear" w:color="auto" w:fill="3E8EDE"/>
          </w:tcPr>
          <w:p>
            <w:pPr>
              <w:jc w:val="center"/>
              <w:ind w:right="38"/>
              <w:spacing w:after="0" w:line="152" w:lineRule="exact"/>
              <w:rPr>
                <w:sz w:val="20"/>
                <w:szCs w:val="20"/>
                <w:color w:val="auto"/>
              </w:rPr>
            </w:pPr>
            <w:r>
              <w:rPr>
                <w:rFonts w:ascii="Arial" w:cs="Arial" w:eastAsia="Arial" w:hAnsi="Arial"/>
                <w:sz w:val="14"/>
                <w:szCs w:val="14"/>
                <w:b w:val="1"/>
                <w:bCs w:val="1"/>
                <w:color w:val="FFFFFF"/>
                <w:w w:val="99"/>
              </w:rPr>
              <w:t>Ownership</w:t>
            </w:r>
          </w:p>
        </w:tc>
      </w:tr>
      <w:tr>
        <w:trPr>
          <w:trHeight w:val="246"/>
        </w:trPr>
        <w:tc>
          <w:tcPr>
            <w:tcW w:w="5960" w:type="dxa"/>
            <w:vAlign w:val="bottom"/>
            <w:shd w:val="clear" w:color="auto" w:fill="3E8EDE"/>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1840" w:type="dxa"/>
            <w:vAlign w:val="bottom"/>
            <w:shd w:val="clear" w:color="auto" w:fill="3E8EDE"/>
          </w:tcPr>
          <w:p>
            <w:pPr>
              <w:jc w:val="right"/>
              <w:ind w:right="339"/>
              <w:spacing w:after="0"/>
              <w:rPr>
                <w:sz w:val="20"/>
                <w:szCs w:val="20"/>
                <w:color w:val="auto"/>
              </w:rPr>
            </w:pPr>
            <w:r>
              <w:rPr>
                <w:rFonts w:ascii="Arial" w:cs="Arial" w:eastAsia="Arial" w:hAnsi="Arial"/>
                <w:sz w:val="14"/>
                <w:szCs w:val="14"/>
                <w:b w:val="1"/>
                <w:bCs w:val="1"/>
                <w:color w:val="FFFFFF"/>
              </w:rPr>
              <w:t>Ownership</w:t>
            </w:r>
            <w:r>
              <w:rPr>
                <w:rFonts w:ascii="Arial" w:cs="Arial" w:eastAsia="Arial" w:hAnsi="Arial"/>
                <w:sz w:val="20"/>
                <w:szCs w:val="20"/>
                <w:b w:val="1"/>
                <w:bCs w:val="1"/>
                <w:color w:val="FFFFFF"/>
                <w:vertAlign w:val="superscript"/>
              </w:rPr>
              <w:t>(1)</w:t>
            </w:r>
          </w:p>
        </w:tc>
        <w:tc>
          <w:tcPr>
            <w:tcW w:w="1040" w:type="dxa"/>
            <w:vAlign w:val="bottom"/>
            <w:shd w:val="clear" w:color="auto" w:fill="3E8EDE"/>
          </w:tcPr>
          <w:p>
            <w:pPr>
              <w:jc w:val="center"/>
              <w:spacing w:after="0"/>
              <w:rPr>
                <w:sz w:val="20"/>
                <w:szCs w:val="20"/>
                <w:color w:val="auto"/>
              </w:rPr>
            </w:pPr>
            <w:r>
              <w:rPr>
                <w:rFonts w:ascii="Arial" w:cs="Arial" w:eastAsia="Arial" w:hAnsi="Arial"/>
                <w:sz w:val="14"/>
                <w:szCs w:val="14"/>
                <w:b w:val="1"/>
                <w:bCs w:val="1"/>
                <w:color w:val="FFFFFF"/>
              </w:rPr>
              <w:t>CRSUs</w:t>
            </w:r>
          </w:p>
        </w:tc>
        <w:tc>
          <w:tcPr>
            <w:tcW w:w="1720" w:type="dxa"/>
            <w:vAlign w:val="bottom"/>
            <w:shd w:val="clear" w:color="auto" w:fill="3E8EDE"/>
          </w:tcPr>
          <w:p>
            <w:pPr>
              <w:jc w:val="center"/>
              <w:ind w:right="38"/>
              <w:spacing w:after="0"/>
              <w:rPr>
                <w:sz w:val="20"/>
                <w:szCs w:val="20"/>
                <w:color w:val="auto"/>
              </w:rPr>
            </w:pPr>
            <w:r>
              <w:rPr>
                <w:rFonts w:ascii="Arial" w:cs="Arial" w:eastAsia="Arial" w:hAnsi="Arial"/>
                <w:sz w:val="14"/>
                <w:szCs w:val="14"/>
                <w:b w:val="1"/>
                <w:bCs w:val="1"/>
                <w:color w:val="FFFFFF"/>
                <w:w w:val="98"/>
              </w:rPr>
              <w:t>Including CRSUs</w:t>
            </w:r>
          </w:p>
        </w:tc>
      </w:tr>
      <w:tr>
        <w:trPr>
          <w:trHeight w:val="291"/>
        </w:trPr>
        <w:tc>
          <w:tcPr>
            <w:tcW w:w="596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7"/>
                <w:szCs w:val="17"/>
                <w:color w:val="auto"/>
              </w:rPr>
              <w:t>Dr. Esther M. Alegria</w:t>
            </w:r>
          </w:p>
        </w:tc>
        <w:tc>
          <w:tcPr>
            <w:tcW w:w="1840" w:type="dxa"/>
            <w:vAlign w:val="bottom"/>
            <w:tcBorders>
              <w:bottom w:val="single" w:sz="8" w:color="E2EEFA"/>
            </w:tcBorders>
            <w:shd w:val="clear" w:color="auto" w:fill="E2EEFA"/>
          </w:tcPr>
          <w:p>
            <w:pPr>
              <w:jc w:val="right"/>
              <w:ind w:right="399"/>
              <w:spacing w:after="0"/>
              <w:rPr>
                <w:sz w:val="20"/>
                <w:szCs w:val="20"/>
                <w:color w:val="auto"/>
              </w:rPr>
            </w:pPr>
            <w:r>
              <w:rPr>
                <w:rFonts w:ascii="Arial" w:cs="Arial" w:eastAsia="Arial" w:hAnsi="Arial"/>
                <w:sz w:val="17"/>
                <w:szCs w:val="17"/>
                <w:color w:val="auto"/>
              </w:rPr>
              <w:t>1,407</w:t>
            </w:r>
          </w:p>
        </w:tc>
        <w:tc>
          <w:tcPr>
            <w:tcW w:w="1040" w:type="dxa"/>
            <w:vAlign w:val="bottom"/>
            <w:tcBorders>
              <w:bottom w:val="single" w:sz="8" w:color="E2EEFA"/>
            </w:tcBorders>
            <w:shd w:val="clear" w:color="auto" w:fill="E2EEFA"/>
          </w:tcPr>
          <w:p>
            <w:pPr>
              <w:jc w:val="right"/>
              <w:ind w:right="137"/>
              <w:spacing w:after="0"/>
              <w:rPr>
                <w:sz w:val="20"/>
                <w:szCs w:val="20"/>
                <w:color w:val="auto"/>
              </w:rPr>
            </w:pPr>
            <w:r>
              <w:rPr>
                <w:rFonts w:ascii="Arial" w:cs="Arial" w:eastAsia="Arial" w:hAnsi="Arial"/>
                <w:sz w:val="17"/>
                <w:szCs w:val="17"/>
                <w:color w:val="auto"/>
              </w:rPr>
              <w:t>2,896</w:t>
            </w:r>
          </w:p>
        </w:tc>
        <w:tc>
          <w:tcPr>
            <w:tcW w:w="1720" w:type="dxa"/>
            <w:vAlign w:val="bottom"/>
            <w:tcBorders>
              <w:bottom w:val="single" w:sz="8" w:color="E2EEFA"/>
            </w:tcBorders>
            <w:shd w:val="clear" w:color="auto" w:fill="E2EEFA"/>
          </w:tcPr>
          <w:p>
            <w:pPr>
              <w:jc w:val="right"/>
              <w:ind w:right="498"/>
              <w:spacing w:after="0"/>
              <w:rPr>
                <w:sz w:val="20"/>
                <w:szCs w:val="20"/>
                <w:color w:val="auto"/>
              </w:rPr>
            </w:pPr>
            <w:r>
              <w:rPr>
                <w:rFonts w:ascii="Arial" w:cs="Arial" w:eastAsia="Arial" w:hAnsi="Arial"/>
                <w:sz w:val="17"/>
                <w:szCs w:val="17"/>
                <w:color w:val="auto"/>
              </w:rPr>
              <w:t>4,303</w:t>
            </w:r>
          </w:p>
        </w:tc>
      </w:tr>
      <w:tr>
        <w:trPr>
          <w:trHeight w:val="274"/>
        </w:trPr>
        <w:tc>
          <w:tcPr>
            <w:tcW w:w="5960" w:type="dxa"/>
            <w:vAlign w:val="bottom"/>
          </w:tcPr>
          <w:p>
            <w:pPr>
              <w:ind w:left="60"/>
              <w:spacing w:after="0"/>
              <w:rPr>
                <w:sz w:val="20"/>
                <w:szCs w:val="20"/>
                <w:color w:val="auto"/>
              </w:rPr>
            </w:pPr>
            <w:r>
              <w:rPr>
                <w:rFonts w:ascii="Arial" w:cs="Arial" w:eastAsia="Arial" w:hAnsi="Arial"/>
                <w:sz w:val="17"/>
                <w:szCs w:val="17"/>
                <w:color w:val="auto"/>
              </w:rPr>
              <w:t>Pierre Boulud</w:t>
            </w:r>
          </w:p>
        </w:tc>
        <w:tc>
          <w:tcPr>
            <w:tcW w:w="1840" w:type="dxa"/>
            <w:vAlign w:val="bottom"/>
          </w:tcPr>
          <w:p>
            <w:pPr>
              <w:jc w:val="right"/>
              <w:ind w:right="399"/>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498"/>
              <w:spacing w:after="0"/>
              <w:rPr>
                <w:sz w:val="20"/>
                <w:szCs w:val="20"/>
                <w:color w:val="auto"/>
              </w:rPr>
            </w:pPr>
            <w:r>
              <w:rPr>
                <w:rFonts w:ascii="Arial" w:cs="Arial" w:eastAsia="Arial" w:hAnsi="Arial"/>
                <w:sz w:val="17"/>
                <w:szCs w:val="17"/>
                <w:color w:val="auto"/>
              </w:rPr>
              <w:t>—</w:t>
            </w:r>
          </w:p>
        </w:tc>
      </w:tr>
      <w:tr>
        <w:trPr>
          <w:trHeight w:val="37"/>
        </w:trPr>
        <w:tc>
          <w:tcPr>
            <w:tcW w:w="59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91"/>
        </w:trPr>
        <w:tc>
          <w:tcPr>
            <w:tcW w:w="596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7"/>
                <w:szCs w:val="17"/>
                <w:color w:val="auto"/>
              </w:rPr>
              <w:t>Richard C. Breeden</w:t>
            </w:r>
          </w:p>
        </w:tc>
        <w:tc>
          <w:tcPr>
            <w:tcW w:w="1840" w:type="dxa"/>
            <w:vAlign w:val="bottom"/>
            <w:tcBorders>
              <w:bottom w:val="single" w:sz="8" w:color="E2EEFA"/>
            </w:tcBorders>
            <w:shd w:val="clear" w:color="auto" w:fill="E2EEFA"/>
          </w:tcPr>
          <w:p>
            <w:pPr>
              <w:jc w:val="right"/>
              <w:ind w:right="399"/>
              <w:spacing w:after="0"/>
              <w:rPr>
                <w:sz w:val="20"/>
                <w:szCs w:val="20"/>
                <w:color w:val="auto"/>
              </w:rPr>
            </w:pPr>
            <w:r>
              <w:rPr>
                <w:rFonts w:ascii="Arial" w:cs="Arial" w:eastAsia="Arial" w:hAnsi="Arial"/>
                <w:sz w:val="17"/>
                <w:szCs w:val="17"/>
                <w:color w:val="auto"/>
              </w:rPr>
              <w:t>91,467</w:t>
            </w:r>
          </w:p>
        </w:tc>
        <w:tc>
          <w:tcPr>
            <w:tcW w:w="1040" w:type="dxa"/>
            <w:vAlign w:val="bottom"/>
            <w:tcBorders>
              <w:bottom w:val="single" w:sz="8" w:color="E2EEFA"/>
            </w:tcBorders>
            <w:shd w:val="clear" w:color="auto" w:fill="E2EEFA"/>
          </w:tcPr>
          <w:p>
            <w:pPr>
              <w:jc w:val="right"/>
              <w:ind w:right="137"/>
              <w:spacing w:after="0"/>
              <w:rPr>
                <w:sz w:val="20"/>
                <w:szCs w:val="20"/>
                <w:color w:val="auto"/>
              </w:rPr>
            </w:pPr>
            <w:r>
              <w:rPr>
                <w:rFonts w:ascii="Arial" w:cs="Arial" w:eastAsia="Arial" w:hAnsi="Arial"/>
                <w:sz w:val="17"/>
                <w:szCs w:val="17"/>
                <w:color w:val="auto"/>
              </w:rPr>
              <w:t>19,545</w:t>
            </w:r>
          </w:p>
        </w:tc>
        <w:tc>
          <w:tcPr>
            <w:tcW w:w="1720" w:type="dxa"/>
            <w:vAlign w:val="bottom"/>
            <w:tcBorders>
              <w:bottom w:val="single" w:sz="8" w:color="E2EEFA"/>
            </w:tcBorders>
            <w:shd w:val="clear" w:color="auto" w:fill="E2EEFA"/>
          </w:tcPr>
          <w:p>
            <w:pPr>
              <w:jc w:val="right"/>
              <w:ind w:right="498"/>
              <w:spacing w:after="0"/>
              <w:rPr>
                <w:sz w:val="20"/>
                <w:szCs w:val="20"/>
                <w:color w:val="auto"/>
              </w:rPr>
            </w:pPr>
            <w:r>
              <w:rPr>
                <w:rFonts w:ascii="Arial" w:cs="Arial" w:eastAsia="Arial" w:hAnsi="Arial"/>
                <w:sz w:val="17"/>
                <w:szCs w:val="17"/>
                <w:color w:val="auto"/>
              </w:rPr>
              <w:t>111,012</w:t>
            </w:r>
          </w:p>
        </w:tc>
      </w:tr>
      <w:tr>
        <w:trPr>
          <w:trHeight w:val="274"/>
        </w:trPr>
        <w:tc>
          <w:tcPr>
            <w:tcW w:w="5960" w:type="dxa"/>
            <w:vAlign w:val="bottom"/>
          </w:tcPr>
          <w:p>
            <w:pPr>
              <w:ind w:left="60"/>
              <w:spacing w:after="0"/>
              <w:rPr>
                <w:sz w:val="20"/>
                <w:szCs w:val="20"/>
                <w:color w:val="auto"/>
              </w:rPr>
            </w:pPr>
            <w:r>
              <w:rPr>
                <w:rFonts w:ascii="Arial" w:cs="Arial" w:eastAsia="Arial" w:hAnsi="Arial"/>
                <w:sz w:val="17"/>
                <w:szCs w:val="17"/>
                <w:color w:val="auto"/>
              </w:rPr>
              <w:t>Cynthia L. Feldmann</w:t>
            </w:r>
          </w:p>
        </w:tc>
        <w:tc>
          <w:tcPr>
            <w:tcW w:w="1840" w:type="dxa"/>
            <w:vAlign w:val="bottom"/>
          </w:tcPr>
          <w:p>
            <w:pPr>
              <w:jc w:val="right"/>
              <w:ind w:right="399"/>
              <w:spacing w:after="0"/>
              <w:rPr>
                <w:sz w:val="20"/>
                <w:szCs w:val="20"/>
                <w:color w:val="auto"/>
              </w:rPr>
            </w:pPr>
            <w:r>
              <w:rPr>
                <w:rFonts w:ascii="Arial" w:cs="Arial" w:eastAsia="Arial" w:hAnsi="Arial"/>
                <w:sz w:val="17"/>
                <w:szCs w:val="17"/>
                <w:color w:val="auto"/>
              </w:rPr>
              <w:t>20,736</w:t>
            </w:r>
          </w:p>
        </w:tc>
        <w:tc>
          <w:tcPr>
            <w:tcW w:w="1040" w:type="dxa"/>
            <w:vAlign w:val="bottom"/>
          </w:tcPr>
          <w:p>
            <w:pPr>
              <w:jc w:val="right"/>
              <w:ind w:right="137"/>
              <w:spacing w:after="0"/>
              <w:rPr>
                <w:sz w:val="20"/>
                <w:szCs w:val="20"/>
                <w:color w:val="auto"/>
              </w:rPr>
            </w:pPr>
            <w:r>
              <w:rPr>
                <w:rFonts w:ascii="Arial" w:cs="Arial" w:eastAsia="Arial" w:hAnsi="Arial"/>
                <w:sz w:val="17"/>
                <w:szCs w:val="17"/>
                <w:color w:val="auto"/>
              </w:rPr>
              <w:t>8,128</w:t>
            </w:r>
          </w:p>
        </w:tc>
        <w:tc>
          <w:tcPr>
            <w:tcW w:w="1720" w:type="dxa"/>
            <w:vAlign w:val="bottom"/>
          </w:tcPr>
          <w:p>
            <w:pPr>
              <w:jc w:val="right"/>
              <w:ind w:right="498"/>
              <w:spacing w:after="0"/>
              <w:rPr>
                <w:sz w:val="20"/>
                <w:szCs w:val="20"/>
                <w:color w:val="auto"/>
              </w:rPr>
            </w:pPr>
            <w:r>
              <w:rPr>
                <w:rFonts w:ascii="Arial" w:cs="Arial" w:eastAsia="Arial" w:hAnsi="Arial"/>
                <w:sz w:val="17"/>
                <w:szCs w:val="17"/>
                <w:color w:val="auto"/>
              </w:rPr>
              <w:t>28,864</w:t>
            </w:r>
          </w:p>
        </w:tc>
      </w:tr>
      <w:tr>
        <w:trPr>
          <w:trHeight w:val="37"/>
        </w:trPr>
        <w:tc>
          <w:tcPr>
            <w:tcW w:w="59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91"/>
        </w:trPr>
        <w:tc>
          <w:tcPr>
            <w:tcW w:w="596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7"/>
                <w:szCs w:val="17"/>
                <w:color w:val="auto"/>
              </w:rPr>
              <w:t>Christopher S. Holland</w:t>
            </w:r>
          </w:p>
        </w:tc>
        <w:tc>
          <w:tcPr>
            <w:tcW w:w="1840" w:type="dxa"/>
            <w:vAlign w:val="bottom"/>
            <w:tcBorders>
              <w:bottom w:val="single" w:sz="8" w:color="E2EEFA"/>
            </w:tcBorders>
            <w:shd w:val="clear" w:color="auto" w:fill="E2EEFA"/>
          </w:tcPr>
          <w:p>
            <w:pPr>
              <w:jc w:val="right"/>
              <w:ind w:right="399"/>
              <w:spacing w:after="0"/>
              <w:rPr>
                <w:sz w:val="20"/>
                <w:szCs w:val="20"/>
                <w:color w:val="auto"/>
              </w:rPr>
            </w:pPr>
            <w:r>
              <w:rPr>
                <w:rFonts w:ascii="Arial" w:cs="Arial" w:eastAsia="Arial" w:hAnsi="Arial"/>
                <w:sz w:val="17"/>
                <w:szCs w:val="17"/>
                <w:color w:val="auto"/>
              </w:rPr>
              <w:t>2,126</w:t>
            </w:r>
          </w:p>
        </w:tc>
        <w:tc>
          <w:tcPr>
            <w:tcW w:w="1040" w:type="dxa"/>
            <w:vAlign w:val="bottom"/>
            <w:tcBorders>
              <w:bottom w:val="single" w:sz="8" w:color="E2EEFA"/>
            </w:tcBorders>
            <w:shd w:val="clear" w:color="auto" w:fill="E2EEFA"/>
          </w:tcPr>
          <w:p>
            <w:pPr>
              <w:jc w:val="right"/>
              <w:ind w:right="137"/>
              <w:spacing w:after="0"/>
              <w:rPr>
                <w:sz w:val="20"/>
                <w:szCs w:val="20"/>
                <w:color w:val="auto"/>
              </w:rPr>
            </w:pPr>
            <w:r>
              <w:rPr>
                <w:rFonts w:ascii="Arial" w:cs="Arial" w:eastAsia="Arial" w:hAnsi="Arial"/>
                <w:sz w:val="17"/>
                <w:szCs w:val="17"/>
                <w:color w:val="auto"/>
              </w:rPr>
              <w:t>4,964</w:t>
            </w:r>
          </w:p>
        </w:tc>
        <w:tc>
          <w:tcPr>
            <w:tcW w:w="1720" w:type="dxa"/>
            <w:vAlign w:val="bottom"/>
            <w:tcBorders>
              <w:bottom w:val="single" w:sz="8" w:color="E2EEFA"/>
            </w:tcBorders>
            <w:shd w:val="clear" w:color="auto" w:fill="E2EEFA"/>
          </w:tcPr>
          <w:p>
            <w:pPr>
              <w:jc w:val="right"/>
              <w:ind w:right="498"/>
              <w:spacing w:after="0"/>
              <w:rPr>
                <w:sz w:val="20"/>
                <w:szCs w:val="20"/>
                <w:color w:val="auto"/>
              </w:rPr>
            </w:pPr>
            <w:r>
              <w:rPr>
                <w:rFonts w:ascii="Arial" w:cs="Arial" w:eastAsia="Arial" w:hAnsi="Arial"/>
                <w:sz w:val="17"/>
                <w:szCs w:val="17"/>
                <w:color w:val="auto"/>
              </w:rPr>
              <w:t>7,090</w:t>
            </w:r>
          </w:p>
        </w:tc>
      </w:tr>
      <w:tr>
        <w:trPr>
          <w:trHeight w:val="274"/>
        </w:trPr>
        <w:tc>
          <w:tcPr>
            <w:tcW w:w="5960" w:type="dxa"/>
            <w:vAlign w:val="bottom"/>
          </w:tcPr>
          <w:p>
            <w:pPr>
              <w:ind w:left="60"/>
              <w:spacing w:after="0"/>
              <w:rPr>
                <w:sz w:val="20"/>
                <w:szCs w:val="20"/>
                <w:color w:val="auto"/>
              </w:rPr>
            </w:pPr>
            <w:r>
              <w:rPr>
                <w:rFonts w:ascii="Arial" w:cs="Arial" w:eastAsia="Arial" w:hAnsi="Arial"/>
                <w:sz w:val="17"/>
                <w:szCs w:val="17"/>
                <w:color w:val="auto"/>
              </w:rPr>
              <w:t>Paul E. Martin</w:t>
            </w:r>
          </w:p>
        </w:tc>
        <w:tc>
          <w:tcPr>
            <w:tcW w:w="1840" w:type="dxa"/>
            <w:vAlign w:val="bottom"/>
          </w:tcPr>
          <w:p>
            <w:pPr>
              <w:jc w:val="right"/>
              <w:ind w:right="399"/>
              <w:spacing w:after="0"/>
              <w:rPr>
                <w:sz w:val="20"/>
                <w:szCs w:val="20"/>
                <w:color w:val="auto"/>
              </w:rPr>
            </w:pPr>
            <w:r>
              <w:rPr>
                <w:rFonts w:ascii="Arial" w:cs="Arial" w:eastAsia="Arial" w:hAnsi="Arial"/>
                <w:sz w:val="17"/>
                <w:szCs w:val="17"/>
                <w:color w:val="auto"/>
              </w:rPr>
              <w:t>2,795</w:t>
            </w:r>
          </w:p>
        </w:tc>
        <w:tc>
          <w:tcPr>
            <w:tcW w:w="1040" w:type="dxa"/>
            <w:vAlign w:val="bottom"/>
          </w:tcPr>
          <w:p>
            <w:pPr>
              <w:jc w:val="right"/>
              <w:ind w:right="137"/>
              <w:spacing w:after="0"/>
              <w:rPr>
                <w:sz w:val="20"/>
                <w:szCs w:val="20"/>
                <w:color w:val="auto"/>
              </w:rPr>
            </w:pPr>
            <w:r>
              <w:rPr>
                <w:rFonts w:ascii="Arial" w:cs="Arial" w:eastAsia="Arial" w:hAnsi="Arial"/>
                <w:sz w:val="17"/>
                <w:szCs w:val="17"/>
                <w:color w:val="auto"/>
              </w:rPr>
              <w:t>4,562</w:t>
            </w:r>
          </w:p>
        </w:tc>
        <w:tc>
          <w:tcPr>
            <w:tcW w:w="1720" w:type="dxa"/>
            <w:vAlign w:val="bottom"/>
          </w:tcPr>
          <w:p>
            <w:pPr>
              <w:jc w:val="right"/>
              <w:ind w:right="498"/>
              <w:spacing w:after="0"/>
              <w:rPr>
                <w:sz w:val="20"/>
                <w:szCs w:val="20"/>
                <w:color w:val="auto"/>
              </w:rPr>
            </w:pPr>
            <w:r>
              <w:rPr>
                <w:rFonts w:ascii="Arial" w:cs="Arial" w:eastAsia="Arial" w:hAnsi="Arial"/>
                <w:sz w:val="17"/>
                <w:szCs w:val="17"/>
                <w:color w:val="auto"/>
              </w:rPr>
              <w:t>7,357</w:t>
            </w:r>
          </w:p>
        </w:tc>
      </w:tr>
      <w:tr>
        <w:trPr>
          <w:trHeight w:val="37"/>
        </w:trPr>
        <w:tc>
          <w:tcPr>
            <w:tcW w:w="59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91"/>
        </w:trPr>
        <w:tc>
          <w:tcPr>
            <w:tcW w:w="596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7"/>
                <w:szCs w:val="17"/>
                <w:color w:val="auto"/>
              </w:rPr>
              <w:t>Dr. Nirav R. Shah</w:t>
            </w:r>
          </w:p>
        </w:tc>
        <w:tc>
          <w:tcPr>
            <w:tcW w:w="1840" w:type="dxa"/>
            <w:vAlign w:val="bottom"/>
            <w:tcBorders>
              <w:bottom w:val="single" w:sz="8" w:color="E2EEFA"/>
            </w:tcBorders>
            <w:shd w:val="clear" w:color="auto" w:fill="E2EEFA"/>
          </w:tcPr>
          <w:p>
            <w:pPr>
              <w:jc w:val="right"/>
              <w:ind w:right="399"/>
              <w:spacing w:after="0"/>
              <w:rPr>
                <w:sz w:val="20"/>
                <w:szCs w:val="20"/>
                <w:color w:val="auto"/>
              </w:rPr>
            </w:pPr>
            <w:r>
              <w:rPr>
                <w:rFonts w:ascii="Arial" w:cs="Arial" w:eastAsia="Arial" w:hAnsi="Arial"/>
                <w:sz w:val="17"/>
                <w:szCs w:val="17"/>
                <w:color w:val="auto"/>
              </w:rPr>
              <w:t>8,554</w:t>
            </w:r>
          </w:p>
        </w:tc>
        <w:tc>
          <w:tcPr>
            <w:tcW w:w="1040" w:type="dxa"/>
            <w:vAlign w:val="bottom"/>
            <w:tcBorders>
              <w:bottom w:val="single" w:sz="8" w:color="E2EEFA"/>
            </w:tcBorders>
            <w:shd w:val="clear" w:color="auto" w:fill="E2EEFA"/>
          </w:tcPr>
          <w:p>
            <w:pPr>
              <w:jc w:val="right"/>
              <w:ind w:right="137"/>
              <w:spacing w:after="0"/>
              <w:rPr>
                <w:sz w:val="20"/>
                <w:szCs w:val="20"/>
                <w:color w:val="auto"/>
              </w:rPr>
            </w:pPr>
            <w:r>
              <w:rPr>
                <w:rFonts w:ascii="Arial" w:cs="Arial" w:eastAsia="Arial" w:hAnsi="Arial"/>
                <w:sz w:val="17"/>
                <w:szCs w:val="17"/>
                <w:color w:val="auto"/>
              </w:rPr>
              <w:t>6,503</w:t>
            </w:r>
          </w:p>
        </w:tc>
        <w:tc>
          <w:tcPr>
            <w:tcW w:w="1720" w:type="dxa"/>
            <w:vAlign w:val="bottom"/>
            <w:tcBorders>
              <w:bottom w:val="single" w:sz="8" w:color="E2EEFA"/>
            </w:tcBorders>
            <w:shd w:val="clear" w:color="auto" w:fill="E2EEFA"/>
          </w:tcPr>
          <w:p>
            <w:pPr>
              <w:jc w:val="right"/>
              <w:ind w:right="498"/>
              <w:spacing w:after="0"/>
              <w:rPr>
                <w:sz w:val="20"/>
                <w:szCs w:val="20"/>
                <w:color w:val="auto"/>
              </w:rPr>
            </w:pPr>
            <w:r>
              <w:rPr>
                <w:rFonts w:ascii="Arial" w:cs="Arial" w:eastAsia="Arial" w:hAnsi="Arial"/>
                <w:sz w:val="17"/>
                <w:szCs w:val="17"/>
                <w:color w:val="auto"/>
              </w:rPr>
              <w:t>15,057</w:t>
            </w:r>
          </w:p>
        </w:tc>
      </w:tr>
      <w:tr>
        <w:trPr>
          <w:trHeight w:val="274"/>
        </w:trPr>
        <w:tc>
          <w:tcPr>
            <w:tcW w:w="5960" w:type="dxa"/>
            <w:vAlign w:val="bottom"/>
          </w:tcPr>
          <w:p>
            <w:pPr>
              <w:ind w:left="60"/>
              <w:spacing w:after="0"/>
              <w:rPr>
                <w:sz w:val="20"/>
                <w:szCs w:val="20"/>
                <w:color w:val="auto"/>
              </w:rPr>
            </w:pPr>
            <w:r>
              <w:rPr>
                <w:rFonts w:ascii="Arial" w:cs="Arial" w:eastAsia="Arial" w:hAnsi="Arial"/>
                <w:sz w:val="17"/>
                <w:szCs w:val="17"/>
                <w:color w:val="auto"/>
              </w:rPr>
              <w:t>Louis A. Shapiro</w:t>
            </w:r>
          </w:p>
        </w:tc>
        <w:tc>
          <w:tcPr>
            <w:tcW w:w="1840" w:type="dxa"/>
            <w:vAlign w:val="bottom"/>
          </w:tcPr>
          <w:p>
            <w:pPr>
              <w:jc w:val="right"/>
              <w:ind w:right="399"/>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7"/>
              <w:spacing w:after="0"/>
              <w:rPr>
                <w:sz w:val="20"/>
                <w:szCs w:val="20"/>
                <w:color w:val="auto"/>
              </w:rPr>
            </w:pPr>
            <w:r>
              <w:rPr>
                <w:rFonts w:ascii="Arial" w:cs="Arial" w:eastAsia="Arial" w:hAnsi="Arial"/>
                <w:sz w:val="17"/>
                <w:szCs w:val="17"/>
                <w:color w:val="auto"/>
              </w:rPr>
              <w:t>975</w:t>
            </w:r>
          </w:p>
        </w:tc>
        <w:tc>
          <w:tcPr>
            <w:tcW w:w="1720" w:type="dxa"/>
            <w:vAlign w:val="bottom"/>
          </w:tcPr>
          <w:p>
            <w:pPr>
              <w:jc w:val="right"/>
              <w:ind w:right="498"/>
              <w:spacing w:after="0"/>
              <w:rPr>
                <w:sz w:val="20"/>
                <w:szCs w:val="20"/>
                <w:color w:val="auto"/>
              </w:rPr>
            </w:pPr>
            <w:r>
              <w:rPr>
                <w:rFonts w:ascii="Arial" w:cs="Arial" w:eastAsia="Arial" w:hAnsi="Arial"/>
                <w:sz w:val="17"/>
                <w:szCs w:val="17"/>
                <w:color w:val="auto"/>
              </w:rPr>
              <w:t>975</w:t>
            </w:r>
          </w:p>
        </w:tc>
      </w:tr>
      <w:tr>
        <w:trPr>
          <w:trHeight w:val="37"/>
        </w:trPr>
        <w:tc>
          <w:tcPr>
            <w:tcW w:w="59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91"/>
        </w:trPr>
        <w:tc>
          <w:tcPr>
            <w:tcW w:w="5960" w:type="dxa"/>
            <w:vAlign w:val="bottom"/>
            <w:tcBorders>
              <w:bottom w:val="single" w:sz="8" w:color="E2EEFA"/>
            </w:tcBorders>
            <w:shd w:val="clear" w:color="auto" w:fill="E2EEFA"/>
          </w:tcPr>
          <w:p>
            <w:pPr>
              <w:ind w:left="60"/>
              <w:spacing w:after="0"/>
              <w:rPr>
                <w:sz w:val="20"/>
                <w:szCs w:val="20"/>
                <w:color w:val="auto"/>
              </w:rPr>
            </w:pPr>
            <w:r>
              <w:rPr>
                <w:rFonts w:ascii="Arial" w:cs="Arial" w:eastAsia="Arial" w:hAnsi="Arial"/>
                <w:sz w:val="17"/>
                <w:szCs w:val="17"/>
                <w:color w:val="auto"/>
              </w:rPr>
              <w:t>Dr. Mohsen M. Sohi</w:t>
            </w:r>
          </w:p>
        </w:tc>
        <w:tc>
          <w:tcPr>
            <w:tcW w:w="1840" w:type="dxa"/>
            <w:vAlign w:val="bottom"/>
            <w:tcBorders>
              <w:bottom w:val="single" w:sz="8" w:color="E2EEFA"/>
            </w:tcBorders>
            <w:shd w:val="clear" w:color="auto" w:fill="E2EEFA"/>
          </w:tcPr>
          <w:p>
            <w:pPr>
              <w:jc w:val="right"/>
              <w:ind w:right="399"/>
              <w:spacing w:after="0"/>
              <w:rPr>
                <w:sz w:val="20"/>
                <w:szCs w:val="20"/>
                <w:color w:val="auto"/>
              </w:rPr>
            </w:pPr>
            <w:r>
              <w:rPr>
                <w:rFonts w:ascii="Arial" w:cs="Arial" w:eastAsia="Arial" w:hAnsi="Arial"/>
                <w:sz w:val="17"/>
                <w:szCs w:val="17"/>
                <w:color w:val="auto"/>
              </w:rPr>
              <w:t>56,492</w:t>
            </w:r>
          </w:p>
        </w:tc>
        <w:tc>
          <w:tcPr>
            <w:tcW w:w="1040" w:type="dxa"/>
            <w:vAlign w:val="bottom"/>
            <w:tcBorders>
              <w:bottom w:val="single" w:sz="8" w:color="E2EEFA"/>
            </w:tcBorders>
            <w:shd w:val="clear" w:color="auto" w:fill="E2EEFA"/>
          </w:tcPr>
          <w:p>
            <w:pPr>
              <w:jc w:val="right"/>
              <w:ind w:right="137"/>
              <w:spacing w:after="0"/>
              <w:rPr>
                <w:sz w:val="20"/>
                <w:szCs w:val="20"/>
                <w:color w:val="auto"/>
              </w:rPr>
            </w:pPr>
            <w:r>
              <w:rPr>
                <w:rFonts w:ascii="Arial" w:cs="Arial" w:eastAsia="Arial" w:hAnsi="Arial"/>
                <w:sz w:val="17"/>
                <w:szCs w:val="17"/>
                <w:color w:val="auto"/>
              </w:rPr>
              <w:t>7,750</w:t>
            </w:r>
          </w:p>
        </w:tc>
        <w:tc>
          <w:tcPr>
            <w:tcW w:w="1720" w:type="dxa"/>
            <w:vAlign w:val="bottom"/>
            <w:tcBorders>
              <w:bottom w:val="single" w:sz="8" w:color="E2EEFA"/>
            </w:tcBorders>
            <w:shd w:val="clear" w:color="auto" w:fill="E2EEFA"/>
          </w:tcPr>
          <w:p>
            <w:pPr>
              <w:jc w:val="right"/>
              <w:ind w:right="498"/>
              <w:spacing w:after="0"/>
              <w:rPr>
                <w:sz w:val="20"/>
                <w:szCs w:val="20"/>
                <w:color w:val="auto"/>
              </w:rPr>
            </w:pPr>
            <w:r>
              <w:rPr>
                <w:rFonts w:ascii="Arial" w:cs="Arial" w:eastAsia="Arial" w:hAnsi="Arial"/>
                <w:sz w:val="17"/>
                <w:szCs w:val="17"/>
                <w:color w:val="auto"/>
              </w:rPr>
              <w:t>64,242</w:t>
            </w:r>
          </w:p>
        </w:tc>
      </w:tr>
      <w:tr>
        <w:trPr>
          <w:trHeight w:val="274"/>
        </w:trPr>
        <w:tc>
          <w:tcPr>
            <w:tcW w:w="5960" w:type="dxa"/>
            <w:vAlign w:val="bottom"/>
          </w:tcPr>
          <w:p>
            <w:pPr>
              <w:ind w:left="60"/>
              <w:spacing w:after="0"/>
              <w:rPr>
                <w:sz w:val="20"/>
                <w:szCs w:val="20"/>
                <w:color w:val="auto"/>
              </w:rPr>
            </w:pPr>
            <w:r>
              <w:rPr>
                <w:rFonts w:ascii="Arial" w:cs="Arial" w:eastAsia="Arial" w:hAnsi="Arial"/>
                <w:sz w:val="17"/>
                <w:szCs w:val="17"/>
                <w:color w:val="auto"/>
              </w:rPr>
              <w:t>All Non-Employee Directors and Nominees as a Group (9 persons)</w:t>
            </w:r>
          </w:p>
        </w:tc>
        <w:tc>
          <w:tcPr>
            <w:tcW w:w="1840" w:type="dxa"/>
            <w:vAlign w:val="bottom"/>
          </w:tcPr>
          <w:p>
            <w:pPr>
              <w:jc w:val="right"/>
              <w:ind w:right="399"/>
              <w:spacing w:after="0"/>
              <w:rPr>
                <w:sz w:val="20"/>
                <w:szCs w:val="20"/>
                <w:color w:val="auto"/>
              </w:rPr>
            </w:pPr>
            <w:r>
              <w:rPr>
                <w:rFonts w:ascii="Arial" w:cs="Arial" w:eastAsia="Arial" w:hAnsi="Arial"/>
                <w:sz w:val="17"/>
                <w:szCs w:val="17"/>
                <w:color w:val="auto"/>
              </w:rPr>
              <w:t>183,577</w:t>
            </w:r>
          </w:p>
        </w:tc>
        <w:tc>
          <w:tcPr>
            <w:tcW w:w="1040" w:type="dxa"/>
            <w:vAlign w:val="bottom"/>
          </w:tcPr>
          <w:p>
            <w:pPr>
              <w:jc w:val="right"/>
              <w:ind w:right="137"/>
              <w:spacing w:after="0"/>
              <w:rPr>
                <w:sz w:val="20"/>
                <w:szCs w:val="20"/>
                <w:color w:val="auto"/>
              </w:rPr>
            </w:pPr>
            <w:r>
              <w:rPr>
                <w:rFonts w:ascii="Arial" w:cs="Arial" w:eastAsia="Arial" w:hAnsi="Arial"/>
                <w:sz w:val="17"/>
                <w:szCs w:val="17"/>
                <w:color w:val="auto"/>
              </w:rPr>
              <w:t>55,323</w:t>
            </w:r>
          </w:p>
        </w:tc>
        <w:tc>
          <w:tcPr>
            <w:tcW w:w="1720" w:type="dxa"/>
            <w:vAlign w:val="bottom"/>
          </w:tcPr>
          <w:p>
            <w:pPr>
              <w:jc w:val="right"/>
              <w:ind w:right="498"/>
              <w:spacing w:after="0"/>
              <w:rPr>
                <w:sz w:val="20"/>
                <w:szCs w:val="20"/>
                <w:color w:val="auto"/>
              </w:rPr>
            </w:pPr>
            <w:r>
              <w:rPr>
                <w:rFonts w:ascii="Arial" w:cs="Arial" w:eastAsia="Arial" w:hAnsi="Arial"/>
                <w:sz w:val="17"/>
                <w:szCs w:val="17"/>
                <w:color w:val="auto"/>
              </w:rPr>
              <w:t>238,900</w:t>
            </w:r>
          </w:p>
        </w:tc>
      </w:tr>
      <w:tr>
        <w:trPr>
          <w:trHeight w:val="43"/>
        </w:trPr>
        <w:tc>
          <w:tcPr>
            <w:tcW w:w="5960" w:type="dxa"/>
            <w:vAlign w:val="bottom"/>
            <w:tcBorders>
              <w:bottom w:val="single" w:sz="8" w:color="3E8EDE"/>
            </w:tcBorders>
          </w:tcPr>
          <w:p>
            <w:pPr>
              <w:spacing w:after="0"/>
              <w:rPr>
                <w:sz w:val="3"/>
                <w:szCs w:val="3"/>
                <w:color w:val="auto"/>
              </w:rPr>
            </w:pPr>
          </w:p>
        </w:tc>
        <w:tc>
          <w:tcPr>
            <w:tcW w:w="1840" w:type="dxa"/>
            <w:vAlign w:val="bottom"/>
            <w:tcBorders>
              <w:bottom w:val="single" w:sz="8" w:color="3E8EDE"/>
            </w:tcBorders>
          </w:tcPr>
          <w:p>
            <w:pPr>
              <w:spacing w:after="0"/>
              <w:rPr>
                <w:sz w:val="3"/>
                <w:szCs w:val="3"/>
                <w:color w:val="auto"/>
              </w:rPr>
            </w:pPr>
          </w:p>
        </w:tc>
        <w:tc>
          <w:tcPr>
            <w:tcW w:w="1040" w:type="dxa"/>
            <w:vAlign w:val="bottom"/>
            <w:tcBorders>
              <w:bottom w:val="single" w:sz="8" w:color="3E8EDE"/>
            </w:tcBorders>
          </w:tcPr>
          <w:p>
            <w:pPr>
              <w:spacing w:after="0"/>
              <w:rPr>
                <w:sz w:val="3"/>
                <w:szCs w:val="3"/>
                <w:color w:val="auto"/>
              </w:rPr>
            </w:pPr>
          </w:p>
        </w:tc>
        <w:tc>
          <w:tcPr>
            <w:tcW w:w="1720" w:type="dxa"/>
            <w:vAlign w:val="bottom"/>
            <w:tcBorders>
              <w:bottom w:val="single" w:sz="8" w:color="3E8EDE"/>
            </w:tcBorders>
          </w:tcPr>
          <w:p>
            <w:pPr>
              <w:spacing w:after="0"/>
              <w:rPr>
                <w:sz w:val="3"/>
                <w:szCs w:val="3"/>
                <w:color w:val="auto"/>
              </w:rPr>
            </w:pPr>
          </w:p>
        </w:tc>
      </w:tr>
    </w:tbl>
    <w:p>
      <w:pPr>
        <w:spacing w:after="0" w:line="95" w:lineRule="exact"/>
        <w:rPr>
          <w:sz w:val="20"/>
          <w:szCs w:val="20"/>
          <w:color w:val="auto"/>
        </w:rPr>
      </w:pPr>
    </w:p>
    <w:p>
      <w:pPr>
        <w:ind w:left="860" w:right="20" w:hanging="520"/>
        <w:spacing w:after="0" w:line="262" w:lineRule="auto"/>
        <w:tabs>
          <w:tab w:leader="none" w:pos="8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Included are all Ordinary Shares owned directly or indirectly as well as stock options that are exercisable within 60 days of March 31, 2026, as reported in the immediately preceding table.</w:t>
      </w:r>
    </w:p>
    <w:p>
      <w:pPr>
        <w:spacing w:after="0" w:line="87"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3E8EDE"/>
        </w:rPr>
        <w:t xml:space="preserve">Notice of Annual Meeting of Shareholders </w:t>
      </w:r>
      <w:r>
        <w:rPr>
          <w:rFonts w:ascii="Arial" w:cs="Arial" w:eastAsia="Arial" w:hAnsi="Arial"/>
          <w:sz w:val="14"/>
          <w:szCs w:val="14"/>
          <w:color w:val="000000"/>
        </w:rPr>
        <w:t>and 2026 Proxy Statement   95</w:t>
      </w:r>
    </w:p>
    <w:p>
      <w:pPr>
        <w:sectPr>
          <w:pgSz w:w="11900" w:h="16838" w:orient="portrait"/>
          <w:cols w:equalWidth="0" w:num="1">
            <w:col w:w="10900"/>
          </w:cols>
          <w:pgMar w:left="320" w:top="469" w:right="6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2876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710045" cy="2876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980"/>
        <w:spacing w:after="0"/>
        <w:rPr>
          <w:sz w:val="20"/>
          <w:szCs w:val="20"/>
          <w:color w:val="auto"/>
        </w:rPr>
      </w:pPr>
      <w:r>
        <w:rPr>
          <w:rFonts w:ascii="Arial" w:cs="Arial" w:eastAsia="Arial" w:hAnsi="Arial"/>
          <w:sz w:val="21"/>
          <w:szCs w:val="21"/>
          <w:b w:val="1"/>
          <w:bCs w:val="1"/>
          <w:color w:val="3E8EDE"/>
        </w:rPr>
        <w:t>SHAREHOLDER NOMINATIONS OF DIRECTORS AND NOMINEE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68580</wp:posOffset>
            </wp:positionV>
            <wp:extent cx="67100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87" w:lineRule="exact"/>
        <w:rPr>
          <w:sz w:val="20"/>
          <w:szCs w:val="20"/>
          <w:color w:val="auto"/>
        </w:rPr>
      </w:pPr>
    </w:p>
    <w:p>
      <w:pPr>
        <w:ind w:left="340" w:right="20"/>
        <w:spacing w:after="0" w:line="234" w:lineRule="auto"/>
        <w:rPr>
          <w:sz w:val="20"/>
          <w:szCs w:val="20"/>
          <w:color w:val="auto"/>
        </w:rPr>
      </w:pPr>
      <w:r>
        <w:rPr>
          <w:rFonts w:ascii="Arial" w:cs="Arial" w:eastAsia="Arial" w:hAnsi="Arial"/>
          <w:sz w:val="19"/>
          <w:szCs w:val="19"/>
          <w:color w:val="auto"/>
        </w:rPr>
        <w:t>Shareholders may nominate individuals for election to the Board of Directors to fill a vacancy or as additional directors, subject to the limit on the number of total directors fixed by the Board in accordance with our Articles. Any such nomination must be made timely and in writing and otherwise in accordance with the requirements of our Articles referred to in the “Shareholder Proposals” section of this Proxy Statement, as well as certain other provisions of our Articles, portions of which are summarized below. Such summary is qualified by reference to, and is subject to, the full text of the Articles. Any proposals that do not meet such requirements or those of the Exchange Act (and the rules and regulations thereunder) will be declared out of order and will not be considered at the applicable annual or extraordinary general meeting.</w:t>
      </w:r>
    </w:p>
    <w:p>
      <w:pPr>
        <w:spacing w:after="0" w:line="166" w:lineRule="exact"/>
        <w:rPr>
          <w:sz w:val="20"/>
          <w:szCs w:val="20"/>
          <w:color w:val="auto"/>
        </w:rPr>
      </w:pPr>
    </w:p>
    <w:p>
      <w:pPr>
        <w:ind w:left="340" w:right="60"/>
        <w:spacing w:after="0" w:line="239" w:lineRule="auto"/>
        <w:rPr>
          <w:sz w:val="20"/>
          <w:szCs w:val="20"/>
          <w:color w:val="auto"/>
        </w:rPr>
      </w:pPr>
      <w:r>
        <w:rPr>
          <w:rFonts w:ascii="Arial" w:cs="Arial" w:eastAsia="Arial" w:hAnsi="Arial"/>
          <w:sz w:val="19"/>
          <w:szCs w:val="19"/>
          <w:color w:val="auto"/>
        </w:rPr>
        <w:t>Shareholder proposals under the Articles to propose nominees for election to the Board of Directors to fill a vacancy or as additional directors must contain all the information required by our Articles and all information listed below, which information must be updated by the shareholder(s) as of the record date for the meeting not later than three days after the record date for the meeting.</w:t>
      </w:r>
    </w:p>
    <w:p>
      <w:pPr>
        <w:spacing w:after="0" w:line="166" w:lineRule="exact"/>
        <w:rPr>
          <w:sz w:val="20"/>
          <w:szCs w:val="20"/>
          <w:color w:val="auto"/>
        </w:rPr>
      </w:pPr>
    </w:p>
    <w:p>
      <w:pPr>
        <w:ind w:left="340" w:right="140"/>
        <w:spacing w:after="0" w:line="244" w:lineRule="auto"/>
        <w:rPr>
          <w:sz w:val="20"/>
          <w:szCs w:val="20"/>
          <w:color w:val="auto"/>
        </w:rPr>
      </w:pPr>
      <w:r>
        <w:rPr>
          <w:rFonts w:ascii="Arial" w:cs="Arial" w:eastAsia="Arial" w:hAnsi="Arial"/>
          <w:sz w:val="19"/>
          <w:szCs w:val="19"/>
          <w:color w:val="auto"/>
        </w:rPr>
        <w:t>The Articles governing shareholder proposals or time for receiving them shall not be deemed to affect any rights of shareholders to request inclusion of proposals in, nor the right of the Company to omit proposals from, the Company’s Proxy Statement pursuant to Rule 14a-8 (or any successor provision) under the Exchange Act.</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Certain Required Information Regarding the Recommending Shareholder</w:t>
      </w:r>
    </w:p>
    <w:p>
      <w:pPr>
        <w:spacing w:after="0" w:line="127" w:lineRule="exact"/>
        <w:rPr>
          <w:sz w:val="20"/>
          <w:szCs w:val="20"/>
          <w:color w:val="auto"/>
        </w:rPr>
      </w:pPr>
    </w:p>
    <w:p>
      <w:pPr>
        <w:ind w:left="860" w:hanging="520"/>
        <w:spacing w:after="0" w:line="244" w:lineRule="auto"/>
        <w:tabs>
          <w:tab w:leader="none" w:pos="8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name and address of the shareholder and its “Shareholder Associated Persons” (as defined in the Articles) recommending the director nominee for consideration as that information appears on our records, the class and number of shares owned directly and indirectly by the shareholder and its Shareholder Associated Persons;</w:t>
      </w:r>
    </w:p>
    <w:p>
      <w:pPr>
        <w:spacing w:after="0" w:line="71" w:lineRule="exact"/>
        <w:rPr>
          <w:rFonts w:ascii="Arial" w:cs="Arial" w:eastAsia="Arial" w:hAnsi="Arial"/>
          <w:sz w:val="19"/>
          <w:szCs w:val="19"/>
          <w:color w:val="auto"/>
        </w:rPr>
      </w:pPr>
    </w:p>
    <w:p>
      <w:pPr>
        <w:ind w:left="860" w:right="140" w:hanging="520"/>
        <w:spacing w:after="0" w:line="262" w:lineRule="auto"/>
        <w:tabs>
          <w:tab w:leader="none" w:pos="8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“Derivative Instrument” (as defined in the Articles) owned directly or indirectly by such shareholder or Shareholder Associated Persons, if any;</w:t>
      </w:r>
    </w:p>
    <w:p>
      <w:pPr>
        <w:spacing w:after="0" w:line="53" w:lineRule="exact"/>
        <w:rPr>
          <w:rFonts w:ascii="Arial" w:cs="Arial" w:eastAsia="Arial" w:hAnsi="Arial"/>
          <w:sz w:val="19"/>
          <w:szCs w:val="19"/>
          <w:color w:val="auto"/>
        </w:rPr>
      </w:pPr>
    </w:p>
    <w:p>
      <w:pPr>
        <w:ind w:left="860" w:right="540" w:hanging="520"/>
        <w:spacing w:after="0" w:line="289" w:lineRule="auto"/>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proxy, contract, arrangement, understanding, or relationship pursuant to which such shareholder(s) and such Shareholder Associated Persons, if any, have the right to vote any class or series of shares of the Company;</w:t>
      </w:r>
    </w:p>
    <w:p>
      <w:pPr>
        <w:spacing w:after="0" w:line="32" w:lineRule="exact"/>
        <w:rPr>
          <w:rFonts w:ascii="Arial" w:cs="Arial" w:eastAsia="Arial" w:hAnsi="Arial"/>
          <w:sz w:val="18"/>
          <w:szCs w:val="18"/>
          <w:color w:val="auto"/>
        </w:rPr>
      </w:pPr>
    </w:p>
    <w:p>
      <w:pPr>
        <w:ind w:left="860" w:hanging="520"/>
        <w:spacing w:after="0" w:line="250" w:lineRule="auto"/>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agreement, arrangement, understanding, relationship or otherwise, including any repurchase or similar so-called “stock borrowing” agreement or arrangement, involving such shareholder(s) and such Shareholder Associated Persons, if any, directly or indirectly, the purpose or effect of which is to mitigate loss to, reduce the economic risk (of ownership or otherwise) of any class or series of the shares of the Company by, manage the risk of share price changes for, or increase or decrease the voting power of, such shareholder(s), and such Shareholder Associated Persons, if any, with respect to any class or series of the shares of the Company, or Short Interest (as defined in the Articles);</w:t>
      </w:r>
    </w:p>
    <w:p>
      <w:pPr>
        <w:spacing w:after="0" w:line="66" w:lineRule="exact"/>
        <w:rPr>
          <w:rFonts w:ascii="Arial" w:cs="Arial" w:eastAsia="Arial" w:hAnsi="Arial"/>
          <w:sz w:val="18"/>
          <w:szCs w:val="18"/>
          <w:color w:val="auto"/>
        </w:rPr>
      </w:pPr>
    </w:p>
    <w:p>
      <w:pPr>
        <w:ind w:left="860" w:right="40" w:hanging="520"/>
        <w:spacing w:after="0" w:line="262" w:lineRule="auto"/>
        <w:tabs>
          <w:tab w:leader="none" w:pos="8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rights to dividends on the shares of the Company owned beneficially by such shareholder(s) and such Shareholder Associated Persons, if any, that are separated or separable from the underlying shares of the Company;</w:t>
      </w:r>
    </w:p>
    <w:p>
      <w:pPr>
        <w:spacing w:after="0" w:line="53" w:lineRule="exact"/>
        <w:rPr>
          <w:rFonts w:ascii="Arial" w:cs="Arial" w:eastAsia="Arial" w:hAnsi="Arial"/>
          <w:sz w:val="19"/>
          <w:szCs w:val="19"/>
          <w:color w:val="auto"/>
        </w:rPr>
      </w:pPr>
    </w:p>
    <w:p>
      <w:pPr>
        <w:ind w:left="860" w:right="680" w:hanging="520"/>
        <w:spacing w:after="0" w:line="262" w:lineRule="auto"/>
        <w:tabs>
          <w:tab w:leader="none" w:pos="8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significant equity interests or any Derivative Instruments or Short Interests in any principal competitor of the Company held by such shareholder(s), and such Shareholder Associated Persons, if any;</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4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Shareholder Nominations of Directors and Nominee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860" w:hanging="520"/>
        <w:spacing w:after="0" w:line="239" w:lineRule="auto"/>
        <w:tabs>
          <w:tab w:leader="none" w:pos="8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Any other information relating to such shareholder(s) or such other beneficial owner or Shareholder Associated Persons, if any, that would be required to be disclosed in a proxy statement or other filings required to be made in connection with solicitations of proxies for election of Directors pursuant to section 14 of the Exchange Act and the rules and regulations promulgated thereunder; and</w:t>
      </w:r>
    </w:p>
    <w:p>
      <w:pPr>
        <w:spacing w:after="0" w:line="75" w:lineRule="exact"/>
        <w:rPr>
          <w:rFonts w:ascii="Arial" w:cs="Arial" w:eastAsia="Arial" w:hAnsi="Arial"/>
          <w:sz w:val="19"/>
          <w:szCs w:val="19"/>
          <w:color w:val="auto"/>
        </w:rPr>
      </w:pPr>
    </w:p>
    <w:p>
      <w:pPr>
        <w:ind w:left="860" w:right="160" w:hanging="520"/>
        <w:spacing w:after="0" w:line="239" w:lineRule="auto"/>
        <w:tabs>
          <w:tab w:leader="none" w:pos="8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To the extent known by the shareholder(s) giving the notice, and such Shareholder Associated Persons, if any, the name and address of any other shareholder or, as the case may be, the Shareholder Associated Person of such other shareholder, supporting the nominee for election or re-election as a Director or the proposal of other business on the date of such request.</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Information Required Regarding the Nominee Director</w:t>
      </w:r>
    </w:p>
    <w:p>
      <w:pPr>
        <w:spacing w:after="0" w:line="127" w:lineRule="exact"/>
        <w:rPr>
          <w:sz w:val="20"/>
          <w:szCs w:val="20"/>
          <w:color w:val="auto"/>
        </w:rPr>
      </w:pPr>
    </w:p>
    <w:p>
      <w:pPr>
        <w:ind w:left="860" w:right="100" w:hanging="520"/>
        <w:spacing w:after="0" w:line="256" w:lineRule="auto"/>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information relating to such director nominee that is required to be disclosed in a proxy statement or other filings required to be made in connection with solicitations of proxies for election of directors, or is otherwise required, in each case pursuant to Regulation 14A under the Exchange Act, and the regulations promulgated thereunder, including such person’s written consent to being named in the Proxy Statement as a nominee and to serving as a director if elected;</w:t>
      </w:r>
    </w:p>
    <w:p>
      <w:pPr>
        <w:spacing w:after="0" w:line="62" w:lineRule="exact"/>
        <w:rPr>
          <w:rFonts w:ascii="Arial" w:cs="Arial" w:eastAsia="Arial" w:hAnsi="Arial"/>
          <w:sz w:val="18"/>
          <w:szCs w:val="18"/>
          <w:color w:val="auto"/>
        </w:rPr>
      </w:pPr>
    </w:p>
    <w:p>
      <w:pPr>
        <w:ind w:left="860" w:right="40" w:hanging="520"/>
        <w:spacing w:after="0" w:line="234" w:lineRule="auto"/>
        <w:tabs>
          <w:tab w:leader="none" w:pos="8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description of all direct and indirect compensation and other material monetary agreements, arrangements and understandings during the past three years, and any other material relationships, between or among such shareholder(s) and any Shareholder Associated Person, on the one hand, and each nominee, and his or her respective affiliates and associates, or others acting in concert therewith, on the other hand, including without limitation all information that would be required to be disclosed pursuant to Rule 404 promulgated under Regulation S-K if the shareholder(s) making the nomination and any Shareholder Associated Person were the “registrant” for purposes of such rule and the nominee were a director or executive officer of such registrant; and</w:t>
      </w:r>
    </w:p>
    <w:p>
      <w:pPr>
        <w:spacing w:after="0" w:line="75" w:lineRule="exact"/>
        <w:rPr>
          <w:rFonts w:ascii="Arial" w:cs="Arial" w:eastAsia="Arial" w:hAnsi="Arial"/>
          <w:sz w:val="19"/>
          <w:szCs w:val="19"/>
          <w:color w:val="auto"/>
        </w:rPr>
      </w:pPr>
    </w:p>
    <w:p>
      <w:pPr>
        <w:ind w:left="860" w:right="20" w:hanging="520"/>
        <w:spacing w:after="0" w:line="230" w:lineRule="auto"/>
        <w:tabs>
          <w:tab w:leader="none" w:pos="8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written questionnaire with respect to the background and qualifications of such individual and the background of any other person or entity on whose behalf, directly or indirectly, the nomination is being made (which questionnaire shall be provided by the Company Secretary upon written request), and a written representation and agreement (in the form provided by the Company Secretary upon written request) that such individual (a) is not and will not become a party to any agreement, arrangement or understanding with, and has not given any commitment or assurance to any person or entity as to how such person, if elected as a Director of the Company, will act or vote on any issue or question (a “Voting Commitment”) that has not been disclosed therein, including without limitation any Voting Commitment that could limit or interfere with such individual’s ability to comply, if elected as a Director of the Company, with such individual’s fiduciary and other Director’s duties under applicable law,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 (c) in such individual’s personal capacity and on behalf of any person or entity on whose behalf, directly or indirectly, the nomination is being made, would be in compliance if elected as a Director of the Company, and will comply with all applicable corporate governance, conflict of interest, confidentiality, stock ownership, and trading policies and guidelines of the Company publicly disclosed from time to time and (d) irrevocably submits his or her resignation as a director effective upon a finding by a court of competent jurisdiction that such person has breached such written representation and agreement.</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97</w:t>
      </w:r>
    </w:p>
    <w:p>
      <w:pPr>
        <w:sectPr>
          <w:pgSz w:w="11900" w:h="16838" w:orient="portrait"/>
          <w:cols w:equalWidth="0" w:num="1">
            <w:col w:w="10900"/>
          </w:cols>
          <w:pgMar w:left="320" w:top="469" w:right="6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64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Shareholder Nominations of Directors and Nominee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60"/>
        <w:spacing w:after="0" w:line="234" w:lineRule="auto"/>
        <w:rPr>
          <w:sz w:val="20"/>
          <w:szCs w:val="20"/>
          <w:color w:val="auto"/>
        </w:rPr>
      </w:pPr>
      <w:r>
        <w:rPr>
          <w:rFonts w:ascii="Arial" w:cs="Arial" w:eastAsia="Arial" w:hAnsi="Arial"/>
          <w:sz w:val="19"/>
          <w:szCs w:val="19"/>
          <w:color w:val="auto"/>
        </w:rPr>
        <w:t>In evaluating director nominees, the Nominating and Governance Committee will consider such factors as it deems appropriate, consistent with the Board’s Governance Guidelines, and other factors identified from time to time by the Board of Directors. The Nominating and Governance Committee will consider the entirety of each director nominee’s credentials. As a general matter, the Committee will consider factors such as personal and professional ethics, integrity, commitment, judgment, independence, possible conflicts of interest, experience, diversity of background, availability, comparison of the approach of incumbent members of the Board of Directors, and ability to represent the interests of all shareholders, not just those of a particular philosophy or constituency.</w:t>
      </w:r>
    </w:p>
    <w:p>
      <w:pPr>
        <w:spacing w:after="0" w:line="166" w:lineRule="exact"/>
        <w:rPr>
          <w:sz w:val="20"/>
          <w:szCs w:val="20"/>
          <w:color w:val="auto"/>
        </w:rPr>
      </w:pPr>
    </w:p>
    <w:p>
      <w:pPr>
        <w:jc w:val="both"/>
        <w:ind w:left="340" w:right="520"/>
        <w:spacing w:after="0" w:line="244" w:lineRule="auto"/>
        <w:rPr>
          <w:sz w:val="20"/>
          <w:szCs w:val="20"/>
          <w:color w:val="auto"/>
        </w:rPr>
      </w:pPr>
      <w:r>
        <w:rPr>
          <w:rFonts w:ascii="Arial" w:cs="Arial" w:eastAsia="Arial" w:hAnsi="Arial"/>
          <w:sz w:val="19"/>
          <w:szCs w:val="19"/>
          <w:color w:val="auto"/>
        </w:rPr>
        <w:t>The Nominating and Governance Committee will consider all information provided that it deems is relevant to a director nominee’s nomination for election as a director of the Company. Following such consideration, the Committee may seek additional information regarding, and may request an interview with, any director nominee.</w:t>
      </w:r>
    </w:p>
    <w:p>
      <w:pPr>
        <w:spacing w:after="0" w:line="162" w:lineRule="exact"/>
        <w:rPr>
          <w:sz w:val="20"/>
          <w:szCs w:val="20"/>
          <w:color w:val="auto"/>
        </w:rPr>
      </w:pPr>
    </w:p>
    <w:p>
      <w:pPr>
        <w:ind w:left="340" w:right="60"/>
        <w:spacing w:after="0" w:line="239" w:lineRule="auto"/>
        <w:rPr>
          <w:sz w:val="20"/>
          <w:szCs w:val="20"/>
          <w:color w:val="auto"/>
        </w:rPr>
      </w:pPr>
      <w:r>
        <w:rPr>
          <w:rFonts w:ascii="Arial" w:cs="Arial" w:eastAsia="Arial" w:hAnsi="Arial"/>
          <w:sz w:val="19"/>
          <w:szCs w:val="19"/>
          <w:color w:val="auto"/>
        </w:rPr>
        <w:t>Based upon all information available to it and any interviews it may have conducted, the Committee will meet to determine whether to recommend the director nominee to the Board of Directors. The Committee will consider director nominees nominated by shareholders on the same basis as proposed director candidates from other sources, subject to the procedures described herein and in the Company’s Articles.</w:t>
      </w:r>
    </w:p>
    <w:p>
      <w:pPr>
        <w:spacing w:after="0" w:line="166" w:lineRule="exact"/>
        <w:rPr>
          <w:sz w:val="20"/>
          <w:szCs w:val="20"/>
          <w:color w:val="auto"/>
        </w:rPr>
      </w:pPr>
    </w:p>
    <w:p>
      <w:pPr>
        <w:ind w:left="340" w:right="80"/>
        <w:spacing w:after="0" w:line="239" w:lineRule="auto"/>
        <w:rPr>
          <w:sz w:val="20"/>
          <w:szCs w:val="20"/>
          <w:color w:val="auto"/>
        </w:rPr>
      </w:pPr>
      <w:r>
        <w:rPr>
          <w:rFonts w:ascii="Arial" w:cs="Arial" w:eastAsia="Arial" w:hAnsi="Arial"/>
          <w:sz w:val="19"/>
          <w:szCs w:val="19"/>
          <w:color w:val="auto"/>
        </w:rPr>
        <w:t>Provided that applicable requirements of the Company’s Articles have been satisfied, a resolution for the election of any such director nominee will be set out in the applicable notice of the annual general meeting and the form of proxy sent to shareholders on behalf of the Board of Directors irrespective of the Committee’s recommendation with respect to such nominee.</w:t>
      </w:r>
    </w:p>
    <w:p>
      <w:pPr>
        <w:spacing w:after="0" w:line="166" w:lineRule="exact"/>
        <w:rPr>
          <w:sz w:val="20"/>
          <w:szCs w:val="20"/>
          <w:color w:val="auto"/>
        </w:rPr>
      </w:pPr>
    </w:p>
    <w:p>
      <w:pPr>
        <w:ind w:left="340" w:right="60"/>
        <w:spacing w:after="0" w:line="252" w:lineRule="auto"/>
        <w:rPr>
          <w:sz w:val="20"/>
          <w:szCs w:val="20"/>
          <w:color w:val="auto"/>
        </w:rPr>
      </w:pPr>
      <w:r>
        <w:rPr>
          <w:rFonts w:ascii="Arial" w:cs="Arial" w:eastAsia="Arial" w:hAnsi="Arial"/>
          <w:sz w:val="18"/>
          <w:szCs w:val="18"/>
          <w:color w:val="auto"/>
        </w:rPr>
        <w:t>The Nominating and Governance Committee utilizes a variety of methods for identifying and evaluating director candidates. Candidates may be recommended by current members of the Board of Directors, third-party search firms or shareholders. The Nominating and Governance Committee generally does not consider recommendations for director candidates submitted by other constituencies. In order to preserve its impartiality, the Nominating and Governance Committee will not consider any recommendations from shareholders that are not submitted in accordance with the nomination procedures set forth above.</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2876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710045" cy="2876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3E8EDE"/>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68580</wp:posOffset>
            </wp:positionV>
            <wp:extent cx="671004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87" w:lineRule="exact"/>
        <w:rPr>
          <w:sz w:val="20"/>
          <w:szCs w:val="20"/>
          <w:color w:val="auto"/>
        </w:rPr>
      </w:pPr>
    </w:p>
    <w:p>
      <w:pPr>
        <w:ind w:left="340" w:right="240"/>
        <w:spacing w:after="0" w:line="243" w:lineRule="auto"/>
        <w:rPr>
          <w:sz w:val="20"/>
          <w:szCs w:val="20"/>
          <w:color w:val="auto"/>
        </w:rPr>
      </w:pPr>
      <w:r>
        <w:rPr>
          <w:rFonts w:ascii="Arial" w:cs="Arial" w:eastAsia="Arial" w:hAnsi="Arial"/>
          <w:sz w:val="18"/>
          <w:szCs w:val="18"/>
          <w:color w:val="auto"/>
        </w:rPr>
        <w:t>In response to matters submitted by shareholders for consideration at annual or extraordinary general meetings of shareholders, the Nominating and Governance Committee shall designate one or more members of management to review properly submitted proposals and to obtain all necessary information to allow management designees to present the shareholder proposal to the Nominating and Governance Committee for further consideration. Upon submission of a shareholder proposal to the Nominating and Governance Committee, the Committee will evaluate and make recommendations, as appropriate, to the Board of Directors with respect to the proposal. This evaluation by the Nominating and Governance Committee may include, without limitation, consideration of (a) the appropriateness of the proposal,</w:t>
      </w:r>
    </w:p>
    <w:p>
      <w:pPr>
        <w:ind w:left="620" w:hanging="280"/>
        <w:spacing w:after="0" w:line="229" w:lineRule="auto"/>
        <w:tabs>
          <w:tab w:leader="none" w:pos="6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applicable requirements of our Articles, as amended from time to time, (c) legal requirements, including requirements</w:t>
      </w:r>
    </w:p>
    <w:p>
      <w:pPr>
        <w:ind w:left="340" w:right="20"/>
        <w:spacing w:after="0" w:line="231" w:lineRule="auto"/>
        <w:rPr>
          <w:rFonts w:ascii="Arial" w:cs="Arial" w:eastAsia="Arial" w:hAnsi="Arial"/>
          <w:sz w:val="19"/>
          <w:szCs w:val="19"/>
          <w:color w:val="auto"/>
        </w:rPr>
      </w:pPr>
      <w:r>
        <w:rPr>
          <w:rFonts w:ascii="Arial" w:cs="Arial" w:eastAsia="Arial" w:hAnsi="Arial"/>
          <w:sz w:val="19"/>
          <w:szCs w:val="19"/>
          <w:color w:val="auto"/>
        </w:rPr>
        <w:t>under applicable laws and regulations, (d) whether the shareholder proposal previously has been submitted to shareholders for a vote, and if so, the vote received for and against the proposal, (e) the best interests of all shareholders, (f) the impact that implementation of the proposal would have on the overall operations of the business, (g) whether the proposal would result in appropriately accomplishing the goals and objectives described in the proposal, and (h) any other considerations that the Nominating and Governance Committee may deem appropriate. The process of evaluation may include communication directly with the shareholder proponent by the Nominating and Governance Committee or the management designees, as the Nominating and Governance Committee may deem appropriate.</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Shareholder Proposals for the 2027 Annual General Meeting of Shareholders</w:t>
      </w:r>
    </w:p>
    <w:p>
      <w:pPr>
        <w:spacing w:after="0" w:line="114" w:lineRule="exact"/>
        <w:rPr>
          <w:sz w:val="20"/>
          <w:szCs w:val="20"/>
          <w:color w:val="auto"/>
        </w:rPr>
      </w:pPr>
    </w:p>
    <w:p>
      <w:pPr>
        <w:ind w:left="340" w:right="80"/>
        <w:spacing w:after="0" w:line="235" w:lineRule="auto"/>
        <w:rPr>
          <w:sz w:val="20"/>
          <w:szCs w:val="20"/>
          <w:color w:val="auto"/>
        </w:rPr>
      </w:pPr>
      <w:r>
        <w:rPr>
          <w:rFonts w:ascii="Arial" w:cs="Arial" w:eastAsia="Arial" w:hAnsi="Arial"/>
          <w:sz w:val="19"/>
          <w:szCs w:val="19"/>
          <w:color w:val="auto"/>
        </w:rPr>
        <w:t>Shareholders who, in accordance with the SEC’s Rule 14a-8, wish to present proposals for inclusion in the proxy materials to be distributed by us in connection with our 2027 annual general meeting must submit their proposals to the Company’s registered office at 70 Sir John Rogerson’s Quay, Dublin 2, D02 R296, Ireland, Attention: Company Secretary. The deadline for shareholders to submit proposals to be considered for inclusion in the proxy statement for the 2027 annual general meeting is expected to be February 11, 2027. As the rules of the SEC make clear, simply submitting a proposal does not guarantee its inclusion in our Proxy Statement.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In accordance with the Company’s Articles, and without prejudice to the rights of a shareholder of record under applicable</w:t>
      </w:r>
    </w:p>
    <w:p>
      <w:pPr>
        <w:ind w:left="340"/>
        <w:spacing w:after="0" w:line="234" w:lineRule="auto"/>
        <w:rPr>
          <w:sz w:val="20"/>
          <w:szCs w:val="20"/>
          <w:color w:val="auto"/>
        </w:rPr>
      </w:pPr>
      <w:r>
        <w:rPr>
          <w:rFonts w:ascii="Arial" w:cs="Arial" w:eastAsia="Arial" w:hAnsi="Arial"/>
          <w:sz w:val="19"/>
          <w:szCs w:val="19"/>
          <w:color w:val="auto"/>
        </w:rPr>
        <w:t>law, in order to nominate a candidate for election to fill a vacancy or as an additional director or to properly bring other</w:t>
      </w:r>
    </w:p>
    <w:p>
      <w:pPr>
        <w:ind w:left="340"/>
        <w:spacing w:after="0" w:line="228" w:lineRule="auto"/>
        <w:rPr>
          <w:sz w:val="20"/>
          <w:szCs w:val="20"/>
          <w:color w:val="auto"/>
        </w:rPr>
      </w:pPr>
      <w:r>
        <w:rPr>
          <w:rFonts w:ascii="Arial" w:cs="Arial" w:eastAsia="Arial" w:hAnsi="Arial"/>
          <w:sz w:val="19"/>
          <w:szCs w:val="19"/>
          <w:color w:val="auto"/>
        </w:rPr>
        <w:t>business before the 2027 annual general meeting, a shareholder’s notice with the text of the proposed resolution for the</w:t>
      </w:r>
    </w:p>
    <w:p>
      <w:pPr>
        <w:ind w:left="340"/>
        <w:spacing w:after="0" w:line="228" w:lineRule="auto"/>
        <w:rPr>
          <w:sz w:val="20"/>
          <w:szCs w:val="20"/>
          <w:color w:val="auto"/>
        </w:rPr>
      </w:pPr>
      <w:r>
        <w:rPr>
          <w:rFonts w:ascii="Arial" w:cs="Arial" w:eastAsia="Arial" w:hAnsi="Arial"/>
          <w:sz w:val="19"/>
          <w:szCs w:val="19"/>
          <w:color w:val="auto"/>
        </w:rPr>
        <w:t>matter the shareholder wishes to present must be delivered to the Company’s registered office at 70 Sir John Rogerson’s</w:t>
      </w:r>
    </w:p>
    <w:p>
      <w:pPr>
        <w:ind w:left="340"/>
        <w:spacing w:after="0" w:line="227" w:lineRule="auto"/>
        <w:rPr>
          <w:sz w:val="20"/>
          <w:szCs w:val="20"/>
          <w:color w:val="auto"/>
        </w:rPr>
      </w:pPr>
      <w:r>
        <w:rPr>
          <w:rFonts w:ascii="Arial" w:cs="Arial" w:eastAsia="Arial" w:hAnsi="Arial"/>
          <w:sz w:val="19"/>
          <w:szCs w:val="19"/>
          <w:color w:val="auto"/>
        </w:rPr>
        <w:t>Quay, Dublin 2, D02 R296, Ireland, Attention: Company Secretary, not earlier than the close of business on the one hundred</w:t>
      </w:r>
    </w:p>
    <w:p>
      <w:pPr>
        <w:ind w:left="340"/>
        <w:spacing w:after="0" w:line="180" w:lineRule="auto"/>
        <w:rPr>
          <w:sz w:val="20"/>
          <w:szCs w:val="20"/>
          <w:color w:val="auto"/>
        </w:rPr>
      </w:pPr>
      <w:r>
        <w:rPr>
          <w:rFonts w:ascii="Arial" w:cs="Arial" w:eastAsia="Arial" w:hAnsi="Arial"/>
          <w:sz w:val="17"/>
          <w:szCs w:val="17"/>
          <w:color w:val="auto"/>
        </w:rPr>
        <w:t>and twentieth (120</w:t>
      </w:r>
      <w:r>
        <w:rPr>
          <w:rFonts w:ascii="Arial" w:cs="Arial" w:eastAsia="Arial" w:hAnsi="Arial"/>
          <w:sz w:val="24"/>
          <w:szCs w:val="24"/>
          <w:color w:val="auto"/>
          <w:vertAlign w:val="superscript"/>
        </w:rPr>
        <w:t>th</w:t>
      </w:r>
      <w:r>
        <w:rPr>
          <w:rFonts w:ascii="Arial" w:cs="Arial" w:eastAsia="Arial" w:hAnsi="Arial"/>
          <w:sz w:val="17"/>
          <w:szCs w:val="17"/>
          <w:color w:val="auto"/>
        </w:rPr>
        <w:t>) calendar day nor later than the close of business on the ninetieth (90</w:t>
      </w:r>
      <w:r>
        <w:rPr>
          <w:rFonts w:ascii="Arial" w:cs="Arial" w:eastAsia="Arial" w:hAnsi="Arial"/>
          <w:sz w:val="24"/>
          <w:szCs w:val="24"/>
          <w:color w:val="auto"/>
          <w:vertAlign w:val="superscript"/>
        </w:rPr>
        <w:t>th</w:t>
      </w:r>
      <w:r>
        <w:rPr>
          <w:rFonts w:ascii="Arial" w:cs="Arial" w:eastAsia="Arial" w:hAnsi="Arial"/>
          <w:sz w:val="17"/>
          <w:szCs w:val="17"/>
          <w:color w:val="auto"/>
        </w:rPr>
        <w:t>) calendar day prior to the first</w:t>
      </w:r>
    </w:p>
    <w:p>
      <w:pPr>
        <w:ind w:left="340"/>
        <w:spacing w:after="0" w:line="228" w:lineRule="auto"/>
        <w:rPr>
          <w:sz w:val="20"/>
          <w:szCs w:val="20"/>
          <w:color w:val="auto"/>
        </w:rPr>
      </w:pPr>
      <w:r>
        <w:rPr>
          <w:rFonts w:ascii="Arial" w:cs="Arial" w:eastAsia="Arial" w:hAnsi="Arial"/>
          <w:sz w:val="19"/>
          <w:szCs w:val="19"/>
          <w:color w:val="auto"/>
        </w:rPr>
        <w:t>anniversary of the preceding year’s annual general meeting. As a result, any notice given by or on behalf of a shareholder</w:t>
      </w:r>
    </w:p>
    <w:p>
      <w:pPr>
        <w:ind w:left="340"/>
        <w:spacing w:after="0" w:line="228" w:lineRule="auto"/>
        <w:rPr>
          <w:sz w:val="20"/>
          <w:szCs w:val="20"/>
          <w:color w:val="auto"/>
        </w:rPr>
      </w:pPr>
      <w:r>
        <w:rPr>
          <w:rFonts w:ascii="Arial" w:cs="Arial" w:eastAsia="Arial" w:hAnsi="Arial"/>
          <w:sz w:val="19"/>
          <w:szCs w:val="19"/>
          <w:color w:val="auto"/>
        </w:rPr>
        <w:t>pursuant to these provisions of our Articles (and not pursuant to the SEC’s Rule 14a-8) must be received no earlier than</w:t>
      </w:r>
    </w:p>
    <w:p>
      <w:pPr>
        <w:ind w:left="340"/>
        <w:spacing w:after="0"/>
        <w:rPr>
          <w:sz w:val="20"/>
          <w:szCs w:val="20"/>
          <w:color w:val="auto"/>
        </w:rPr>
      </w:pPr>
      <w:r>
        <w:rPr>
          <w:rFonts w:ascii="Arial" w:cs="Arial" w:eastAsia="Arial" w:hAnsi="Arial"/>
          <w:sz w:val="18"/>
          <w:szCs w:val="18"/>
          <w:color w:val="auto"/>
        </w:rPr>
        <w:t>April 2, 2027 and no later than May 2, 2027 to be considered at the 2027 annual general meeting and included in the notice of</w:t>
      </w:r>
    </w:p>
    <w:p>
      <w:pPr>
        <w:ind w:left="340"/>
        <w:spacing w:after="0"/>
        <w:rPr>
          <w:sz w:val="20"/>
          <w:szCs w:val="20"/>
          <w:color w:val="auto"/>
        </w:rPr>
      </w:pPr>
      <w:r>
        <w:rPr>
          <w:rFonts w:ascii="Arial" w:cs="Arial" w:eastAsia="Arial" w:hAnsi="Arial"/>
          <w:sz w:val="19"/>
          <w:szCs w:val="19"/>
          <w:color w:val="auto"/>
        </w:rPr>
        <w:t>annual general meeting and the Board of Director’s form of proxy for the 2027 annual general meeting.</w:t>
      </w:r>
    </w:p>
    <w:p>
      <w:pPr>
        <w:spacing w:after="0" w:line="178" w:lineRule="exact"/>
        <w:rPr>
          <w:sz w:val="20"/>
          <w:szCs w:val="20"/>
          <w:color w:val="auto"/>
        </w:rPr>
      </w:pPr>
    </w:p>
    <w:p>
      <w:pPr>
        <w:ind w:left="340" w:right="20"/>
        <w:spacing w:after="0" w:line="262" w:lineRule="auto"/>
        <w:rPr>
          <w:sz w:val="20"/>
          <w:szCs w:val="20"/>
          <w:color w:val="auto"/>
        </w:rPr>
      </w:pPr>
      <w:r>
        <w:rPr>
          <w:rFonts w:ascii="Arial" w:cs="Arial" w:eastAsia="Arial" w:hAnsi="Arial"/>
          <w:sz w:val="19"/>
          <w:szCs w:val="19"/>
          <w:color w:val="auto"/>
        </w:rPr>
        <w:t>However, if the date of the 2027 annual general meeting is more than 30 calendar days before or more than 60 calendar days after the first anniversary of the preceding year’s annual general meeting, notice</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99</w:t>
      </w:r>
    </w:p>
    <w:p>
      <w:pPr>
        <w:sectPr>
          <w:pgSz w:w="11900" w:h="16838" w:orient="portrait"/>
          <w:cols w:equalWidth="0" w:num="1">
            <w:col w:w="10900"/>
          </w:cols>
          <w:pgMar w:left="320" w:top="469" w:right="6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ind w:left="340"/>
        <w:spacing w:after="0"/>
        <w:tabs>
          <w:tab w:leader="none" w:pos="918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5"/>
          <w:szCs w:val="15"/>
          <w:b w:val="1"/>
          <w:bCs w:val="1"/>
          <w:color w:val="3E8EDE"/>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51435</wp:posOffset>
            </wp:positionV>
            <wp:extent cx="671004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34" w:lineRule="exact"/>
        <w:rPr>
          <w:sz w:val="20"/>
          <w:szCs w:val="20"/>
          <w:color w:val="auto"/>
        </w:rPr>
      </w:pPr>
    </w:p>
    <w:p>
      <w:pPr>
        <w:ind w:left="340" w:right="100"/>
        <w:spacing w:after="0" w:line="203" w:lineRule="auto"/>
        <w:rPr>
          <w:sz w:val="20"/>
          <w:szCs w:val="20"/>
          <w:color w:val="auto"/>
        </w:rPr>
      </w:pPr>
      <w:r>
        <w:rPr>
          <w:rFonts w:ascii="Arial" w:cs="Arial" w:eastAsia="Arial" w:hAnsi="Arial"/>
          <w:sz w:val="19"/>
          <w:szCs w:val="19"/>
          <w:color w:val="auto"/>
        </w:rPr>
        <w:t>by the shareholder must be so delivered in writing not earlier than the close of business on the one hundred and twentieth (120</w:t>
      </w:r>
      <w:r>
        <w:rPr>
          <w:rFonts w:ascii="Arial" w:cs="Arial" w:eastAsia="Arial" w:hAnsi="Arial"/>
          <w:sz w:val="28"/>
          <w:szCs w:val="28"/>
          <w:color w:val="auto"/>
          <w:vertAlign w:val="superscript"/>
        </w:rPr>
        <w:t>th</w:t>
      </w:r>
      <w:r>
        <w:rPr>
          <w:rFonts w:ascii="Arial" w:cs="Arial" w:eastAsia="Arial" w:hAnsi="Arial"/>
          <w:sz w:val="19"/>
          <w:szCs w:val="19"/>
          <w:color w:val="auto"/>
        </w:rPr>
        <w:t>) calendar day prior to the 2027 annual general meeting and not later than the close of business on the later of (i) the ninetieth (90</w:t>
      </w:r>
      <w:r>
        <w:rPr>
          <w:rFonts w:ascii="Arial" w:cs="Arial" w:eastAsia="Arial" w:hAnsi="Arial"/>
          <w:sz w:val="28"/>
          <w:szCs w:val="28"/>
          <w:color w:val="auto"/>
          <w:vertAlign w:val="superscript"/>
        </w:rPr>
        <w:t>th</w:t>
      </w:r>
      <w:r>
        <w:rPr>
          <w:rFonts w:ascii="Arial" w:cs="Arial" w:eastAsia="Arial" w:hAnsi="Arial"/>
          <w:sz w:val="19"/>
          <w:szCs w:val="19"/>
          <w:color w:val="auto"/>
        </w:rPr>
        <w:t>) calendar day prior to the 2027 annual general meeting and (ii) the fifth (5</w:t>
      </w:r>
      <w:r>
        <w:rPr>
          <w:rFonts w:ascii="Arial" w:cs="Arial" w:eastAsia="Arial" w:hAnsi="Arial"/>
          <w:sz w:val="28"/>
          <w:szCs w:val="28"/>
          <w:color w:val="auto"/>
          <w:vertAlign w:val="superscript"/>
        </w:rPr>
        <w:t>th</w:t>
      </w:r>
      <w:r>
        <w:rPr>
          <w:rFonts w:ascii="Arial" w:cs="Arial" w:eastAsia="Arial" w:hAnsi="Arial"/>
          <w:sz w:val="19"/>
          <w:szCs w:val="19"/>
          <w:color w:val="auto"/>
        </w:rPr>
        <w:t>) calendar day after the day on which public announcement of the date of the 2027 annual general meeting is first made by the Company provided that in no event shall any adjournment of an annual general meeting or the public announcement thereof commence a new time period for the giving of such shareholder’s notice.</w:t>
      </w:r>
    </w:p>
    <w:p>
      <w:pPr>
        <w:spacing w:after="0" w:line="167" w:lineRule="exact"/>
        <w:rPr>
          <w:sz w:val="20"/>
          <w:szCs w:val="20"/>
          <w:color w:val="auto"/>
        </w:rPr>
      </w:pPr>
    </w:p>
    <w:p>
      <w:pPr>
        <w:ind w:left="340" w:right="40"/>
        <w:spacing w:after="0" w:line="221" w:lineRule="auto"/>
        <w:rPr>
          <w:sz w:val="20"/>
          <w:szCs w:val="20"/>
          <w:color w:val="auto"/>
        </w:rPr>
      </w:pPr>
      <w:r>
        <w:rPr>
          <w:rFonts w:ascii="Arial" w:cs="Arial" w:eastAsia="Arial" w:hAnsi="Arial"/>
          <w:sz w:val="19"/>
          <w:szCs w:val="19"/>
          <w:color w:val="auto"/>
        </w:rPr>
        <w:t>In addition to satisfying the requirements under our Articles, if a shareholder intends to comply with the universal proxy rules and to solicit proxies in support of director nominees other than STERIS’s nominees, the shareholder must provide notice that sets forth the information required by Rule 14a-19 under the Exchange Act (including a statement that such shareholder intends to solicit the holders of shares representing at least 67% of the Company’s shares entitled to vote on the election of directors in support of director nominees other than the Company’s), which notice must be postmarked or transmitted electronically to us at our principal executive offices not later than 60 calendar days prior to the one-year anniversary date of the annual meeting (for the 2027 annual general meeting, not later than June 1, 2027). If the date of the 2027 annual general meeting is changed by more than 30 calendar days from such anniversary date, however, then the shareholder must provide notice by the later of 60 calendar days prior to the date of the 2027 annual general meeting and the 10</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calendar day following the date on which public announcement of the date of the 2027 annual general meeting is first made.</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Shareholders’ Rights to Call a General Meeting</w:t>
      </w:r>
    </w:p>
    <w:p>
      <w:pPr>
        <w:spacing w:after="0" w:line="114" w:lineRule="exact"/>
        <w:rPr>
          <w:sz w:val="20"/>
          <w:szCs w:val="20"/>
          <w:color w:val="auto"/>
        </w:rPr>
      </w:pPr>
    </w:p>
    <w:p>
      <w:pPr>
        <w:ind w:left="340"/>
        <w:spacing w:after="0" w:line="236" w:lineRule="auto"/>
        <w:rPr>
          <w:sz w:val="20"/>
          <w:szCs w:val="20"/>
          <w:color w:val="auto"/>
        </w:rPr>
      </w:pPr>
      <w:r>
        <w:rPr>
          <w:rFonts w:ascii="Arial" w:cs="Arial" w:eastAsia="Arial" w:hAnsi="Arial"/>
          <w:sz w:val="19"/>
          <w:szCs w:val="19"/>
          <w:color w:val="auto"/>
        </w:rPr>
        <w:t>In addition to the SEC and Articles processes described above, our shareholders have the right at law to requisition the Board to call a meeting of our shareholders. Section 178(3) to (7) of the Irish Companies Act generally requires the directors to call a general meeting once we have received requests to do so from one or more shareholders representing at least 10% of our issued, paid-up shares entitled to vote at a general meeting. These provisions are mandatory under the Irish Companies Act and cannot be waived by our shareholders.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100 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900"/>
          </w:cols>
          <w:pgMar w:left="320" w:top="469" w:right="6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2876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710045" cy="2876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3E8EDE"/>
        </w:rPr>
        <w:t>MISCELLANEOUS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68580</wp:posOffset>
            </wp:positionV>
            <wp:extent cx="671004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There are no miscellaneous matters.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101</w:t>
      </w:r>
    </w:p>
    <w:p>
      <w:pPr>
        <w:sectPr>
          <w:pgSz w:w="11900" w:h="16838" w:orient="portrait"/>
          <w:cols w:equalWidth="0" w:num="1">
            <w:col w:w="10900"/>
          </w:cols>
          <w:pgMar w:left="320" w:top="469" w:right="6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2876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710045" cy="2876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720"/>
        <w:spacing w:after="0"/>
        <w:rPr>
          <w:sz w:val="20"/>
          <w:szCs w:val="20"/>
          <w:color w:val="auto"/>
        </w:rPr>
      </w:pPr>
      <w:r>
        <w:rPr>
          <w:rFonts w:ascii="Arial" w:cs="Arial" w:eastAsia="Arial" w:hAnsi="Arial"/>
          <w:sz w:val="21"/>
          <w:szCs w:val="21"/>
          <w:b w:val="1"/>
          <w:bCs w:val="1"/>
          <w:color w:val="3E8EDE"/>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68580</wp:posOffset>
            </wp:positionV>
            <wp:extent cx="671004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86" w:lineRule="exact"/>
        <w:rPr>
          <w:sz w:val="20"/>
          <w:szCs w:val="20"/>
          <w:color w:val="auto"/>
        </w:rPr>
      </w:pPr>
    </w:p>
    <w:p>
      <w:pPr>
        <w:ind w:left="340" w:right="320"/>
        <w:spacing w:after="0" w:line="297" w:lineRule="auto"/>
        <w:rPr>
          <w:sz w:val="20"/>
          <w:szCs w:val="20"/>
          <w:color w:val="auto"/>
        </w:rPr>
      </w:pPr>
      <w:r>
        <w:rPr>
          <w:rFonts w:ascii="Arial" w:cs="Arial" w:eastAsia="Arial" w:hAnsi="Arial"/>
          <w:sz w:val="24"/>
          <w:szCs w:val="24"/>
          <w:b w:val="1"/>
          <w:bCs w:val="1"/>
          <w:color w:val="auto"/>
        </w:rPr>
        <w:t>Important Notice Regarding the Availability of Proxy Materials for the Annual Meeting of Shareholders to be held on July 31, 2026</w:t>
      </w:r>
    </w:p>
    <w:p>
      <w:pPr>
        <w:spacing w:after="0" w:line="95" w:lineRule="exact"/>
        <w:rPr>
          <w:sz w:val="20"/>
          <w:szCs w:val="20"/>
          <w:color w:val="auto"/>
        </w:rPr>
      </w:pPr>
    </w:p>
    <w:p>
      <w:pPr>
        <w:ind w:left="340"/>
        <w:spacing w:after="0" w:line="239" w:lineRule="auto"/>
        <w:rPr>
          <w:sz w:val="20"/>
          <w:szCs w:val="20"/>
          <w:color w:val="auto"/>
        </w:rPr>
      </w:pPr>
      <w:r>
        <w:rPr>
          <w:rFonts w:ascii="Arial" w:cs="Arial" w:eastAsia="Arial" w:hAnsi="Arial"/>
          <w:sz w:val="19"/>
          <w:szCs w:val="19"/>
          <w:color w:val="auto"/>
        </w:rPr>
        <w:t xml:space="preserve">This Proxy Statement, our Annual Report, which includes financial statements of the Company for the fiscal year ended March 31, 2026, and the Company’s Irish Statutory Accounts are available free of charge at </w:t>
      </w:r>
      <w:r>
        <w:rPr>
          <w:rFonts w:ascii="Arial" w:cs="Arial" w:eastAsia="Arial" w:hAnsi="Arial"/>
          <w:sz w:val="19"/>
          <w:szCs w:val="19"/>
          <w:u w:val="single" w:color="auto"/>
          <w:color w:val="auto"/>
        </w:rPr>
        <w:t>www.proxyvote.com</w:t>
      </w:r>
      <w:r>
        <w:rPr>
          <w:rFonts w:ascii="Arial" w:cs="Arial" w:eastAsia="Arial" w:hAnsi="Arial"/>
          <w:sz w:val="19"/>
          <w:szCs w:val="19"/>
          <w:color w:val="auto"/>
        </w:rPr>
        <w:t xml:space="preserve"> if you are a shareholder of record. The Proxy Materials are also available free of charge in the “Online IR Kit” in the “Shareholder Resources” section of </w:t>
      </w:r>
      <w:r>
        <w:rPr>
          <w:rFonts w:ascii="Arial" w:cs="Arial" w:eastAsia="Arial" w:hAnsi="Arial"/>
          <w:sz w:val="19"/>
          <w:szCs w:val="19"/>
          <w:u w:val="single" w:color="auto"/>
          <w:color w:val="auto"/>
        </w:rPr>
        <w:t>steris-ir.com</w:t>
      </w:r>
      <w:r>
        <w:rPr>
          <w:rFonts w:ascii="Arial" w:cs="Arial" w:eastAsia="Arial" w:hAnsi="Arial"/>
          <w:sz w:val="19"/>
          <w:szCs w:val="19"/>
          <w:color w:val="auto"/>
        </w:rPr>
        <w: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Multiple Proxy Materials</w:t>
      </w:r>
    </w:p>
    <w:p>
      <w:pPr>
        <w:spacing w:after="0" w:line="114" w:lineRule="exact"/>
        <w:rPr>
          <w:sz w:val="20"/>
          <w:szCs w:val="20"/>
          <w:color w:val="auto"/>
        </w:rPr>
      </w:pPr>
    </w:p>
    <w:p>
      <w:pPr>
        <w:jc w:val="both"/>
        <w:ind w:left="340" w:right="180"/>
        <w:spacing w:after="0" w:line="239" w:lineRule="auto"/>
        <w:rPr>
          <w:sz w:val="20"/>
          <w:szCs w:val="20"/>
          <w:color w:val="auto"/>
        </w:rPr>
      </w:pPr>
      <w:r>
        <w:rPr>
          <w:rFonts w:ascii="Arial" w:cs="Arial" w:eastAsia="Arial" w:hAnsi="Arial"/>
          <w:sz w:val="19"/>
          <w:szCs w:val="19"/>
          <w:color w:val="auto"/>
        </w:rPr>
        <w:t>If you received multiple copies of the Proxy Materials and would prefer to receive a single copy in the future, please notify your broker or contact Broadridge Financial Solutions, Inc. (“Broadridge”) by calling toll-free at 866-540-7095, or by writing Broadridge, Householding Department, 51 Mercedes Way, Edgewood, New York 11717, or email us at Investor Relations, STERIS plc, at the email address below.</w:t>
      </w:r>
    </w:p>
    <w:p>
      <w:pPr>
        <w:spacing w:after="0" w:line="166" w:lineRule="exact"/>
        <w:rPr>
          <w:sz w:val="20"/>
          <w:szCs w:val="20"/>
          <w:color w:val="auto"/>
        </w:rPr>
      </w:pPr>
    </w:p>
    <w:p>
      <w:pPr>
        <w:ind w:left="340" w:right="500"/>
        <w:spacing w:after="0" w:line="262" w:lineRule="auto"/>
        <w:rPr>
          <w:sz w:val="20"/>
          <w:szCs w:val="20"/>
          <w:color w:val="auto"/>
        </w:rPr>
      </w:pPr>
      <w:r>
        <w:rPr>
          <w:rFonts w:ascii="Arial" w:cs="Arial" w:eastAsia="Arial" w:hAnsi="Arial"/>
          <w:sz w:val="19"/>
          <w:szCs w:val="19"/>
          <w:color w:val="auto"/>
        </w:rPr>
        <w:t xml:space="preserve">For information on how to obtain directions to be able to attend the Annual Meeting and vote in person, please contact Investor Relations at </w:t>
      </w:r>
      <w:r>
        <w:rPr>
          <w:rFonts w:ascii="Arial" w:cs="Arial" w:eastAsia="Arial" w:hAnsi="Arial"/>
          <w:sz w:val="19"/>
          <w:szCs w:val="19"/>
          <w:u w:val="single" w:color="auto"/>
          <w:color w:val="auto"/>
        </w:rPr>
        <w:t>julie_winter@steris.com</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154305</wp:posOffset>
            </wp:positionV>
            <wp:extent cx="1710690" cy="6165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10690" cy="61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J. ADAM ZANGERLE</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Company Secretary</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June 11, 2026</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color w:val="3E8EDE"/>
        </w:rPr>
        <w:t>Notice of Annual Meeting of Shareholders</w:t>
      </w:r>
      <w:r>
        <w:rPr>
          <w:rFonts w:ascii="Arial" w:cs="Arial" w:eastAsia="Arial" w:hAnsi="Arial"/>
          <w:sz w:val="16"/>
          <w:szCs w:val="16"/>
          <w:color w:val="auto"/>
        </w:rPr>
        <w:t xml:space="preserve"> and 2026 Proxy Statement</w:t>
      </w:r>
    </w:p>
    <w:p>
      <w:pPr>
        <w:sectPr>
          <w:pgSz w:w="11900" w:h="16838" w:orient="portrait"/>
          <w:cols w:equalWidth="0" w:num="1">
            <w:col w:w="10740"/>
          </w:cols>
          <w:pgMar w:left="320" w:top="469" w:right="8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209550</wp:posOffset>
            </wp:positionV>
            <wp:extent cx="6710045" cy="2876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710045" cy="2876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3E8EDE"/>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68580</wp:posOffset>
            </wp:positionV>
            <wp:extent cx="671004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NON-GAAP MEASURES AND RECONCILIATION</w:t>
      </w:r>
    </w:p>
    <w:p>
      <w:pPr>
        <w:spacing w:after="0" w:line="202" w:lineRule="exact"/>
        <w:rPr>
          <w:sz w:val="20"/>
          <w:szCs w:val="20"/>
          <w:color w:val="auto"/>
        </w:rPr>
      </w:pPr>
    </w:p>
    <w:p>
      <w:pPr>
        <w:ind w:left="340" w:right="160"/>
        <w:spacing w:after="0" w:line="248" w:lineRule="auto"/>
        <w:rPr>
          <w:sz w:val="20"/>
          <w:szCs w:val="20"/>
          <w:color w:val="auto"/>
        </w:rPr>
      </w:pPr>
      <w:r>
        <w:rPr>
          <w:rFonts w:ascii="Arial" w:cs="Arial" w:eastAsia="Arial" w:hAnsi="Arial"/>
          <w:sz w:val="17"/>
          <w:szCs w:val="17"/>
          <w:b w:val="1"/>
          <w:bCs w:val="1"/>
          <w:color w:val="auto"/>
        </w:rPr>
        <w:t xml:space="preserve">Non-GAAP Financial Measures. </w:t>
      </w:r>
      <w:r>
        <w:rPr>
          <w:rFonts w:ascii="Arial" w:cs="Arial" w:eastAsia="Arial" w:hAnsi="Arial"/>
          <w:sz w:val="17"/>
          <w:szCs w:val="17"/>
          <w:color w:val="auto"/>
        </w:rPr>
        <w:t>Non-GAAP financial measures are presented with the intent of providing greater transparency to</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supplemental financial information used by management and the Board of Directors in their financial analysis and operational decision making. These amounts are disclosed so that the reader has the same financial data that management uses with the belief that it will assist investors and other readers in making comparisons to our historical operating results and analyzing the underlying performance of our operations for the periods presented.</w:t>
      </w:r>
    </w:p>
    <w:p>
      <w:pPr>
        <w:spacing w:after="0" w:line="171" w:lineRule="exact"/>
        <w:rPr>
          <w:sz w:val="20"/>
          <w:szCs w:val="20"/>
          <w:color w:val="auto"/>
        </w:rPr>
      </w:pPr>
    </w:p>
    <w:p>
      <w:pPr>
        <w:ind w:left="340" w:right="20"/>
        <w:spacing w:after="0" w:line="246" w:lineRule="auto"/>
        <w:rPr>
          <w:sz w:val="20"/>
          <w:szCs w:val="20"/>
          <w:color w:val="auto"/>
        </w:rPr>
      </w:pPr>
      <w:r>
        <w:rPr>
          <w:rFonts w:ascii="Arial" w:cs="Arial" w:eastAsia="Arial" w:hAnsi="Arial"/>
          <w:sz w:val="17"/>
          <w:szCs w:val="17"/>
          <w:color w:val="auto"/>
        </w:rPr>
        <w:t>Management and the Board of Directors believe that the presentation of these non-GAAP financial measures, when considered along with our GAAP financial measures and the reconciliation to the corresponding GAAP financial measures, provide the reader with a more complete understanding of the factors and trends affecting our business than could be obtained absent this disclosure. It is important for the reader to note that the non-GAAP financial measures used may be calculated differently from, and therefore may not be comparable to, a similarly-titled measure used by other companies. The following table presents a financial measure that is considered to be “non-GAAP financial measures” under Securities Exchange Commission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135255</wp:posOffset>
            </wp:positionV>
            <wp:extent cx="6710045" cy="789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710045" cy="789305"/>
                    </a:xfrm>
                    <a:prstGeom prst="rect">
                      <a:avLst/>
                    </a:prstGeom>
                    <a:noFill/>
                  </pic:spPr>
                </pic:pic>
              </a:graphicData>
            </a:graphic>
          </wp:anchor>
        </w:drawing>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7500" w:type="dxa"/>
            <w:vAlign w:val="bottom"/>
            <w:shd w:val="clear" w:color="auto" w:fill="3E8EDE"/>
          </w:tcPr>
          <w:p>
            <w:pPr>
              <w:spacing w:after="0"/>
              <w:rPr>
                <w:sz w:val="14"/>
                <w:szCs w:val="14"/>
                <w:color w:val="auto"/>
              </w:rPr>
            </w:pPr>
          </w:p>
        </w:tc>
        <w:tc>
          <w:tcPr>
            <w:tcW w:w="200" w:type="dxa"/>
            <w:vAlign w:val="bottom"/>
            <w:shd w:val="clear" w:color="auto" w:fill="3E8EDE"/>
          </w:tcPr>
          <w:p>
            <w:pPr>
              <w:spacing w:after="0"/>
              <w:rPr>
                <w:sz w:val="14"/>
                <w:szCs w:val="14"/>
                <w:color w:val="auto"/>
              </w:rPr>
            </w:pPr>
          </w:p>
        </w:tc>
        <w:tc>
          <w:tcPr>
            <w:tcW w:w="2860" w:type="dxa"/>
            <w:vAlign w:val="bottom"/>
            <w:gridSpan w:val="5"/>
            <w:shd w:val="clear" w:color="auto" w:fill="3E8EDE"/>
          </w:tcPr>
          <w:p>
            <w:pPr>
              <w:ind w:left="280"/>
              <w:spacing w:after="0"/>
              <w:rPr>
                <w:sz w:val="20"/>
                <w:szCs w:val="20"/>
                <w:color w:val="auto"/>
              </w:rPr>
            </w:pPr>
            <w:r>
              <w:rPr>
                <w:rFonts w:ascii="Arial" w:cs="Arial" w:eastAsia="Arial" w:hAnsi="Arial"/>
                <w:sz w:val="14"/>
                <w:szCs w:val="14"/>
                <w:b w:val="1"/>
                <w:bCs w:val="1"/>
                <w:color w:val="FFFFFF"/>
              </w:rPr>
              <w:t>Twelve months ended March 31,</w:t>
            </w:r>
          </w:p>
        </w:tc>
      </w:tr>
      <w:tr>
        <w:trPr>
          <w:trHeight w:val="189"/>
        </w:trPr>
        <w:tc>
          <w:tcPr>
            <w:tcW w:w="7500" w:type="dxa"/>
            <w:vAlign w:val="bottom"/>
            <w:shd w:val="clear" w:color="auto" w:fill="3E8EDE"/>
          </w:tcPr>
          <w:p>
            <w:pPr>
              <w:spacing w:after="0"/>
              <w:rPr>
                <w:sz w:val="16"/>
                <w:szCs w:val="16"/>
                <w:color w:val="auto"/>
              </w:rPr>
            </w:pPr>
          </w:p>
        </w:tc>
        <w:tc>
          <w:tcPr>
            <w:tcW w:w="200" w:type="dxa"/>
            <w:vAlign w:val="bottom"/>
            <w:shd w:val="clear" w:color="auto" w:fill="3E8EDE"/>
          </w:tcPr>
          <w:p>
            <w:pPr>
              <w:spacing w:after="0"/>
              <w:rPr>
                <w:sz w:val="16"/>
                <w:szCs w:val="16"/>
                <w:color w:val="auto"/>
              </w:rPr>
            </w:pPr>
          </w:p>
        </w:tc>
        <w:tc>
          <w:tcPr>
            <w:tcW w:w="700" w:type="dxa"/>
            <w:vAlign w:val="bottom"/>
            <w:shd w:val="clear" w:color="auto" w:fill="3E8EDE"/>
          </w:tcPr>
          <w:p>
            <w:pPr>
              <w:spacing w:after="0"/>
              <w:rPr>
                <w:sz w:val="16"/>
                <w:szCs w:val="16"/>
                <w:color w:val="auto"/>
              </w:rPr>
            </w:pPr>
          </w:p>
        </w:tc>
        <w:tc>
          <w:tcPr>
            <w:tcW w:w="1500" w:type="dxa"/>
            <w:vAlign w:val="bottom"/>
            <w:gridSpan w:val="3"/>
            <w:shd w:val="clear" w:color="auto" w:fill="3E8EDE"/>
          </w:tcPr>
          <w:p>
            <w:pPr>
              <w:jc w:val="right"/>
              <w:ind w:right="421"/>
              <w:spacing w:after="0"/>
              <w:rPr>
                <w:sz w:val="20"/>
                <w:szCs w:val="20"/>
                <w:color w:val="auto"/>
              </w:rPr>
            </w:pPr>
            <w:r>
              <w:rPr>
                <w:rFonts w:ascii="Arial" w:cs="Arial" w:eastAsia="Arial" w:hAnsi="Arial"/>
                <w:sz w:val="14"/>
                <w:szCs w:val="14"/>
                <w:b w:val="1"/>
                <w:bCs w:val="1"/>
                <w:color w:val="FFFFFF"/>
              </w:rPr>
              <w:t>(unaudited)</w:t>
            </w:r>
          </w:p>
        </w:tc>
        <w:tc>
          <w:tcPr>
            <w:tcW w:w="660" w:type="dxa"/>
            <w:vAlign w:val="bottom"/>
            <w:shd w:val="clear" w:color="auto" w:fill="3E8EDE"/>
          </w:tcPr>
          <w:p>
            <w:pPr>
              <w:spacing w:after="0"/>
              <w:rPr>
                <w:sz w:val="16"/>
                <w:szCs w:val="16"/>
                <w:color w:val="auto"/>
              </w:rPr>
            </w:pPr>
          </w:p>
        </w:tc>
      </w:tr>
      <w:tr>
        <w:trPr>
          <w:trHeight w:val="174"/>
        </w:trPr>
        <w:tc>
          <w:tcPr>
            <w:tcW w:w="7500" w:type="dxa"/>
            <w:vAlign w:val="bottom"/>
            <w:shd w:val="clear" w:color="auto" w:fill="3E8EDE"/>
          </w:tcPr>
          <w:p>
            <w:pPr>
              <w:spacing w:after="0"/>
              <w:rPr>
                <w:sz w:val="15"/>
                <w:szCs w:val="15"/>
                <w:color w:val="auto"/>
              </w:rPr>
            </w:pPr>
          </w:p>
        </w:tc>
        <w:tc>
          <w:tcPr>
            <w:tcW w:w="200" w:type="dxa"/>
            <w:vAlign w:val="bottom"/>
            <w:shd w:val="clear" w:color="auto" w:fill="3E8EDE"/>
          </w:tcPr>
          <w:p>
            <w:pPr>
              <w:spacing w:after="0"/>
              <w:rPr>
                <w:sz w:val="15"/>
                <w:szCs w:val="15"/>
                <w:color w:val="auto"/>
              </w:rPr>
            </w:pPr>
          </w:p>
        </w:tc>
        <w:tc>
          <w:tcPr>
            <w:tcW w:w="1440" w:type="dxa"/>
            <w:vAlign w:val="bottom"/>
            <w:gridSpan w:val="2"/>
            <w:shd w:val="clear" w:color="auto" w:fill="3E8EDE"/>
          </w:tcPr>
          <w:p>
            <w:pPr>
              <w:jc w:val="center"/>
              <w:ind w:right="121"/>
              <w:spacing w:after="0"/>
              <w:rPr>
                <w:sz w:val="20"/>
                <w:szCs w:val="20"/>
                <w:color w:val="auto"/>
              </w:rPr>
            </w:pPr>
            <w:r>
              <w:rPr>
                <w:rFonts w:ascii="Arial" w:cs="Arial" w:eastAsia="Arial" w:hAnsi="Arial"/>
                <w:sz w:val="14"/>
                <w:szCs w:val="14"/>
                <w:b w:val="1"/>
                <w:bCs w:val="1"/>
                <w:color w:val="FFFFFF"/>
              </w:rPr>
              <w:t>Net Income</w:t>
            </w:r>
          </w:p>
        </w:tc>
        <w:tc>
          <w:tcPr>
            <w:tcW w:w="220" w:type="dxa"/>
            <w:vAlign w:val="bottom"/>
            <w:shd w:val="clear" w:color="auto" w:fill="3E8EDE"/>
          </w:tcPr>
          <w:p>
            <w:pPr>
              <w:spacing w:after="0"/>
              <w:rPr>
                <w:sz w:val="15"/>
                <w:szCs w:val="15"/>
                <w:color w:val="auto"/>
              </w:rPr>
            </w:pPr>
          </w:p>
        </w:tc>
        <w:tc>
          <w:tcPr>
            <w:tcW w:w="540" w:type="dxa"/>
            <w:vAlign w:val="bottom"/>
            <w:shd w:val="clear" w:color="auto" w:fill="3E8EDE"/>
          </w:tcPr>
          <w:p>
            <w:pPr>
              <w:spacing w:after="0"/>
              <w:rPr>
                <w:sz w:val="15"/>
                <w:szCs w:val="15"/>
                <w:color w:val="auto"/>
              </w:rPr>
            </w:pPr>
          </w:p>
        </w:tc>
        <w:tc>
          <w:tcPr>
            <w:tcW w:w="660" w:type="dxa"/>
            <w:vAlign w:val="bottom"/>
            <w:shd w:val="clear" w:color="auto" w:fill="3E8EDE"/>
          </w:tcPr>
          <w:p>
            <w:pPr>
              <w:spacing w:after="0"/>
              <w:rPr>
                <w:sz w:val="15"/>
                <w:szCs w:val="15"/>
                <w:color w:val="auto"/>
              </w:rPr>
            </w:pPr>
          </w:p>
        </w:tc>
      </w:tr>
      <w:tr>
        <w:trPr>
          <w:trHeight w:val="155"/>
        </w:trPr>
        <w:tc>
          <w:tcPr>
            <w:tcW w:w="7500" w:type="dxa"/>
            <w:vAlign w:val="bottom"/>
            <w:shd w:val="clear" w:color="auto" w:fill="3E8EDE"/>
          </w:tcPr>
          <w:p>
            <w:pPr>
              <w:spacing w:after="0"/>
              <w:rPr>
                <w:sz w:val="13"/>
                <w:szCs w:val="13"/>
                <w:color w:val="auto"/>
              </w:rPr>
            </w:pPr>
          </w:p>
        </w:tc>
        <w:tc>
          <w:tcPr>
            <w:tcW w:w="200" w:type="dxa"/>
            <w:vAlign w:val="bottom"/>
            <w:shd w:val="clear" w:color="auto" w:fill="3E8EDE"/>
          </w:tcPr>
          <w:p>
            <w:pPr>
              <w:spacing w:after="0"/>
              <w:rPr>
                <w:sz w:val="13"/>
                <w:szCs w:val="13"/>
                <w:color w:val="auto"/>
              </w:rPr>
            </w:pPr>
          </w:p>
        </w:tc>
        <w:tc>
          <w:tcPr>
            <w:tcW w:w="1440" w:type="dxa"/>
            <w:vAlign w:val="bottom"/>
            <w:gridSpan w:val="2"/>
            <w:shd w:val="clear" w:color="auto" w:fill="3E8EDE"/>
          </w:tcPr>
          <w:p>
            <w:pPr>
              <w:jc w:val="center"/>
              <w:ind w:right="121"/>
              <w:spacing w:after="0" w:line="155" w:lineRule="exact"/>
              <w:rPr>
                <w:sz w:val="20"/>
                <w:szCs w:val="20"/>
                <w:color w:val="auto"/>
              </w:rPr>
            </w:pPr>
            <w:r>
              <w:rPr>
                <w:rFonts w:ascii="Arial" w:cs="Arial" w:eastAsia="Arial" w:hAnsi="Arial"/>
                <w:sz w:val="14"/>
                <w:szCs w:val="14"/>
                <w:b w:val="1"/>
                <w:bCs w:val="1"/>
                <w:color w:val="FFFFFF"/>
                <w:w w:val="99"/>
              </w:rPr>
              <w:t>attributable</w:t>
            </w:r>
          </w:p>
        </w:tc>
        <w:tc>
          <w:tcPr>
            <w:tcW w:w="220" w:type="dxa"/>
            <w:vAlign w:val="bottom"/>
            <w:shd w:val="clear" w:color="auto" w:fill="3E8EDE"/>
          </w:tcPr>
          <w:p>
            <w:pPr>
              <w:spacing w:after="0"/>
              <w:rPr>
                <w:sz w:val="13"/>
                <w:szCs w:val="13"/>
                <w:color w:val="auto"/>
              </w:rPr>
            </w:pPr>
          </w:p>
        </w:tc>
        <w:tc>
          <w:tcPr>
            <w:tcW w:w="540" w:type="dxa"/>
            <w:vAlign w:val="bottom"/>
            <w:shd w:val="clear" w:color="auto" w:fill="3E8EDE"/>
          </w:tcPr>
          <w:p>
            <w:pPr>
              <w:spacing w:after="0"/>
              <w:rPr>
                <w:sz w:val="13"/>
                <w:szCs w:val="13"/>
                <w:color w:val="auto"/>
              </w:rPr>
            </w:pPr>
          </w:p>
        </w:tc>
        <w:tc>
          <w:tcPr>
            <w:tcW w:w="660" w:type="dxa"/>
            <w:vAlign w:val="bottom"/>
            <w:shd w:val="clear" w:color="auto" w:fill="3E8EDE"/>
          </w:tcPr>
          <w:p>
            <w:pPr>
              <w:spacing w:after="0"/>
              <w:rPr>
                <w:sz w:val="13"/>
                <w:szCs w:val="13"/>
                <w:color w:val="auto"/>
              </w:rPr>
            </w:pPr>
          </w:p>
        </w:tc>
      </w:tr>
      <w:tr>
        <w:trPr>
          <w:trHeight w:val="155"/>
        </w:trPr>
        <w:tc>
          <w:tcPr>
            <w:tcW w:w="7500" w:type="dxa"/>
            <w:vAlign w:val="bottom"/>
            <w:shd w:val="clear" w:color="auto" w:fill="3E8EDE"/>
          </w:tcPr>
          <w:p>
            <w:pPr>
              <w:spacing w:after="0"/>
              <w:rPr>
                <w:sz w:val="13"/>
                <w:szCs w:val="13"/>
                <w:color w:val="auto"/>
              </w:rPr>
            </w:pPr>
          </w:p>
        </w:tc>
        <w:tc>
          <w:tcPr>
            <w:tcW w:w="200" w:type="dxa"/>
            <w:vAlign w:val="bottom"/>
            <w:shd w:val="clear" w:color="auto" w:fill="3E8EDE"/>
          </w:tcPr>
          <w:p>
            <w:pPr>
              <w:spacing w:after="0"/>
              <w:rPr>
                <w:sz w:val="13"/>
                <w:szCs w:val="13"/>
                <w:color w:val="auto"/>
              </w:rPr>
            </w:pPr>
          </w:p>
        </w:tc>
        <w:tc>
          <w:tcPr>
            <w:tcW w:w="1440" w:type="dxa"/>
            <w:vAlign w:val="bottom"/>
            <w:gridSpan w:val="2"/>
            <w:shd w:val="clear" w:color="auto" w:fill="3E8EDE"/>
          </w:tcPr>
          <w:p>
            <w:pPr>
              <w:jc w:val="center"/>
              <w:ind w:right="121"/>
              <w:spacing w:after="0" w:line="155" w:lineRule="exact"/>
              <w:rPr>
                <w:sz w:val="20"/>
                <w:szCs w:val="20"/>
                <w:color w:val="auto"/>
              </w:rPr>
            </w:pPr>
            <w:r>
              <w:rPr>
                <w:rFonts w:ascii="Arial" w:cs="Arial" w:eastAsia="Arial" w:hAnsi="Arial"/>
                <w:sz w:val="14"/>
                <w:szCs w:val="14"/>
                <w:b w:val="1"/>
                <w:bCs w:val="1"/>
                <w:color w:val="FFFFFF"/>
                <w:w w:val="98"/>
              </w:rPr>
              <w:t>to shareholders</w:t>
            </w:r>
          </w:p>
        </w:tc>
        <w:tc>
          <w:tcPr>
            <w:tcW w:w="220" w:type="dxa"/>
            <w:vAlign w:val="bottom"/>
            <w:shd w:val="clear" w:color="auto" w:fill="3E8EDE"/>
          </w:tcPr>
          <w:p>
            <w:pPr>
              <w:spacing w:after="0"/>
              <w:rPr>
                <w:sz w:val="13"/>
                <w:szCs w:val="13"/>
                <w:color w:val="auto"/>
              </w:rPr>
            </w:pPr>
          </w:p>
        </w:tc>
        <w:tc>
          <w:tcPr>
            <w:tcW w:w="540" w:type="dxa"/>
            <w:vAlign w:val="bottom"/>
            <w:shd w:val="clear" w:color="auto" w:fill="3E8EDE"/>
          </w:tcPr>
          <w:p>
            <w:pPr>
              <w:spacing w:after="0"/>
              <w:rPr>
                <w:sz w:val="13"/>
                <w:szCs w:val="13"/>
                <w:color w:val="auto"/>
              </w:rPr>
            </w:pPr>
          </w:p>
        </w:tc>
        <w:tc>
          <w:tcPr>
            <w:tcW w:w="660" w:type="dxa"/>
            <w:vAlign w:val="bottom"/>
            <w:shd w:val="clear" w:color="auto" w:fill="3E8EDE"/>
          </w:tcPr>
          <w:p>
            <w:pPr>
              <w:spacing w:after="0"/>
              <w:rPr>
                <w:sz w:val="13"/>
                <w:szCs w:val="13"/>
                <w:color w:val="auto"/>
              </w:rPr>
            </w:pPr>
          </w:p>
        </w:tc>
      </w:tr>
      <w:tr>
        <w:trPr>
          <w:trHeight w:val="202"/>
        </w:trPr>
        <w:tc>
          <w:tcPr>
            <w:tcW w:w="7500" w:type="dxa"/>
            <w:vAlign w:val="bottom"/>
            <w:shd w:val="clear" w:color="auto" w:fill="3E8EDE"/>
          </w:tcPr>
          <w:p>
            <w:pPr>
              <w:spacing w:after="0"/>
              <w:rPr>
                <w:sz w:val="17"/>
                <w:szCs w:val="17"/>
                <w:color w:val="auto"/>
              </w:rPr>
            </w:pPr>
          </w:p>
        </w:tc>
        <w:tc>
          <w:tcPr>
            <w:tcW w:w="200" w:type="dxa"/>
            <w:vAlign w:val="bottom"/>
            <w:shd w:val="clear" w:color="auto" w:fill="3E8EDE"/>
          </w:tcPr>
          <w:p>
            <w:pPr>
              <w:spacing w:after="0"/>
              <w:rPr>
                <w:sz w:val="17"/>
                <w:szCs w:val="17"/>
                <w:color w:val="auto"/>
              </w:rPr>
            </w:pPr>
          </w:p>
        </w:tc>
        <w:tc>
          <w:tcPr>
            <w:tcW w:w="1440" w:type="dxa"/>
            <w:vAlign w:val="bottom"/>
            <w:gridSpan w:val="2"/>
            <w:shd w:val="clear" w:color="auto" w:fill="3E8EDE"/>
          </w:tcPr>
          <w:p>
            <w:pPr>
              <w:jc w:val="center"/>
              <w:ind w:right="121"/>
              <w:spacing w:after="0"/>
              <w:rPr>
                <w:sz w:val="20"/>
                <w:szCs w:val="20"/>
                <w:color w:val="auto"/>
              </w:rPr>
            </w:pPr>
            <w:r>
              <w:rPr>
                <w:rFonts w:ascii="Arial" w:cs="Arial" w:eastAsia="Arial" w:hAnsi="Arial"/>
                <w:sz w:val="14"/>
                <w:szCs w:val="14"/>
                <w:b w:val="1"/>
                <w:bCs w:val="1"/>
                <w:color w:val="FFFFFF"/>
                <w:w w:val="96"/>
              </w:rPr>
              <w:t>(in millions)</w:t>
            </w:r>
          </w:p>
        </w:tc>
        <w:tc>
          <w:tcPr>
            <w:tcW w:w="220" w:type="dxa"/>
            <w:vAlign w:val="bottom"/>
            <w:shd w:val="clear" w:color="auto" w:fill="3E8EDE"/>
          </w:tcPr>
          <w:p>
            <w:pPr>
              <w:spacing w:after="0"/>
              <w:rPr>
                <w:sz w:val="17"/>
                <w:szCs w:val="17"/>
                <w:color w:val="auto"/>
              </w:rPr>
            </w:pPr>
          </w:p>
        </w:tc>
        <w:tc>
          <w:tcPr>
            <w:tcW w:w="1200" w:type="dxa"/>
            <w:vAlign w:val="bottom"/>
            <w:gridSpan w:val="2"/>
            <w:shd w:val="clear" w:color="auto" w:fill="3E8EDE"/>
          </w:tcPr>
          <w:p>
            <w:pPr>
              <w:ind w:left="100"/>
              <w:spacing w:after="0"/>
              <w:rPr>
                <w:sz w:val="20"/>
                <w:szCs w:val="20"/>
                <w:color w:val="auto"/>
              </w:rPr>
            </w:pPr>
            <w:r>
              <w:rPr>
                <w:rFonts w:ascii="Arial" w:cs="Arial" w:eastAsia="Arial" w:hAnsi="Arial"/>
                <w:sz w:val="14"/>
                <w:szCs w:val="14"/>
                <w:b w:val="1"/>
                <w:bCs w:val="1"/>
                <w:color w:val="FFFFFF"/>
              </w:rPr>
              <w:t>Diluted EPS</w:t>
            </w:r>
          </w:p>
        </w:tc>
      </w:tr>
      <w:tr>
        <w:trPr>
          <w:trHeight w:val="183"/>
        </w:trPr>
        <w:tc>
          <w:tcPr>
            <w:tcW w:w="7500" w:type="dxa"/>
            <w:vAlign w:val="bottom"/>
            <w:shd w:val="clear" w:color="auto" w:fill="3E8EDE"/>
          </w:tcPr>
          <w:p>
            <w:pPr>
              <w:spacing w:after="0"/>
              <w:rPr>
                <w:sz w:val="15"/>
                <w:szCs w:val="15"/>
                <w:color w:val="auto"/>
              </w:rPr>
            </w:pPr>
          </w:p>
        </w:tc>
        <w:tc>
          <w:tcPr>
            <w:tcW w:w="200" w:type="dxa"/>
            <w:vAlign w:val="bottom"/>
            <w:shd w:val="clear" w:color="auto" w:fill="3E8EDE"/>
          </w:tcPr>
          <w:p>
            <w:pPr>
              <w:spacing w:after="0"/>
              <w:rPr>
                <w:sz w:val="15"/>
                <w:szCs w:val="15"/>
                <w:color w:val="auto"/>
              </w:rPr>
            </w:pPr>
          </w:p>
        </w:tc>
        <w:tc>
          <w:tcPr>
            <w:tcW w:w="700" w:type="dxa"/>
            <w:vAlign w:val="bottom"/>
            <w:shd w:val="clear" w:color="auto" w:fill="3E8EDE"/>
          </w:tcPr>
          <w:p>
            <w:pPr>
              <w:jc w:val="right"/>
              <w:ind w:right="225"/>
              <w:spacing w:after="0"/>
              <w:rPr>
                <w:sz w:val="20"/>
                <w:szCs w:val="20"/>
                <w:color w:val="auto"/>
              </w:rPr>
            </w:pPr>
            <w:r>
              <w:rPr>
                <w:rFonts w:ascii="Arial" w:cs="Arial" w:eastAsia="Arial" w:hAnsi="Arial"/>
                <w:sz w:val="14"/>
                <w:szCs w:val="14"/>
                <w:b w:val="1"/>
                <w:bCs w:val="1"/>
                <w:color w:val="FFFFFF"/>
              </w:rPr>
              <w:t>2026</w:t>
            </w:r>
          </w:p>
        </w:tc>
        <w:tc>
          <w:tcPr>
            <w:tcW w:w="740" w:type="dxa"/>
            <w:vAlign w:val="bottom"/>
            <w:shd w:val="clear" w:color="auto" w:fill="3E8EDE"/>
          </w:tcPr>
          <w:p>
            <w:pPr>
              <w:jc w:val="center"/>
              <w:spacing w:after="0"/>
              <w:rPr>
                <w:sz w:val="20"/>
                <w:szCs w:val="20"/>
                <w:color w:val="auto"/>
              </w:rPr>
            </w:pPr>
            <w:r>
              <w:rPr>
                <w:rFonts w:ascii="Arial" w:cs="Arial" w:eastAsia="Arial" w:hAnsi="Arial"/>
                <w:sz w:val="14"/>
                <w:szCs w:val="14"/>
                <w:b w:val="1"/>
                <w:bCs w:val="1"/>
                <w:color w:val="FFFFFF"/>
                <w:w w:val="96"/>
              </w:rPr>
              <w:t>2025</w:t>
            </w:r>
          </w:p>
        </w:tc>
        <w:tc>
          <w:tcPr>
            <w:tcW w:w="220" w:type="dxa"/>
            <w:vAlign w:val="bottom"/>
            <w:shd w:val="clear" w:color="auto" w:fill="3E8EDE"/>
          </w:tcPr>
          <w:p>
            <w:pPr>
              <w:spacing w:after="0"/>
              <w:rPr>
                <w:sz w:val="15"/>
                <w:szCs w:val="15"/>
                <w:color w:val="auto"/>
              </w:rPr>
            </w:pPr>
          </w:p>
        </w:tc>
        <w:tc>
          <w:tcPr>
            <w:tcW w:w="540" w:type="dxa"/>
            <w:vAlign w:val="bottom"/>
            <w:shd w:val="clear" w:color="auto" w:fill="3E8EDE"/>
          </w:tcPr>
          <w:p>
            <w:pPr>
              <w:jc w:val="right"/>
              <w:ind w:right="141"/>
              <w:spacing w:after="0"/>
              <w:rPr>
                <w:sz w:val="20"/>
                <w:szCs w:val="20"/>
                <w:color w:val="auto"/>
              </w:rPr>
            </w:pPr>
            <w:r>
              <w:rPr>
                <w:rFonts w:ascii="Arial" w:cs="Arial" w:eastAsia="Arial" w:hAnsi="Arial"/>
                <w:sz w:val="14"/>
                <w:szCs w:val="14"/>
                <w:b w:val="1"/>
                <w:bCs w:val="1"/>
                <w:color w:val="FFFFFF"/>
                <w:w w:val="96"/>
              </w:rPr>
              <w:t>2026</w:t>
            </w:r>
          </w:p>
        </w:tc>
        <w:tc>
          <w:tcPr>
            <w:tcW w:w="660" w:type="dxa"/>
            <w:vAlign w:val="bottom"/>
            <w:shd w:val="clear" w:color="auto" w:fill="3E8EDE"/>
          </w:tcPr>
          <w:p>
            <w:pPr>
              <w:jc w:val="center"/>
              <w:spacing w:after="0"/>
              <w:rPr>
                <w:sz w:val="20"/>
                <w:szCs w:val="20"/>
                <w:color w:val="auto"/>
              </w:rPr>
            </w:pPr>
            <w:r>
              <w:rPr>
                <w:rFonts w:ascii="Arial" w:cs="Arial" w:eastAsia="Arial" w:hAnsi="Arial"/>
                <w:sz w:val="14"/>
                <w:szCs w:val="14"/>
                <w:b w:val="1"/>
                <w:bCs w:val="1"/>
                <w:color w:val="FFFFFF"/>
              </w:rPr>
              <w:t>2025</w:t>
            </w:r>
          </w:p>
        </w:tc>
      </w:tr>
      <w:tr>
        <w:trPr>
          <w:trHeight w:val="285"/>
        </w:trPr>
        <w:tc>
          <w:tcPr>
            <w:tcW w:w="7500" w:type="dxa"/>
            <w:vAlign w:val="bottom"/>
            <w:shd w:val="clear" w:color="auto" w:fill="E2EEFA"/>
          </w:tcPr>
          <w:p>
            <w:pPr>
              <w:spacing w:after="0"/>
              <w:rPr>
                <w:sz w:val="20"/>
                <w:szCs w:val="20"/>
                <w:color w:val="auto"/>
              </w:rPr>
            </w:pPr>
            <w:r>
              <w:rPr>
                <w:rFonts w:ascii="Arial" w:cs="Arial" w:eastAsia="Arial" w:hAnsi="Arial"/>
                <w:sz w:val="17"/>
                <w:szCs w:val="17"/>
                <w:b w:val="1"/>
                <w:bCs w:val="1"/>
                <w:color w:val="auto"/>
              </w:rPr>
              <w:t>GAAP</w:t>
            </w:r>
          </w:p>
        </w:tc>
        <w:tc>
          <w:tcPr>
            <w:tcW w:w="20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2EEFA"/>
          </w:tcPr>
          <w:p>
            <w:pPr>
              <w:jc w:val="right"/>
              <w:ind w:right="45"/>
              <w:spacing w:after="0"/>
              <w:rPr>
                <w:sz w:val="20"/>
                <w:szCs w:val="20"/>
                <w:color w:val="auto"/>
              </w:rPr>
            </w:pPr>
            <w:r>
              <w:rPr>
                <w:rFonts w:ascii="Arial" w:cs="Arial" w:eastAsia="Arial" w:hAnsi="Arial"/>
                <w:sz w:val="17"/>
                <w:szCs w:val="17"/>
                <w:color w:val="auto"/>
              </w:rPr>
              <w:t>782.3</w:t>
            </w:r>
          </w:p>
        </w:tc>
        <w:tc>
          <w:tcPr>
            <w:tcW w:w="740" w:type="dxa"/>
            <w:vAlign w:val="bottom"/>
            <w:shd w:val="clear" w:color="auto" w:fill="E2EEFA"/>
          </w:tcPr>
          <w:p>
            <w:pPr>
              <w:jc w:val="center"/>
              <w:spacing w:after="0"/>
              <w:rPr>
                <w:sz w:val="20"/>
                <w:szCs w:val="20"/>
                <w:color w:val="auto"/>
              </w:rPr>
            </w:pPr>
            <w:r>
              <w:rPr>
                <w:rFonts w:ascii="Arial" w:cs="Arial" w:eastAsia="Arial" w:hAnsi="Arial"/>
                <w:sz w:val="17"/>
                <w:szCs w:val="17"/>
                <w:color w:val="auto"/>
              </w:rPr>
              <w:t>$614.6</w:t>
            </w:r>
          </w:p>
        </w:tc>
        <w:tc>
          <w:tcPr>
            <w:tcW w:w="220" w:type="dxa"/>
            <w:vAlign w:val="bottom"/>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E2EEFA"/>
          </w:tcPr>
          <w:p>
            <w:pPr>
              <w:jc w:val="right"/>
              <w:ind w:right="21"/>
              <w:spacing w:after="0"/>
              <w:rPr>
                <w:sz w:val="20"/>
                <w:szCs w:val="20"/>
                <w:color w:val="auto"/>
              </w:rPr>
            </w:pPr>
            <w:r>
              <w:rPr>
                <w:rFonts w:ascii="Arial" w:cs="Arial" w:eastAsia="Arial" w:hAnsi="Arial"/>
                <w:sz w:val="17"/>
                <w:szCs w:val="17"/>
                <w:color w:val="auto"/>
              </w:rPr>
              <w:t>7.93</w:t>
            </w:r>
          </w:p>
        </w:tc>
        <w:tc>
          <w:tcPr>
            <w:tcW w:w="660" w:type="dxa"/>
            <w:vAlign w:val="bottom"/>
            <w:shd w:val="clear" w:color="auto" w:fill="E2EEFA"/>
          </w:tcPr>
          <w:p>
            <w:pPr>
              <w:jc w:val="center"/>
              <w:spacing w:after="0"/>
              <w:rPr>
                <w:sz w:val="20"/>
                <w:szCs w:val="20"/>
                <w:color w:val="auto"/>
              </w:rPr>
            </w:pPr>
            <w:r>
              <w:rPr>
                <w:rFonts w:ascii="Arial" w:cs="Arial" w:eastAsia="Arial" w:hAnsi="Arial"/>
                <w:sz w:val="17"/>
                <w:szCs w:val="17"/>
                <w:color w:val="auto"/>
                <w:w w:val="92"/>
              </w:rPr>
              <w:t>$ 6.20</w:t>
            </w:r>
          </w:p>
        </w:tc>
      </w:tr>
      <w:tr>
        <w:trPr>
          <w:trHeight w:val="248"/>
        </w:trPr>
        <w:tc>
          <w:tcPr>
            <w:tcW w:w="7500" w:type="dxa"/>
            <w:vAlign w:val="bottom"/>
          </w:tcPr>
          <w:p>
            <w:pPr>
              <w:spacing w:after="0"/>
              <w:rPr>
                <w:sz w:val="20"/>
                <w:szCs w:val="20"/>
                <w:color w:val="auto"/>
              </w:rPr>
            </w:pPr>
            <w:r>
              <w:rPr>
                <w:rFonts w:ascii="Arial" w:cs="Arial" w:eastAsia="Arial" w:hAnsi="Arial"/>
                <w:sz w:val="17"/>
                <w:szCs w:val="17"/>
                <w:color w:val="auto"/>
              </w:rPr>
              <w:t>Adjustments: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2"/>
        </w:trPr>
        <w:tc>
          <w:tcPr>
            <w:tcW w:w="7500" w:type="dxa"/>
            <w:vAlign w:val="bottom"/>
            <w:tcBorders>
              <w:bottom w:val="single" w:sz="8" w:color="E2EEFA"/>
            </w:tcBorders>
            <w:shd w:val="clear" w:color="auto" w:fill="E2EEFA"/>
          </w:tcPr>
          <w:p>
            <w:pPr>
              <w:ind w:left="180"/>
              <w:spacing w:after="0"/>
              <w:rPr>
                <w:sz w:val="20"/>
                <w:szCs w:val="20"/>
                <w:color w:val="auto"/>
              </w:rPr>
            </w:pPr>
            <w:r>
              <w:rPr>
                <w:rFonts w:ascii="Arial" w:cs="Arial" w:eastAsia="Arial" w:hAnsi="Arial"/>
                <w:sz w:val="17"/>
                <w:szCs w:val="17"/>
                <w:color w:val="auto"/>
              </w:rPr>
              <w:t>Net impact of adjustments after tax*</w:t>
            </w:r>
          </w:p>
        </w:tc>
        <w:tc>
          <w:tcPr>
            <w:tcW w:w="20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E2EEFA"/>
            </w:tcBorders>
            <w:shd w:val="clear" w:color="auto" w:fill="E2EEFA"/>
          </w:tcPr>
          <w:p>
            <w:pPr>
              <w:jc w:val="right"/>
              <w:ind w:right="45"/>
              <w:spacing w:after="0"/>
              <w:rPr>
                <w:sz w:val="20"/>
                <w:szCs w:val="20"/>
                <w:color w:val="auto"/>
              </w:rPr>
            </w:pPr>
            <w:r>
              <w:rPr>
                <w:rFonts w:ascii="Arial" w:cs="Arial" w:eastAsia="Arial" w:hAnsi="Arial"/>
                <w:sz w:val="17"/>
                <w:szCs w:val="17"/>
                <w:color w:val="auto"/>
              </w:rPr>
              <w:t>221.1</w:t>
            </w:r>
          </w:p>
        </w:tc>
        <w:tc>
          <w:tcPr>
            <w:tcW w:w="740" w:type="dxa"/>
            <w:vAlign w:val="bottom"/>
            <w:tcBorders>
              <w:bottom w:val="single" w:sz="8" w:color="E2EEFA"/>
            </w:tcBorders>
            <w:shd w:val="clear" w:color="auto" w:fill="E2EEFA"/>
          </w:tcPr>
          <w:p>
            <w:pPr>
              <w:jc w:val="center"/>
              <w:spacing w:after="0"/>
              <w:rPr>
                <w:sz w:val="20"/>
                <w:szCs w:val="20"/>
                <w:color w:val="auto"/>
              </w:rPr>
            </w:pPr>
            <w:r>
              <w:rPr>
                <w:rFonts w:ascii="Arial" w:cs="Arial" w:eastAsia="Arial" w:hAnsi="Arial"/>
                <w:sz w:val="17"/>
                <w:szCs w:val="17"/>
                <w:color w:val="auto"/>
              </w:rPr>
              <w:t>$309.7</w:t>
            </w:r>
          </w:p>
        </w:tc>
        <w:tc>
          <w:tcPr>
            <w:tcW w:w="220" w:type="dxa"/>
            <w:vAlign w:val="bottom"/>
            <w:tcBorders>
              <w:bottom w:val="single" w:sz="8" w:color="E2EEFA"/>
            </w:tcBorders>
            <w:shd w:val="clear" w:color="auto" w:fill="E2EEFA"/>
          </w:tcPr>
          <w:p>
            <w:pPr>
              <w:spacing w:after="0"/>
              <w:rPr>
                <w:sz w:val="21"/>
                <w:szCs w:val="21"/>
                <w:color w:val="auto"/>
              </w:rPr>
            </w:pPr>
          </w:p>
        </w:tc>
        <w:tc>
          <w:tcPr>
            <w:tcW w:w="540" w:type="dxa"/>
            <w:vAlign w:val="bottom"/>
            <w:tcBorders>
              <w:bottom w:val="single" w:sz="8" w:color="E2EEFA"/>
            </w:tcBorders>
            <w:shd w:val="clear" w:color="auto" w:fill="E2EEFA"/>
          </w:tcPr>
          <w:p>
            <w:pPr>
              <w:spacing w:after="0"/>
              <w:rPr>
                <w:sz w:val="21"/>
                <w:szCs w:val="21"/>
                <w:color w:val="auto"/>
              </w:rPr>
            </w:pPr>
          </w:p>
        </w:tc>
        <w:tc>
          <w:tcPr>
            <w:tcW w:w="660" w:type="dxa"/>
            <w:vAlign w:val="bottom"/>
            <w:tcBorders>
              <w:bottom w:val="single" w:sz="8" w:color="E2EEFA"/>
            </w:tcBorders>
            <w:shd w:val="clear" w:color="auto" w:fill="E2EEFA"/>
          </w:tcPr>
          <w:p>
            <w:pPr>
              <w:spacing w:after="0"/>
              <w:rPr>
                <w:sz w:val="21"/>
                <w:szCs w:val="21"/>
                <w:color w:val="auto"/>
              </w:rPr>
            </w:pPr>
          </w:p>
        </w:tc>
      </w:tr>
      <w:tr>
        <w:trPr>
          <w:trHeight w:val="248"/>
        </w:trPr>
        <w:tc>
          <w:tcPr>
            <w:tcW w:w="7500" w:type="dxa"/>
            <w:vAlign w:val="bottom"/>
          </w:tcPr>
          <w:p>
            <w:pPr>
              <w:ind w:left="180"/>
              <w:spacing w:after="0"/>
              <w:rPr>
                <w:sz w:val="20"/>
                <w:szCs w:val="20"/>
                <w:color w:val="auto"/>
              </w:rPr>
            </w:pPr>
            <w:r>
              <w:rPr>
                <w:rFonts w:ascii="Arial" w:cs="Arial" w:eastAsia="Arial" w:hAnsi="Arial"/>
                <w:sz w:val="17"/>
                <w:szCs w:val="17"/>
                <w:color w:val="auto"/>
              </w:rPr>
              <w:t>Net EPS impact</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21"/>
              <w:spacing w:after="0"/>
              <w:rPr>
                <w:sz w:val="20"/>
                <w:szCs w:val="20"/>
                <w:color w:val="auto"/>
              </w:rPr>
            </w:pPr>
            <w:r>
              <w:rPr>
                <w:rFonts w:ascii="Arial" w:cs="Arial" w:eastAsia="Arial" w:hAnsi="Arial"/>
                <w:sz w:val="17"/>
                <w:szCs w:val="17"/>
                <w:color w:val="auto"/>
              </w:rPr>
              <w:t>2.24</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$ 3.13</w:t>
            </w:r>
          </w:p>
        </w:tc>
      </w:tr>
      <w:tr>
        <w:trPr>
          <w:trHeight w:val="24"/>
        </w:trPr>
        <w:tc>
          <w:tcPr>
            <w:tcW w:w="7500" w:type="dxa"/>
            <w:vAlign w:val="bottom"/>
            <w:tcBorders>
              <w:bottom w:val="single" w:sz="8" w:color="3E8EDE"/>
            </w:tcBorders>
          </w:tcPr>
          <w:p>
            <w:pPr>
              <w:spacing w:after="0"/>
              <w:rPr>
                <w:sz w:val="2"/>
                <w:szCs w:val="2"/>
                <w:color w:val="auto"/>
              </w:rPr>
            </w:pPr>
          </w:p>
        </w:tc>
        <w:tc>
          <w:tcPr>
            <w:tcW w:w="200" w:type="dxa"/>
            <w:vAlign w:val="bottom"/>
            <w:tcBorders>
              <w:bottom w:val="single" w:sz="8" w:color="3E8EDE"/>
            </w:tcBorders>
          </w:tcPr>
          <w:p>
            <w:pPr>
              <w:spacing w:after="0"/>
              <w:rPr>
                <w:sz w:val="2"/>
                <w:szCs w:val="2"/>
                <w:color w:val="auto"/>
              </w:rPr>
            </w:pPr>
          </w:p>
        </w:tc>
        <w:tc>
          <w:tcPr>
            <w:tcW w:w="700" w:type="dxa"/>
            <w:vAlign w:val="bottom"/>
            <w:tcBorders>
              <w:bottom w:val="single" w:sz="8" w:color="3E8EDE"/>
            </w:tcBorders>
          </w:tcPr>
          <w:p>
            <w:pPr>
              <w:spacing w:after="0"/>
              <w:rPr>
                <w:sz w:val="2"/>
                <w:szCs w:val="2"/>
                <w:color w:val="auto"/>
              </w:rPr>
            </w:pPr>
          </w:p>
        </w:tc>
        <w:tc>
          <w:tcPr>
            <w:tcW w:w="740" w:type="dxa"/>
            <w:vAlign w:val="bottom"/>
            <w:tcBorders>
              <w:bottom w:val="single" w:sz="8" w:color="3E8EDE"/>
            </w:tcBorders>
          </w:tcPr>
          <w:p>
            <w:pPr>
              <w:spacing w:after="0"/>
              <w:rPr>
                <w:sz w:val="2"/>
                <w:szCs w:val="2"/>
                <w:color w:val="auto"/>
              </w:rPr>
            </w:pPr>
          </w:p>
        </w:tc>
        <w:tc>
          <w:tcPr>
            <w:tcW w:w="220" w:type="dxa"/>
            <w:vAlign w:val="bottom"/>
            <w:tcBorders>
              <w:bottom w:val="single" w:sz="8" w:color="3E8EDE"/>
            </w:tcBorders>
          </w:tcPr>
          <w:p>
            <w:pPr>
              <w:spacing w:after="0"/>
              <w:rPr>
                <w:sz w:val="2"/>
                <w:szCs w:val="2"/>
                <w:color w:val="auto"/>
              </w:rPr>
            </w:pPr>
          </w:p>
        </w:tc>
        <w:tc>
          <w:tcPr>
            <w:tcW w:w="540" w:type="dxa"/>
            <w:vAlign w:val="bottom"/>
            <w:tcBorders>
              <w:bottom w:val="single" w:sz="8" w:color="3E8EDE"/>
            </w:tcBorders>
          </w:tcPr>
          <w:p>
            <w:pPr>
              <w:spacing w:after="0"/>
              <w:rPr>
                <w:sz w:val="2"/>
                <w:szCs w:val="2"/>
                <w:color w:val="auto"/>
              </w:rPr>
            </w:pPr>
          </w:p>
        </w:tc>
        <w:tc>
          <w:tcPr>
            <w:tcW w:w="660" w:type="dxa"/>
            <w:vAlign w:val="bottom"/>
            <w:tcBorders>
              <w:bottom w:val="single" w:sz="8" w:color="3E8EDE"/>
            </w:tcBorders>
          </w:tcPr>
          <w:p>
            <w:pPr>
              <w:spacing w:after="0"/>
              <w:rPr>
                <w:sz w:val="2"/>
                <w:szCs w:val="2"/>
                <w:color w:val="auto"/>
              </w:rPr>
            </w:pPr>
          </w:p>
        </w:tc>
      </w:tr>
      <w:tr>
        <w:trPr>
          <w:trHeight w:val="258"/>
        </w:trPr>
        <w:tc>
          <w:tcPr>
            <w:tcW w:w="7500" w:type="dxa"/>
            <w:vAlign w:val="bottom"/>
            <w:tcBorders>
              <w:bottom w:val="single" w:sz="8" w:color="3E8EDE"/>
            </w:tcBorders>
            <w:shd w:val="clear" w:color="auto" w:fill="E2EEFA"/>
          </w:tcPr>
          <w:p>
            <w:pPr>
              <w:spacing w:after="0"/>
              <w:rPr>
                <w:sz w:val="20"/>
                <w:szCs w:val="20"/>
                <w:color w:val="auto"/>
              </w:rPr>
            </w:pPr>
            <w:r>
              <w:rPr>
                <w:rFonts w:ascii="Arial" w:cs="Arial" w:eastAsia="Arial" w:hAnsi="Arial"/>
                <w:sz w:val="17"/>
                <w:szCs w:val="17"/>
                <w:b w:val="1"/>
                <w:bCs w:val="1"/>
                <w:color w:val="auto"/>
              </w:rPr>
              <w:t>Adjusted</w:t>
            </w:r>
          </w:p>
        </w:tc>
        <w:tc>
          <w:tcPr>
            <w:tcW w:w="20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3E8EDE"/>
            </w:tcBorders>
            <w:shd w:val="clear" w:color="auto" w:fill="E2EEFA"/>
          </w:tcPr>
          <w:p>
            <w:pPr>
              <w:jc w:val="right"/>
              <w:ind w:right="45"/>
              <w:spacing w:after="0"/>
              <w:rPr>
                <w:sz w:val="20"/>
                <w:szCs w:val="20"/>
                <w:color w:val="auto"/>
              </w:rPr>
            </w:pPr>
            <w:r>
              <w:rPr>
                <w:rFonts w:ascii="Arial" w:cs="Arial" w:eastAsia="Arial" w:hAnsi="Arial"/>
                <w:sz w:val="17"/>
                <w:szCs w:val="17"/>
                <w:color w:val="auto"/>
                <w:w w:val="98"/>
              </w:rPr>
              <w:t>1,003.4</w:t>
            </w:r>
          </w:p>
        </w:tc>
        <w:tc>
          <w:tcPr>
            <w:tcW w:w="740" w:type="dxa"/>
            <w:vAlign w:val="bottom"/>
            <w:tcBorders>
              <w:bottom w:val="single" w:sz="8" w:color="3E8EDE"/>
            </w:tcBorders>
            <w:shd w:val="clear" w:color="auto" w:fill="E2EEFA"/>
          </w:tcPr>
          <w:p>
            <w:pPr>
              <w:jc w:val="center"/>
              <w:spacing w:after="0"/>
              <w:rPr>
                <w:sz w:val="20"/>
                <w:szCs w:val="20"/>
                <w:color w:val="auto"/>
              </w:rPr>
            </w:pPr>
            <w:r>
              <w:rPr>
                <w:rFonts w:ascii="Arial" w:cs="Arial" w:eastAsia="Arial" w:hAnsi="Arial"/>
                <w:sz w:val="17"/>
                <w:szCs w:val="17"/>
                <w:color w:val="auto"/>
              </w:rPr>
              <w:t>$924.3</w:t>
            </w:r>
          </w:p>
        </w:tc>
        <w:tc>
          <w:tcPr>
            <w:tcW w:w="22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3E8EDE"/>
            </w:tcBorders>
            <w:shd w:val="clear" w:color="auto" w:fill="E2EEFA"/>
          </w:tcPr>
          <w:p>
            <w:pPr>
              <w:jc w:val="right"/>
              <w:ind w:right="21"/>
              <w:spacing w:after="0"/>
              <w:rPr>
                <w:sz w:val="20"/>
                <w:szCs w:val="20"/>
                <w:color w:val="auto"/>
              </w:rPr>
            </w:pPr>
            <w:r>
              <w:rPr>
                <w:rFonts w:ascii="Arial" w:cs="Arial" w:eastAsia="Arial" w:hAnsi="Arial"/>
                <w:sz w:val="17"/>
                <w:szCs w:val="17"/>
                <w:color w:val="auto"/>
                <w:w w:val="98"/>
              </w:rPr>
              <w:t>10.17</w:t>
            </w:r>
          </w:p>
        </w:tc>
        <w:tc>
          <w:tcPr>
            <w:tcW w:w="660" w:type="dxa"/>
            <w:vAlign w:val="bottom"/>
            <w:tcBorders>
              <w:bottom w:val="single" w:sz="8" w:color="3E8EDE"/>
            </w:tcBorders>
            <w:shd w:val="clear" w:color="auto" w:fill="E2EEFA"/>
          </w:tcPr>
          <w:p>
            <w:pPr>
              <w:jc w:val="center"/>
              <w:spacing w:after="0"/>
              <w:rPr>
                <w:sz w:val="20"/>
                <w:szCs w:val="20"/>
                <w:color w:val="auto"/>
              </w:rPr>
            </w:pPr>
            <w:r>
              <w:rPr>
                <w:rFonts w:ascii="Arial" w:cs="Arial" w:eastAsia="Arial" w:hAnsi="Arial"/>
                <w:sz w:val="17"/>
                <w:szCs w:val="17"/>
                <w:color w:val="auto"/>
                <w:w w:val="92"/>
              </w:rPr>
              <w:t>$ 9.33</w:t>
            </w:r>
          </w:p>
        </w:tc>
      </w:tr>
    </w:tbl>
    <w:p>
      <w:pPr>
        <w:spacing w:after="0" w:line="100" w:lineRule="exact"/>
        <w:rPr>
          <w:sz w:val="20"/>
          <w:szCs w:val="20"/>
          <w:color w:val="auto"/>
        </w:rPr>
      </w:pPr>
    </w:p>
    <w:p>
      <w:pPr>
        <w:ind w:left="760" w:right="160" w:hanging="420"/>
        <w:spacing w:after="0" w:line="246" w:lineRule="auto"/>
        <w:tabs>
          <w:tab w:leader="none" w:pos="7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Adjusted net income and Adjusted diluted EPS excludes the amortization of intangible assets acquired in business combinations, acquisition and divestiture related transaction costs and gains or losses, integration costs related to acquisitions, tax restructuring costs, and certain other unusual or non-recurring items. STERIS believes each of these measures is useful because it excludes items that may not be indicative of or are unrelated to our core operating results and provides a baseline for analyzing trends in our underlying businesses. The tax expense includes both the current and deferred income tax impact of the adjustments and a withholding tax cost incurred in connection with funding an equity-method investment.</w:t>
      </w:r>
    </w:p>
    <w:p>
      <w:pPr>
        <w:spacing w:after="0" w:line="171" w:lineRule="exact"/>
        <w:rPr>
          <w:sz w:val="20"/>
          <w:szCs w:val="20"/>
          <w:color w:val="auto"/>
        </w:rPr>
      </w:pPr>
    </w:p>
    <w:p>
      <w:pPr>
        <w:ind w:left="340" w:right="80"/>
        <w:spacing w:after="0" w:line="251" w:lineRule="auto"/>
        <w:rPr>
          <w:sz w:val="20"/>
          <w:szCs w:val="20"/>
          <w:color w:val="auto"/>
        </w:rPr>
      </w:pPr>
      <w:r>
        <w:rPr>
          <w:rFonts w:ascii="Arial" w:cs="Arial" w:eastAsia="Arial" w:hAnsi="Arial"/>
          <w:sz w:val="17"/>
          <w:szCs w:val="17"/>
          <w:color w:val="auto"/>
        </w:rPr>
        <w:t>Free cash flow is defined by the Company as cash flows from operating activities less purchases of property, plant, equipment and intangibles (capital expenditures) plus proceeds from the sale of property, plant, equipment and intangibles. The Company uses free cash flow as a measure to gauge its ability to fund future debt principal repayments, growth outside of core operations, repurchase shares, and pay cash dividends. STERIS’s calculation of free cash flow may vary from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132715</wp:posOffset>
            </wp:positionV>
            <wp:extent cx="6710045" cy="3784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710045" cy="378460"/>
                    </a:xfrm>
                    <a:prstGeom prst="rect">
                      <a:avLst/>
                    </a:prstGeom>
                    <a:noFill/>
                  </pic:spPr>
                </pic:pic>
              </a:graphicData>
            </a:graphic>
          </wp:anchor>
        </w:drawing>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7220" w:type="dxa"/>
            <w:vAlign w:val="bottom"/>
            <w:shd w:val="clear" w:color="auto" w:fill="3E8EDE"/>
          </w:tcPr>
          <w:p>
            <w:pPr>
              <w:spacing w:after="0"/>
              <w:rPr>
                <w:sz w:val="18"/>
                <w:szCs w:val="18"/>
                <w:color w:val="auto"/>
              </w:rPr>
            </w:pPr>
          </w:p>
        </w:tc>
        <w:tc>
          <w:tcPr>
            <w:tcW w:w="760" w:type="dxa"/>
            <w:vAlign w:val="bottom"/>
            <w:shd w:val="clear" w:color="auto" w:fill="3E8EDE"/>
          </w:tcPr>
          <w:p>
            <w:pPr>
              <w:spacing w:after="0"/>
              <w:rPr>
                <w:sz w:val="18"/>
                <w:szCs w:val="18"/>
                <w:color w:val="auto"/>
              </w:rPr>
            </w:pPr>
          </w:p>
        </w:tc>
        <w:tc>
          <w:tcPr>
            <w:tcW w:w="2580" w:type="dxa"/>
            <w:vAlign w:val="bottom"/>
            <w:gridSpan w:val="3"/>
            <w:shd w:val="clear" w:color="auto" w:fill="3E8EDE"/>
          </w:tcPr>
          <w:p>
            <w:pPr>
              <w:jc w:val="right"/>
              <w:ind w:right="299"/>
              <w:spacing w:after="0"/>
              <w:rPr>
                <w:sz w:val="20"/>
                <w:szCs w:val="20"/>
                <w:color w:val="auto"/>
              </w:rPr>
            </w:pPr>
            <w:r>
              <w:rPr>
                <w:rFonts w:ascii="Arial" w:cs="Arial" w:eastAsia="Arial" w:hAnsi="Arial"/>
                <w:sz w:val="14"/>
                <w:szCs w:val="14"/>
                <w:b w:val="1"/>
                <w:bCs w:val="1"/>
                <w:color w:val="FFFFFF"/>
              </w:rPr>
              <w:t>Twelve Months Ended March 31,</w:t>
            </w:r>
          </w:p>
        </w:tc>
      </w:tr>
      <w:tr>
        <w:trPr>
          <w:trHeight w:val="180"/>
        </w:trPr>
        <w:tc>
          <w:tcPr>
            <w:tcW w:w="7220" w:type="dxa"/>
            <w:vAlign w:val="bottom"/>
            <w:shd w:val="clear" w:color="auto" w:fill="3E8EDE"/>
          </w:tcPr>
          <w:p>
            <w:pPr>
              <w:spacing w:after="0"/>
              <w:rPr>
                <w:sz w:val="15"/>
                <w:szCs w:val="15"/>
                <w:color w:val="auto"/>
              </w:rPr>
            </w:pPr>
          </w:p>
        </w:tc>
        <w:tc>
          <w:tcPr>
            <w:tcW w:w="760" w:type="dxa"/>
            <w:vAlign w:val="bottom"/>
            <w:shd w:val="clear" w:color="auto" w:fill="3E8EDE"/>
          </w:tcPr>
          <w:p>
            <w:pPr>
              <w:spacing w:after="0"/>
              <w:rPr>
                <w:sz w:val="15"/>
                <w:szCs w:val="15"/>
                <w:color w:val="auto"/>
              </w:rPr>
            </w:pPr>
          </w:p>
        </w:tc>
        <w:tc>
          <w:tcPr>
            <w:tcW w:w="920" w:type="dxa"/>
            <w:vAlign w:val="bottom"/>
            <w:shd w:val="clear" w:color="auto" w:fill="3E8EDE"/>
          </w:tcPr>
          <w:p>
            <w:pPr>
              <w:jc w:val="right"/>
              <w:ind w:right="379"/>
              <w:spacing w:after="0"/>
              <w:rPr>
                <w:sz w:val="20"/>
                <w:szCs w:val="20"/>
                <w:color w:val="auto"/>
              </w:rPr>
            </w:pPr>
            <w:r>
              <w:rPr>
                <w:rFonts w:ascii="Arial" w:cs="Arial" w:eastAsia="Arial" w:hAnsi="Arial"/>
                <w:sz w:val="14"/>
                <w:szCs w:val="14"/>
                <w:b w:val="1"/>
                <w:bCs w:val="1"/>
                <w:color w:val="FFFFFF"/>
              </w:rPr>
              <w:t>2026</w:t>
            </w:r>
          </w:p>
        </w:tc>
        <w:tc>
          <w:tcPr>
            <w:tcW w:w="680" w:type="dxa"/>
            <w:vAlign w:val="bottom"/>
            <w:shd w:val="clear" w:color="auto" w:fill="3E8EDE"/>
          </w:tcPr>
          <w:p>
            <w:pPr>
              <w:spacing w:after="0"/>
              <w:rPr>
                <w:sz w:val="15"/>
                <w:szCs w:val="15"/>
                <w:color w:val="auto"/>
              </w:rPr>
            </w:pPr>
          </w:p>
        </w:tc>
        <w:tc>
          <w:tcPr>
            <w:tcW w:w="980" w:type="dxa"/>
            <w:vAlign w:val="bottom"/>
            <w:shd w:val="clear" w:color="auto" w:fill="3E8EDE"/>
          </w:tcPr>
          <w:p>
            <w:pPr>
              <w:jc w:val="right"/>
              <w:ind w:right="359"/>
              <w:spacing w:after="0"/>
              <w:rPr>
                <w:sz w:val="20"/>
                <w:szCs w:val="20"/>
                <w:color w:val="auto"/>
              </w:rPr>
            </w:pPr>
            <w:r>
              <w:rPr>
                <w:rFonts w:ascii="Arial" w:cs="Arial" w:eastAsia="Arial" w:hAnsi="Arial"/>
                <w:sz w:val="14"/>
                <w:szCs w:val="14"/>
                <w:b w:val="1"/>
                <w:bCs w:val="1"/>
                <w:color w:val="FFFFFF"/>
              </w:rPr>
              <w:t>2025</w:t>
            </w:r>
          </w:p>
        </w:tc>
      </w:tr>
      <w:tr>
        <w:trPr>
          <w:trHeight w:val="194"/>
        </w:trPr>
        <w:tc>
          <w:tcPr>
            <w:tcW w:w="7220" w:type="dxa"/>
            <w:vAlign w:val="bottom"/>
            <w:shd w:val="clear" w:color="auto" w:fill="3E8EDE"/>
          </w:tcPr>
          <w:p>
            <w:pPr>
              <w:spacing w:after="0"/>
              <w:rPr>
                <w:sz w:val="16"/>
                <w:szCs w:val="16"/>
                <w:color w:val="auto"/>
              </w:rPr>
            </w:pPr>
          </w:p>
        </w:tc>
        <w:tc>
          <w:tcPr>
            <w:tcW w:w="1680" w:type="dxa"/>
            <w:vAlign w:val="bottom"/>
            <w:gridSpan w:val="2"/>
            <w:shd w:val="clear" w:color="auto" w:fill="3E8EDE"/>
          </w:tcPr>
          <w:p>
            <w:pPr>
              <w:jc w:val="right"/>
              <w:ind w:right="159"/>
              <w:spacing w:after="0"/>
              <w:rPr>
                <w:sz w:val="20"/>
                <w:szCs w:val="20"/>
                <w:color w:val="auto"/>
              </w:rPr>
            </w:pPr>
            <w:r>
              <w:rPr>
                <w:rFonts w:ascii="Arial" w:cs="Arial" w:eastAsia="Arial" w:hAnsi="Arial"/>
                <w:sz w:val="14"/>
                <w:szCs w:val="14"/>
                <w:b w:val="1"/>
                <w:bCs w:val="1"/>
                <w:color w:val="FFFFFF"/>
              </w:rPr>
              <w:t>(Unaudited)</w:t>
            </w:r>
          </w:p>
        </w:tc>
        <w:tc>
          <w:tcPr>
            <w:tcW w:w="680" w:type="dxa"/>
            <w:vAlign w:val="bottom"/>
            <w:shd w:val="clear" w:color="auto" w:fill="3E8EDE"/>
          </w:tcPr>
          <w:p>
            <w:pPr>
              <w:spacing w:after="0"/>
              <w:rPr>
                <w:sz w:val="16"/>
                <w:szCs w:val="16"/>
                <w:color w:val="auto"/>
              </w:rPr>
            </w:pPr>
          </w:p>
        </w:tc>
        <w:tc>
          <w:tcPr>
            <w:tcW w:w="980" w:type="dxa"/>
            <w:vAlign w:val="bottom"/>
            <w:shd w:val="clear" w:color="auto" w:fill="3E8EDE"/>
          </w:tcPr>
          <w:p>
            <w:pPr>
              <w:jc w:val="right"/>
              <w:ind w:right="139"/>
              <w:spacing w:after="0"/>
              <w:rPr>
                <w:sz w:val="20"/>
                <w:szCs w:val="20"/>
                <w:color w:val="auto"/>
              </w:rPr>
            </w:pPr>
            <w:r>
              <w:rPr>
                <w:rFonts w:ascii="Arial" w:cs="Arial" w:eastAsia="Arial" w:hAnsi="Arial"/>
                <w:sz w:val="14"/>
                <w:szCs w:val="14"/>
                <w:b w:val="1"/>
                <w:bCs w:val="1"/>
                <w:color w:val="FFFFFF"/>
                <w:w w:val="95"/>
              </w:rPr>
              <w:t>(Unaudited)</w:t>
            </w:r>
          </w:p>
        </w:tc>
      </w:tr>
      <w:tr>
        <w:trPr>
          <w:trHeight w:val="285"/>
        </w:trPr>
        <w:tc>
          <w:tcPr>
            <w:tcW w:w="7220" w:type="dxa"/>
            <w:vAlign w:val="bottom"/>
            <w:shd w:val="clear" w:color="auto" w:fill="E2EEFA"/>
          </w:tcPr>
          <w:p>
            <w:pPr>
              <w:spacing w:after="0"/>
              <w:rPr>
                <w:sz w:val="20"/>
                <w:szCs w:val="20"/>
                <w:color w:val="auto"/>
              </w:rPr>
            </w:pPr>
            <w:r>
              <w:rPr>
                <w:rFonts w:ascii="Arial" w:cs="Arial" w:eastAsia="Arial" w:hAnsi="Arial"/>
                <w:sz w:val="17"/>
                <w:szCs w:val="17"/>
                <w:b w:val="1"/>
                <w:bCs w:val="1"/>
                <w:color w:val="auto"/>
              </w:rPr>
              <w:t>Calculation of Free Cash Flow (in millions):</w:t>
            </w:r>
          </w:p>
        </w:tc>
        <w:tc>
          <w:tcPr>
            <w:tcW w:w="760" w:type="dxa"/>
            <w:vAlign w:val="bottom"/>
            <w:shd w:val="clear" w:color="auto" w:fill="E2EEFA"/>
          </w:tcPr>
          <w:p>
            <w:pPr>
              <w:spacing w:after="0"/>
              <w:rPr>
                <w:sz w:val="24"/>
                <w:szCs w:val="24"/>
                <w:color w:val="auto"/>
              </w:rPr>
            </w:pPr>
          </w:p>
        </w:tc>
        <w:tc>
          <w:tcPr>
            <w:tcW w:w="920" w:type="dxa"/>
            <w:vAlign w:val="bottom"/>
            <w:shd w:val="clear" w:color="auto" w:fill="E2EEFA"/>
          </w:tcPr>
          <w:p>
            <w:pPr>
              <w:spacing w:after="0"/>
              <w:rPr>
                <w:sz w:val="24"/>
                <w:szCs w:val="24"/>
                <w:color w:val="auto"/>
              </w:rPr>
            </w:pPr>
          </w:p>
        </w:tc>
        <w:tc>
          <w:tcPr>
            <w:tcW w:w="680" w:type="dxa"/>
            <w:vAlign w:val="bottom"/>
            <w:shd w:val="clear" w:color="auto" w:fill="E2EEFA"/>
          </w:tcPr>
          <w:p>
            <w:pPr>
              <w:spacing w:after="0"/>
              <w:rPr>
                <w:sz w:val="24"/>
                <w:szCs w:val="24"/>
                <w:color w:val="auto"/>
              </w:rPr>
            </w:pPr>
          </w:p>
        </w:tc>
        <w:tc>
          <w:tcPr>
            <w:tcW w:w="980" w:type="dxa"/>
            <w:vAlign w:val="bottom"/>
            <w:shd w:val="clear" w:color="auto" w:fill="E2EEFA"/>
          </w:tcPr>
          <w:p>
            <w:pPr>
              <w:spacing w:after="0"/>
              <w:rPr>
                <w:sz w:val="24"/>
                <w:szCs w:val="24"/>
                <w:color w:val="auto"/>
              </w:rPr>
            </w:pPr>
          </w:p>
        </w:tc>
      </w:tr>
      <w:tr>
        <w:trPr>
          <w:trHeight w:val="248"/>
        </w:trPr>
        <w:tc>
          <w:tcPr>
            <w:tcW w:w="7220" w:type="dxa"/>
            <w:vAlign w:val="bottom"/>
          </w:tcPr>
          <w:p>
            <w:pPr>
              <w:ind w:left="180"/>
              <w:spacing w:after="0"/>
              <w:rPr>
                <w:sz w:val="20"/>
                <w:szCs w:val="20"/>
                <w:color w:val="auto"/>
              </w:rPr>
            </w:pPr>
            <w:r>
              <w:rPr>
                <w:rFonts w:ascii="Arial" w:cs="Arial" w:eastAsia="Arial" w:hAnsi="Arial"/>
                <w:sz w:val="17"/>
                <w:szCs w:val="17"/>
                <w:color w:val="auto"/>
              </w:rPr>
              <w:t>Cash flows from operating activities</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9"/>
              <w:spacing w:after="0"/>
              <w:rPr>
                <w:sz w:val="20"/>
                <w:szCs w:val="20"/>
                <w:color w:val="auto"/>
              </w:rPr>
            </w:pPr>
            <w:r>
              <w:rPr>
                <w:rFonts w:ascii="Arial" w:cs="Arial" w:eastAsia="Arial" w:hAnsi="Arial"/>
                <w:sz w:val="17"/>
                <w:szCs w:val="17"/>
                <w:color w:val="auto"/>
              </w:rPr>
              <w:t>1,341.4</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1,148.1</w:t>
            </w:r>
          </w:p>
        </w:tc>
      </w:tr>
      <w:tr>
        <w:trPr>
          <w:trHeight w:val="24"/>
        </w:trPr>
        <w:tc>
          <w:tcPr>
            <w:tcW w:w="7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2"/>
        </w:trPr>
        <w:tc>
          <w:tcPr>
            <w:tcW w:w="7220" w:type="dxa"/>
            <w:vAlign w:val="bottom"/>
            <w:tcBorders>
              <w:bottom w:val="single" w:sz="8" w:color="E2EEFA"/>
            </w:tcBorders>
            <w:shd w:val="clear" w:color="auto" w:fill="E2EEFA"/>
          </w:tcPr>
          <w:p>
            <w:pPr>
              <w:ind w:left="180"/>
              <w:spacing w:after="0"/>
              <w:rPr>
                <w:sz w:val="20"/>
                <w:szCs w:val="20"/>
                <w:color w:val="auto"/>
              </w:rPr>
            </w:pPr>
            <w:r>
              <w:rPr>
                <w:rFonts w:ascii="Arial" w:cs="Arial" w:eastAsia="Arial" w:hAnsi="Arial"/>
                <w:sz w:val="17"/>
                <w:szCs w:val="17"/>
                <w:color w:val="auto"/>
              </w:rPr>
              <w:t>Purchases of property, plant, equipment, and intangibles, net</w:t>
            </w:r>
          </w:p>
        </w:tc>
        <w:tc>
          <w:tcPr>
            <w:tcW w:w="760" w:type="dxa"/>
            <w:vAlign w:val="bottom"/>
            <w:tcBorders>
              <w:bottom w:val="single" w:sz="8" w:color="E2EEFA"/>
            </w:tcBorders>
            <w:shd w:val="clear" w:color="auto" w:fill="E2EEFA"/>
          </w:tcPr>
          <w:p>
            <w:pPr>
              <w:spacing w:after="0"/>
              <w:rPr>
                <w:sz w:val="21"/>
                <w:szCs w:val="21"/>
                <w:color w:val="auto"/>
              </w:rPr>
            </w:pPr>
          </w:p>
        </w:tc>
        <w:tc>
          <w:tcPr>
            <w:tcW w:w="92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7"/>
                <w:szCs w:val="17"/>
                <w:color w:val="auto"/>
              </w:rPr>
              <w:t>(369.0)</w:t>
            </w:r>
          </w:p>
        </w:tc>
        <w:tc>
          <w:tcPr>
            <w:tcW w:w="680" w:type="dxa"/>
            <w:vAlign w:val="bottom"/>
            <w:tcBorders>
              <w:bottom w:val="single" w:sz="8" w:color="E2EEFA"/>
            </w:tcBorders>
            <w:shd w:val="clear" w:color="auto" w:fill="E2EEFA"/>
          </w:tcPr>
          <w:p>
            <w:pPr>
              <w:spacing w:after="0"/>
              <w:rPr>
                <w:sz w:val="21"/>
                <w:szCs w:val="21"/>
                <w:color w:val="auto"/>
              </w:rPr>
            </w:pPr>
          </w:p>
        </w:tc>
        <w:tc>
          <w:tcPr>
            <w:tcW w:w="980" w:type="dxa"/>
            <w:vAlign w:val="bottom"/>
            <w:tcBorders>
              <w:bottom w:val="single" w:sz="8" w:color="E2EEFA"/>
            </w:tcBorders>
            <w:shd w:val="clear" w:color="auto" w:fill="E2EEFA"/>
          </w:tcPr>
          <w:p>
            <w:pPr>
              <w:jc w:val="right"/>
              <w:spacing w:after="0"/>
              <w:rPr>
                <w:sz w:val="20"/>
                <w:szCs w:val="20"/>
                <w:color w:val="auto"/>
              </w:rPr>
            </w:pPr>
            <w:r>
              <w:rPr>
                <w:rFonts w:ascii="Arial" w:cs="Arial" w:eastAsia="Arial" w:hAnsi="Arial"/>
                <w:sz w:val="17"/>
                <w:szCs w:val="17"/>
                <w:color w:val="auto"/>
              </w:rPr>
              <w:t>(370.1)</w:t>
            </w:r>
          </w:p>
        </w:tc>
      </w:tr>
      <w:tr>
        <w:trPr>
          <w:trHeight w:val="248"/>
        </w:trPr>
        <w:tc>
          <w:tcPr>
            <w:tcW w:w="7220" w:type="dxa"/>
            <w:vAlign w:val="bottom"/>
          </w:tcPr>
          <w:p>
            <w:pPr>
              <w:ind w:left="180"/>
              <w:spacing w:after="0"/>
              <w:rPr>
                <w:sz w:val="20"/>
                <w:szCs w:val="20"/>
                <w:color w:val="auto"/>
              </w:rPr>
            </w:pPr>
            <w:r>
              <w:rPr>
                <w:rFonts w:ascii="Arial" w:cs="Arial" w:eastAsia="Arial" w:hAnsi="Arial"/>
                <w:sz w:val="17"/>
                <w:szCs w:val="17"/>
                <w:color w:val="auto"/>
              </w:rPr>
              <w:t>Proceeds from the sale of property, plant, equipment, and intangibles</w:t>
            </w:r>
          </w:p>
        </w:tc>
        <w:tc>
          <w:tcPr>
            <w:tcW w:w="76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7"/>
                <w:szCs w:val="17"/>
                <w:color w:val="auto"/>
              </w:rPr>
              <w:t>10.5</w:t>
            </w:r>
          </w:p>
        </w:tc>
        <w:tc>
          <w:tcPr>
            <w:tcW w:w="6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9.2</w:t>
            </w:r>
          </w:p>
        </w:tc>
      </w:tr>
      <w:tr>
        <w:trPr>
          <w:trHeight w:val="24"/>
        </w:trPr>
        <w:tc>
          <w:tcPr>
            <w:tcW w:w="7220" w:type="dxa"/>
            <w:vAlign w:val="bottom"/>
            <w:tcBorders>
              <w:bottom w:val="single" w:sz="8" w:color="3E8EDE"/>
            </w:tcBorders>
          </w:tcPr>
          <w:p>
            <w:pPr>
              <w:spacing w:after="0"/>
              <w:rPr>
                <w:sz w:val="2"/>
                <w:szCs w:val="2"/>
                <w:color w:val="auto"/>
              </w:rPr>
            </w:pPr>
          </w:p>
        </w:tc>
        <w:tc>
          <w:tcPr>
            <w:tcW w:w="760" w:type="dxa"/>
            <w:vAlign w:val="bottom"/>
            <w:tcBorders>
              <w:bottom w:val="single" w:sz="8" w:color="3E8EDE"/>
            </w:tcBorders>
          </w:tcPr>
          <w:p>
            <w:pPr>
              <w:spacing w:after="0"/>
              <w:rPr>
                <w:sz w:val="2"/>
                <w:szCs w:val="2"/>
                <w:color w:val="auto"/>
              </w:rPr>
            </w:pPr>
          </w:p>
        </w:tc>
        <w:tc>
          <w:tcPr>
            <w:tcW w:w="920" w:type="dxa"/>
            <w:vAlign w:val="bottom"/>
            <w:tcBorders>
              <w:bottom w:val="single" w:sz="8" w:color="3E8EDE"/>
            </w:tcBorders>
          </w:tcPr>
          <w:p>
            <w:pPr>
              <w:spacing w:after="0"/>
              <w:rPr>
                <w:sz w:val="2"/>
                <w:szCs w:val="2"/>
                <w:color w:val="auto"/>
              </w:rPr>
            </w:pPr>
          </w:p>
        </w:tc>
        <w:tc>
          <w:tcPr>
            <w:tcW w:w="680" w:type="dxa"/>
            <w:vAlign w:val="bottom"/>
            <w:tcBorders>
              <w:bottom w:val="single" w:sz="8" w:color="3E8EDE"/>
            </w:tcBorders>
          </w:tcPr>
          <w:p>
            <w:pPr>
              <w:spacing w:after="0"/>
              <w:rPr>
                <w:sz w:val="2"/>
                <w:szCs w:val="2"/>
                <w:color w:val="auto"/>
              </w:rPr>
            </w:pPr>
          </w:p>
        </w:tc>
        <w:tc>
          <w:tcPr>
            <w:tcW w:w="980" w:type="dxa"/>
            <w:vAlign w:val="bottom"/>
            <w:tcBorders>
              <w:bottom w:val="single" w:sz="8" w:color="3E8EDE"/>
            </w:tcBorders>
          </w:tcPr>
          <w:p>
            <w:pPr>
              <w:spacing w:after="0"/>
              <w:rPr>
                <w:sz w:val="2"/>
                <w:szCs w:val="2"/>
                <w:color w:val="auto"/>
              </w:rPr>
            </w:pPr>
          </w:p>
        </w:tc>
      </w:tr>
      <w:tr>
        <w:trPr>
          <w:trHeight w:val="258"/>
        </w:trPr>
        <w:tc>
          <w:tcPr>
            <w:tcW w:w="7220" w:type="dxa"/>
            <w:vAlign w:val="bottom"/>
            <w:tcBorders>
              <w:bottom w:val="single" w:sz="8" w:color="3E8EDE"/>
            </w:tcBorders>
            <w:shd w:val="clear" w:color="auto" w:fill="E2EEFA"/>
          </w:tcPr>
          <w:p>
            <w:pPr>
              <w:spacing w:after="0"/>
              <w:rPr>
                <w:sz w:val="20"/>
                <w:szCs w:val="20"/>
                <w:color w:val="auto"/>
              </w:rPr>
            </w:pPr>
            <w:r>
              <w:rPr>
                <w:rFonts w:ascii="Arial" w:cs="Arial" w:eastAsia="Arial" w:hAnsi="Arial"/>
                <w:sz w:val="17"/>
                <w:szCs w:val="17"/>
                <w:b w:val="1"/>
                <w:bCs w:val="1"/>
                <w:color w:val="auto"/>
              </w:rPr>
              <w:t>Free Cash Flow</w:t>
            </w:r>
          </w:p>
        </w:tc>
        <w:tc>
          <w:tcPr>
            <w:tcW w:w="76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3E8EDE"/>
            </w:tcBorders>
            <w:shd w:val="clear" w:color="auto" w:fill="E2EEFA"/>
          </w:tcPr>
          <w:p>
            <w:pPr>
              <w:jc w:val="right"/>
              <w:ind w:right="59"/>
              <w:spacing w:after="0"/>
              <w:rPr>
                <w:sz w:val="20"/>
                <w:szCs w:val="20"/>
                <w:color w:val="auto"/>
              </w:rPr>
            </w:pPr>
            <w:r>
              <w:rPr>
                <w:rFonts w:ascii="Arial" w:cs="Arial" w:eastAsia="Arial" w:hAnsi="Arial"/>
                <w:sz w:val="17"/>
                <w:szCs w:val="17"/>
                <w:color w:val="auto"/>
              </w:rPr>
              <w:t>982.9</w:t>
            </w:r>
          </w:p>
        </w:tc>
        <w:tc>
          <w:tcPr>
            <w:tcW w:w="680" w:type="dxa"/>
            <w:vAlign w:val="bottom"/>
            <w:tcBorders>
              <w:bottom w:val="single" w:sz="8" w:color="3E8EDE"/>
            </w:tcBorders>
            <w:shd w:val="clear" w:color="auto" w:fill="E2EEFA"/>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3E8EDE"/>
            </w:tcBorders>
            <w:shd w:val="clear" w:color="auto" w:fill="E2EEFA"/>
          </w:tcPr>
          <w:p>
            <w:pPr>
              <w:jc w:val="right"/>
              <w:ind w:right="19"/>
              <w:spacing w:after="0"/>
              <w:rPr>
                <w:sz w:val="20"/>
                <w:szCs w:val="20"/>
                <w:color w:val="auto"/>
              </w:rPr>
            </w:pPr>
            <w:r>
              <w:rPr>
                <w:rFonts w:ascii="Arial" w:cs="Arial" w:eastAsia="Arial" w:hAnsi="Arial"/>
                <w:sz w:val="17"/>
                <w:szCs w:val="17"/>
                <w:color w:val="auto"/>
              </w:rPr>
              <w:t>787.2</w:t>
            </w:r>
          </w:p>
        </w:tc>
      </w:tr>
    </w:tbl>
    <w:p>
      <w:pPr>
        <w:spacing w:after="0" w:line="1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E8EDE"/>
        </w:rPr>
        <w:t xml:space="preserve">Notice of Annual Meeting of Shareholders </w:t>
      </w:r>
      <w:r>
        <w:rPr>
          <w:rFonts w:ascii="Arial" w:cs="Arial" w:eastAsia="Arial" w:hAnsi="Arial"/>
          <w:sz w:val="16"/>
          <w:szCs w:val="16"/>
          <w:color w:val="000000"/>
        </w:rPr>
        <w:t>and 2026 Proxy Statement  A-1</w:t>
      </w:r>
    </w:p>
    <w:p>
      <w:pPr>
        <w:sectPr>
          <w:pgSz w:w="11900" w:h="16838" w:orient="portrait"/>
          <w:cols w:equalWidth="0" w:num="1">
            <w:col w:w="10900"/>
          </w:cols>
          <w:pgMar w:left="320" w:top="469" w:right="6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209550</wp:posOffset>
            </wp:positionV>
            <wp:extent cx="1595120" cy="3949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595120" cy="394970"/>
                    </a:xfrm>
                    <a:prstGeom prst="rect">
                      <a:avLst/>
                    </a:prstGeom>
                    <a:noFill/>
                  </pic:spPr>
                </pic:pic>
              </a:graphicData>
            </a:graphic>
          </wp:anchor>
        </w:drawing>
      </w:r>
    </w:p>
    <w:p>
      <w:pPr>
        <w:sectPr>
          <w:pgSz w:w="11900" w:h="16838" w:orient="portrait"/>
          <w:cols w:equalWidth="0" w:num="1">
            <w:col w:w="10920"/>
          </w:cols>
          <w:pgMar w:left="320" w:top="469" w:right="659" w:bottom="1440" w:gutter="0" w:footer="0" w:header="0"/>
        </w:sectPr>
      </w:pPr>
    </w:p>
    <w:p>
      <w:pPr>
        <w:spacing w:after="0" w:line="330" w:lineRule="exact"/>
        <w:rPr>
          <w:sz w:val="20"/>
          <w:szCs w:val="20"/>
          <w:color w:val="auto"/>
        </w:rPr>
      </w:pPr>
    </w:p>
    <w:p>
      <w:pPr>
        <w:ind w:left="660"/>
        <w:spacing w:after="0"/>
        <w:rPr>
          <w:sz w:val="20"/>
          <w:szCs w:val="20"/>
          <w:color w:val="auto"/>
        </w:rPr>
      </w:pPr>
      <w:r>
        <w:rPr>
          <w:rFonts w:ascii="Arial" w:cs="Arial" w:eastAsia="Arial" w:hAnsi="Arial"/>
          <w:sz w:val="11"/>
          <w:szCs w:val="11"/>
          <w:color w:val="auto"/>
        </w:rPr>
        <w:t xml:space="preserve">  </w:t>
      </w:r>
      <w:r>
        <w:rPr>
          <w:sz w:val="1"/>
          <w:szCs w:val="1"/>
          <w:color w:val="auto"/>
        </w:rPr>
        <w:drawing>
          <wp:inline distT="0" distB="0" distL="0" distR="0">
            <wp:extent cx="1036320" cy="222250"/>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036320" cy="222250"/>
                    </a:xfrm>
                    <a:prstGeom prst="rect">
                      <a:avLst/>
                    </a:prstGeom>
                    <a:noFill/>
                    <a:ln>
                      <a:noFill/>
                    </a:ln>
                  </pic:spPr>
                </pic:pic>
              </a:graphicData>
            </a:graphic>
          </wp:inline>
        </w:drawing>
      </w:r>
    </w:p>
    <w:p>
      <w:pPr>
        <w:spacing w:after="0" w:line="56" w:lineRule="exact"/>
        <w:rPr>
          <w:sz w:val="20"/>
          <w:szCs w:val="20"/>
          <w:color w:val="auto"/>
        </w:rPr>
      </w:pPr>
    </w:p>
    <w:p>
      <w:pPr>
        <w:ind w:left="760" w:hanging="102"/>
        <w:spacing w:after="0"/>
        <w:tabs>
          <w:tab w:leader="none" w:pos="760" w:val="left"/>
        </w:tabs>
        <w:numPr>
          <w:ilvl w:val="0"/>
          <w:numId w:val="64"/>
        </w:numPr>
        <w:rPr>
          <w:rFonts w:ascii="Arial" w:cs="Arial" w:eastAsia="Arial" w:hAnsi="Arial"/>
          <w:sz w:val="10"/>
          <w:szCs w:val="10"/>
          <w:i w:val="1"/>
          <w:iCs w:val="1"/>
          <w:color w:val="auto"/>
        </w:rPr>
      </w:pPr>
      <w:r>
        <w:rPr>
          <w:rFonts w:ascii="Arial" w:cs="Arial" w:eastAsia="Arial" w:hAnsi="Arial"/>
          <w:sz w:val="10"/>
          <w:szCs w:val="10"/>
          <w:i w:val="1"/>
          <w:iCs w:val="1"/>
          <w:color w:val="auto"/>
        </w:rPr>
        <w:t>STERIS plc</w:t>
      </w:r>
    </w:p>
    <w:p>
      <w:pPr>
        <w:spacing w:after="0" w:line="9" w:lineRule="exact"/>
        <w:rPr>
          <w:rFonts w:ascii="Arial" w:cs="Arial" w:eastAsia="Arial" w:hAnsi="Arial"/>
          <w:sz w:val="10"/>
          <w:szCs w:val="10"/>
          <w:i w:val="1"/>
          <w:iCs w:val="1"/>
          <w:color w:val="auto"/>
        </w:rPr>
      </w:pPr>
    </w:p>
    <w:p>
      <w:pPr>
        <w:ind w:left="760" w:hanging="102"/>
        <w:spacing w:after="0"/>
        <w:tabs>
          <w:tab w:leader="none" w:pos="760" w:val="left"/>
        </w:tabs>
        <w:numPr>
          <w:ilvl w:val="0"/>
          <w:numId w:val="64"/>
        </w:numPr>
        <w:rPr>
          <w:rFonts w:ascii="Arial" w:cs="Arial" w:eastAsia="Arial" w:hAnsi="Arial"/>
          <w:sz w:val="10"/>
          <w:szCs w:val="10"/>
          <w:i w:val="1"/>
          <w:iCs w:val="1"/>
          <w:color w:val="auto"/>
        </w:rPr>
      </w:pPr>
      <w:r>
        <w:rPr>
          <w:rFonts w:ascii="Arial" w:cs="Arial" w:eastAsia="Arial" w:hAnsi="Arial"/>
          <w:sz w:val="10"/>
          <w:szCs w:val="10"/>
          <w:i w:val="1"/>
          <w:iCs w:val="1"/>
          <w:color w:val="auto"/>
        </w:rPr>
        <w:t>70 SIR JOHN ROGERSON’S QUAY</w:t>
      </w:r>
    </w:p>
    <w:p>
      <w:pPr>
        <w:spacing w:after="0" w:line="1" w:lineRule="exact"/>
        <w:rPr>
          <w:rFonts w:ascii="Arial" w:cs="Arial" w:eastAsia="Arial" w:hAnsi="Arial"/>
          <w:sz w:val="10"/>
          <w:szCs w:val="10"/>
          <w:i w:val="1"/>
          <w:iCs w:val="1"/>
          <w:color w:val="auto"/>
        </w:rPr>
      </w:pPr>
    </w:p>
    <w:p>
      <w:pPr>
        <w:ind w:left="760" w:hanging="102"/>
        <w:spacing w:after="0"/>
        <w:tabs>
          <w:tab w:leader="none" w:pos="760" w:val="left"/>
        </w:tabs>
        <w:numPr>
          <w:ilvl w:val="0"/>
          <w:numId w:val="64"/>
        </w:numPr>
        <w:rPr>
          <w:rFonts w:ascii="Arial" w:cs="Arial" w:eastAsia="Arial" w:hAnsi="Arial"/>
          <w:sz w:val="10"/>
          <w:szCs w:val="10"/>
          <w:i w:val="1"/>
          <w:iCs w:val="1"/>
          <w:color w:val="auto"/>
        </w:rPr>
      </w:pPr>
      <w:r>
        <w:rPr>
          <w:rFonts w:ascii="Arial" w:cs="Arial" w:eastAsia="Arial" w:hAnsi="Arial"/>
          <w:sz w:val="10"/>
          <w:szCs w:val="10"/>
          <w:i w:val="1"/>
          <w:iCs w:val="1"/>
          <w:color w:val="auto"/>
        </w:rPr>
        <w:t>DUBLIN 2, IRELAND</w:t>
      </w:r>
    </w:p>
    <w:p>
      <w:pPr>
        <w:spacing w:after="0" w:line="1" w:lineRule="exact"/>
        <w:rPr>
          <w:rFonts w:ascii="Arial" w:cs="Arial" w:eastAsia="Arial" w:hAnsi="Arial"/>
          <w:sz w:val="10"/>
          <w:szCs w:val="10"/>
          <w:i w:val="1"/>
          <w:iCs w:val="1"/>
          <w:color w:val="auto"/>
        </w:rPr>
      </w:pPr>
    </w:p>
    <w:p>
      <w:pPr>
        <w:ind w:left="760" w:hanging="102"/>
        <w:spacing w:after="0"/>
        <w:tabs>
          <w:tab w:leader="none" w:pos="760" w:val="left"/>
        </w:tabs>
        <w:numPr>
          <w:ilvl w:val="0"/>
          <w:numId w:val="64"/>
        </w:numPr>
        <w:rPr>
          <w:rFonts w:ascii="Arial" w:cs="Arial" w:eastAsia="Arial" w:hAnsi="Arial"/>
          <w:sz w:val="10"/>
          <w:szCs w:val="10"/>
          <w:i w:val="1"/>
          <w:iCs w:val="1"/>
          <w:color w:val="auto"/>
        </w:rPr>
      </w:pPr>
      <w:r>
        <w:rPr>
          <w:rFonts w:ascii="Arial" w:cs="Arial" w:eastAsia="Arial" w:hAnsi="Arial"/>
          <w:sz w:val="10"/>
          <w:szCs w:val="10"/>
          <w:i w:val="1"/>
          <w:iCs w:val="1"/>
          <w:color w:val="auto"/>
        </w:rPr>
        <w:t>(COMPANY NUMBER 595593)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 </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ELECTRONIC DELIVERY OF FUTURE PROXY MATERIALS</w:t>
      </w:r>
    </w:p>
    <w:p>
      <w:pPr>
        <w:spacing w:after="0" w:line="3" w:lineRule="exact"/>
        <w:rPr>
          <w:sz w:val="20"/>
          <w:szCs w:val="20"/>
          <w:color w:val="auto"/>
        </w:rPr>
      </w:pPr>
    </w:p>
    <w:p>
      <w:pPr>
        <w:jc w:val="both"/>
        <w:ind w:right="320"/>
        <w:spacing w:after="0" w:line="251" w:lineRule="auto"/>
        <w:rPr>
          <w:sz w:val="20"/>
          <w:szCs w:val="20"/>
          <w:color w:val="auto"/>
        </w:rPr>
      </w:pPr>
      <w:r>
        <w:rPr>
          <w:rFonts w:ascii="Arial" w:cs="Arial" w:eastAsia="Arial" w:hAnsi="Arial"/>
          <w:sz w:val="11"/>
          <w:szCs w:val="11"/>
          <w:color w:val="auto"/>
        </w:rPr>
        <w:t>If you would like to reduce the costs incurred by our company in mailing proxy materials, you can consent to receiving all future proxy statements, proxy cards and annual reports electronically via the Internet. To sign up for electronic delivery, please follow the instructions below to vote using the Internet and, when prompted, indicate that you agree to receive or access proxy materials electronically in future years.</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VOTE BY INTERNET - </w:t>
      </w:r>
      <w:r>
        <w:rPr>
          <w:rFonts w:ascii="Arial" w:cs="Arial" w:eastAsia="Arial" w:hAnsi="Arial"/>
          <w:sz w:val="11"/>
          <w:szCs w:val="11"/>
          <w:b w:val="1"/>
          <w:bCs w:val="1"/>
          <w:u w:val="single" w:color="auto"/>
          <w:color w:val="auto"/>
        </w:rPr>
        <w:t>www.proxyvote.com</w:t>
      </w:r>
      <w:r>
        <w:rPr>
          <w:rFonts w:ascii="Arial" w:cs="Arial" w:eastAsia="Arial" w:hAnsi="Arial"/>
          <w:sz w:val="11"/>
          <w:szCs w:val="11"/>
          <w:b w:val="1"/>
          <w:bCs w:val="1"/>
          <w:color w:val="auto"/>
        </w:rPr>
        <w:t xml:space="preserve"> or scan the QR Barcode above</w:t>
      </w:r>
    </w:p>
    <w:p>
      <w:pPr>
        <w:spacing w:after="0" w:line="13" w:lineRule="exact"/>
        <w:rPr>
          <w:sz w:val="20"/>
          <w:szCs w:val="20"/>
          <w:color w:val="auto"/>
        </w:rPr>
      </w:pPr>
    </w:p>
    <w:p>
      <w:pPr>
        <w:jc w:val="both"/>
        <w:ind w:right="340"/>
        <w:spacing w:after="0" w:line="250" w:lineRule="auto"/>
        <w:rPr>
          <w:sz w:val="20"/>
          <w:szCs w:val="20"/>
          <w:color w:val="auto"/>
        </w:rPr>
      </w:pPr>
      <w:r>
        <w:rPr>
          <w:rFonts w:ascii="Arial" w:cs="Arial" w:eastAsia="Arial" w:hAnsi="Arial"/>
          <w:sz w:val="11"/>
          <w:szCs w:val="11"/>
          <w:color w:val="auto"/>
        </w:rPr>
        <w:t xml:space="preserve">Use the Internet to transmit your voting instructions and for electronic delivery of information. Please Note: </w:t>
      </w:r>
      <w:r>
        <w:rPr>
          <w:rFonts w:ascii="Arial" w:cs="Arial" w:eastAsia="Arial" w:hAnsi="Arial"/>
          <w:sz w:val="11"/>
          <w:szCs w:val="11"/>
          <w:b w:val="1"/>
          <w:bCs w:val="1"/>
          <w:color w:val="auto"/>
        </w:rPr>
        <w:t>The cut off for voting by proxy is 4:59 a.m. Irish Standard Time on Thursday, July 30, 2026</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(11:59 p.m. Eastern Daylight Time on Wednesday, July 29, 2026). </w:t>
      </w:r>
      <w:r>
        <w:rPr>
          <w:rFonts w:ascii="Arial" w:cs="Arial" w:eastAsia="Arial" w:hAnsi="Arial"/>
          <w:sz w:val="11"/>
          <w:szCs w:val="11"/>
          <w:color w:val="auto"/>
        </w:rPr>
        <w:t>Have your proxy card in hand</w:t>
      </w:r>
      <w:r>
        <w:rPr>
          <w:rFonts w:ascii="Arial" w:cs="Arial" w:eastAsia="Arial" w:hAnsi="Arial"/>
          <w:sz w:val="11"/>
          <w:szCs w:val="11"/>
          <w:b w:val="1"/>
          <w:bCs w:val="1"/>
          <w:color w:val="auto"/>
        </w:rPr>
        <w:t xml:space="preserve"> </w:t>
      </w:r>
      <w:r>
        <w:rPr>
          <w:rFonts w:ascii="Arial" w:cs="Arial" w:eastAsia="Arial" w:hAnsi="Arial"/>
          <w:sz w:val="11"/>
          <w:szCs w:val="11"/>
          <w:color w:val="auto"/>
        </w:rPr>
        <w:t>when you access the web site and follow the instructions to obtain your records and to create an electronic voting instruction form.</w:t>
      </w:r>
    </w:p>
    <w:p>
      <w:pPr>
        <w:spacing w:after="0" w:line="5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PHONE - 1-800-690-6903</w:t>
      </w:r>
    </w:p>
    <w:p>
      <w:pPr>
        <w:spacing w:after="0" w:line="13" w:lineRule="exact"/>
        <w:rPr>
          <w:sz w:val="20"/>
          <w:szCs w:val="20"/>
          <w:color w:val="auto"/>
        </w:rPr>
      </w:pPr>
    </w:p>
    <w:p>
      <w:pPr>
        <w:jc w:val="both"/>
        <w:ind w:right="320"/>
        <w:spacing w:after="0" w:line="252" w:lineRule="auto"/>
        <w:rPr>
          <w:sz w:val="20"/>
          <w:szCs w:val="20"/>
          <w:color w:val="auto"/>
        </w:rPr>
      </w:pPr>
      <w:r>
        <w:rPr>
          <w:rFonts w:ascii="Arial" w:cs="Arial" w:eastAsia="Arial" w:hAnsi="Arial"/>
          <w:sz w:val="11"/>
          <w:szCs w:val="11"/>
          <w:color w:val="auto"/>
        </w:rPr>
        <w:t xml:space="preserve">Use any touch-tone telephone to transmit your voting instructions. Please Note: </w:t>
      </w:r>
      <w:r>
        <w:rPr>
          <w:rFonts w:ascii="Arial" w:cs="Arial" w:eastAsia="Arial" w:hAnsi="Arial"/>
          <w:sz w:val="11"/>
          <w:szCs w:val="11"/>
          <w:b w:val="1"/>
          <w:bCs w:val="1"/>
          <w:color w:val="auto"/>
        </w:rPr>
        <w:t>The cut off for voting</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by proxy is 4:59 a.m. Irish Standard Time on Thursday, July 30, 2026 (11:59 p.m. Eastern Daylight Time on Wednesday, July 29, 2026). </w:t>
      </w:r>
      <w:r>
        <w:rPr>
          <w:rFonts w:ascii="Arial" w:cs="Arial" w:eastAsia="Arial" w:hAnsi="Arial"/>
          <w:sz w:val="11"/>
          <w:szCs w:val="11"/>
          <w:color w:val="auto"/>
        </w:rPr>
        <w:t>Have your proxy card in hand when you call and then follow the</w:t>
      </w:r>
      <w:r>
        <w:rPr>
          <w:rFonts w:ascii="Arial" w:cs="Arial" w:eastAsia="Arial" w:hAnsi="Arial"/>
          <w:sz w:val="11"/>
          <w:szCs w:val="11"/>
          <w:b w:val="1"/>
          <w:bCs w:val="1"/>
          <w:color w:val="auto"/>
        </w:rPr>
        <w:t xml:space="preserve"> </w:t>
      </w:r>
      <w:r>
        <w:rPr>
          <w:rFonts w:ascii="Arial" w:cs="Arial" w:eastAsia="Arial" w:hAnsi="Arial"/>
          <w:sz w:val="11"/>
          <w:szCs w:val="11"/>
          <w:color w:val="auto"/>
        </w:rPr>
        <w:t>instructions.</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MAIL</w:t>
      </w:r>
    </w:p>
    <w:p>
      <w:pPr>
        <w:spacing w:after="0" w:line="13" w:lineRule="exact"/>
        <w:rPr>
          <w:sz w:val="20"/>
          <w:szCs w:val="20"/>
          <w:color w:val="auto"/>
        </w:rPr>
      </w:pPr>
    </w:p>
    <w:p>
      <w:pPr>
        <w:jc w:val="both"/>
        <w:ind w:right="340"/>
        <w:spacing w:after="0" w:line="250" w:lineRule="auto"/>
        <w:rPr>
          <w:sz w:val="20"/>
          <w:szCs w:val="20"/>
          <w:color w:val="auto"/>
        </w:rPr>
      </w:pPr>
      <w:r>
        <w:rPr>
          <w:rFonts w:ascii="Arial" w:cs="Arial" w:eastAsia="Arial" w:hAnsi="Arial"/>
          <w:sz w:val="11"/>
          <w:szCs w:val="11"/>
          <w:color w:val="auto"/>
        </w:rPr>
        <w:t xml:space="preserve">Mark, sign and date your proxy card and return it in the postage-paid envelope we have provided or return it to arrive by </w:t>
      </w:r>
      <w:r>
        <w:rPr>
          <w:rFonts w:ascii="Arial" w:cs="Arial" w:eastAsia="Arial" w:hAnsi="Arial"/>
          <w:sz w:val="11"/>
          <w:szCs w:val="11"/>
          <w:b w:val="1"/>
          <w:bCs w:val="1"/>
          <w:color w:val="auto"/>
        </w:rPr>
        <w:t>4:59 a.m. Irish Standard Time on Thursday, July 30, 2026 (11:59 p.m. Eastern</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Daylight Time on Wednesday, July 29, 2026). </w:t>
      </w:r>
      <w:r>
        <w:rPr>
          <w:rFonts w:ascii="Arial" w:cs="Arial" w:eastAsia="Arial" w:hAnsi="Arial"/>
          <w:sz w:val="11"/>
          <w:szCs w:val="11"/>
          <w:color w:val="auto"/>
        </w:rPr>
        <w:t>Vote Processing, c/o Broadridge, 51 Mercedes Way,</w:t>
      </w:r>
      <w:r>
        <w:rPr>
          <w:rFonts w:ascii="Arial" w:cs="Arial" w:eastAsia="Arial" w:hAnsi="Arial"/>
          <w:sz w:val="11"/>
          <w:szCs w:val="11"/>
          <w:b w:val="1"/>
          <w:bCs w:val="1"/>
          <w:color w:val="auto"/>
        </w:rPr>
        <w:t xml:space="preserve"> </w:t>
      </w:r>
      <w:r>
        <w:rPr>
          <w:rFonts w:ascii="Arial" w:cs="Arial" w:eastAsia="Arial" w:hAnsi="Arial"/>
          <w:sz w:val="11"/>
          <w:szCs w:val="11"/>
          <w:color w:val="auto"/>
        </w:rPr>
        <w:t>Edgewood, NY 11717. All proxy cards received will be forwarded to the Company’s registered office in Ireland electronically.</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401(K) PLAN PARTICIPANTS</w:t>
      </w:r>
    </w:p>
    <w:p>
      <w:pPr>
        <w:spacing w:after="0" w:line="4" w:lineRule="exact"/>
        <w:rPr>
          <w:sz w:val="20"/>
          <w:szCs w:val="20"/>
          <w:color w:val="auto"/>
        </w:rPr>
      </w:pPr>
    </w:p>
    <w:p>
      <w:pPr>
        <w:jc w:val="both"/>
        <w:ind w:right="340"/>
        <w:spacing w:after="0" w:line="241" w:lineRule="auto"/>
        <w:rPr>
          <w:sz w:val="20"/>
          <w:szCs w:val="20"/>
          <w:color w:val="auto"/>
        </w:rPr>
      </w:pPr>
      <w:r>
        <w:rPr>
          <w:rFonts w:ascii="Arial" w:cs="Arial" w:eastAsia="Arial" w:hAnsi="Arial"/>
          <w:sz w:val="12"/>
          <w:szCs w:val="12"/>
          <w:color w:val="auto"/>
        </w:rPr>
        <w:t>Your voting instructions must be received no later than 4:59 a.m. Irish Standard Time on Sunday, July 26, 2026 (11:59 p.m. Eastern Daylight Time on Saturday, July 25, 2026).</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Use any of the voting methods above to submit your voting instructions.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spacing w:after="0"/>
        <w:tabs>
          <w:tab w:leader="none" w:pos="2940" w:val="left"/>
        </w:tabs>
        <w:rPr>
          <w:sz w:val="20"/>
          <w:szCs w:val="20"/>
          <w:color w:val="auto"/>
        </w:rPr>
      </w:pPr>
      <w:r>
        <w:rPr>
          <w:rFonts w:ascii="Arial" w:cs="Arial" w:eastAsia="Arial" w:hAnsi="Arial"/>
          <w:sz w:val="12"/>
          <w:szCs w:val="12"/>
          <w:color w:val="auto"/>
        </w:rPr>
        <w:t xml:space="preserve">T00534-P54079-Z93081                      </w:t>
      </w:r>
      <w:r>
        <w:rPr>
          <w:sz w:val="20"/>
          <w:szCs w:val="20"/>
          <w:color w:val="auto"/>
        </w:rPr>
        <w:tab/>
      </w:r>
      <w:r>
        <w:rPr>
          <w:rFonts w:ascii="Arial" w:cs="Arial" w:eastAsia="Arial" w:hAnsi="Arial"/>
          <w:sz w:val="11"/>
          <w:szCs w:val="11"/>
          <w:color w:val="auto"/>
        </w:rPr>
        <w:t>KEEP THIS PORTION FOR YOUR RECORDS</w:t>
      </w:r>
    </w:p>
    <w:p>
      <w:pPr>
        <w:spacing w:after="0" w:line="2" w:lineRule="exact"/>
        <w:rPr>
          <w:sz w:val="20"/>
          <w:szCs w:val="20"/>
          <w:color w:val="auto"/>
        </w:rPr>
      </w:pPr>
    </w:p>
    <w:p>
      <w:pPr>
        <w:sectPr>
          <w:pgSz w:w="11900" w:h="16838" w:orient="portrait"/>
          <w:cols w:equalWidth="0" w:num="2">
            <w:col w:w="4720" w:space="720"/>
            <w:col w:w="5480"/>
          </w:cols>
          <w:pgMar w:left="320" w:top="469" w:right="65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 — — — — — — — — — — — — — — — — — — — — — — — — — — — — — — — — — — — — — — — — — — — — — — — — — — </w:t>
      </w:r>
    </w:p>
    <w:tbl>
      <w:tblPr>
        <w:tblLayout w:type="fixed"/>
        <w:tblInd w:w="380" w:type="dxa"/>
        <w:tblCellMar>
          <w:top w:w="0" w:type="dxa"/>
          <w:left w:w="0" w:type="dxa"/>
          <w:bottom w:w="0" w:type="dxa"/>
          <w:right w:w="0" w:type="dxa"/>
        </w:tblCellMar>
      </w:tblPr>
      <w:tr>
        <w:trPr>
          <w:trHeight w:val="159"/>
        </w:trPr>
        <w:tc>
          <w:tcPr>
            <w:tcW w:w="7540" w:type="dxa"/>
            <w:vAlign w:val="bottom"/>
            <w:vMerge w:val="restart"/>
          </w:tcPr>
          <w:p>
            <w:pPr>
              <w:ind w:left="3400"/>
              <w:spacing w:after="0"/>
              <w:rPr>
                <w:sz w:val="20"/>
                <w:szCs w:val="20"/>
                <w:color w:val="auto"/>
              </w:rPr>
            </w:pPr>
            <w:r>
              <w:rPr>
                <w:rFonts w:ascii="Arial" w:cs="Arial" w:eastAsia="Arial" w:hAnsi="Arial"/>
                <w:sz w:val="12"/>
                <w:szCs w:val="12"/>
                <w:b w:val="1"/>
                <w:bCs w:val="1"/>
                <w:color w:val="auto"/>
              </w:rPr>
              <w:t>THIS PROXY CARD IS VALID ONLY WHEN SIGNED AND DATED.</w:t>
            </w:r>
          </w:p>
        </w:tc>
        <w:tc>
          <w:tcPr>
            <w:tcW w:w="2980" w:type="dxa"/>
            <w:vAlign w:val="bottom"/>
            <w:gridSpan w:val="3"/>
          </w:tcPr>
          <w:p>
            <w:pPr>
              <w:ind w:left="440"/>
              <w:spacing w:after="0"/>
              <w:rPr>
                <w:sz w:val="20"/>
                <w:szCs w:val="20"/>
                <w:color w:val="auto"/>
              </w:rPr>
            </w:pPr>
            <w:r>
              <w:rPr>
                <w:rFonts w:ascii="Arial" w:cs="Arial" w:eastAsia="Arial" w:hAnsi="Arial"/>
                <w:sz w:val="12"/>
                <w:szCs w:val="12"/>
                <w:color w:val="auto"/>
                <w:w w:val="98"/>
              </w:rPr>
              <w:t>DETACH AND RETURN THIS PORTION ONLY</w:t>
            </w:r>
          </w:p>
        </w:tc>
        <w:tc>
          <w:tcPr>
            <w:tcW w:w="0" w:type="dxa"/>
            <w:vAlign w:val="bottom"/>
          </w:tcPr>
          <w:p>
            <w:pPr>
              <w:spacing w:after="0"/>
              <w:rPr>
                <w:sz w:val="1"/>
                <w:szCs w:val="1"/>
                <w:color w:val="auto"/>
              </w:rPr>
            </w:pPr>
          </w:p>
        </w:tc>
      </w:tr>
      <w:tr>
        <w:trPr>
          <w:trHeight w:val="124"/>
        </w:trPr>
        <w:tc>
          <w:tcPr>
            <w:tcW w:w="754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7540" w:type="dxa"/>
            <w:vAlign w:val="bottom"/>
          </w:tcPr>
          <w:p>
            <w:pPr>
              <w:spacing w:after="0"/>
              <w:rPr>
                <w:sz w:val="20"/>
                <w:szCs w:val="20"/>
                <w:color w:val="auto"/>
              </w:rPr>
            </w:pPr>
            <w:r>
              <w:rPr>
                <w:rFonts w:ascii="Arial" w:cs="Arial" w:eastAsia="Arial" w:hAnsi="Arial"/>
                <w:sz w:val="10"/>
                <w:szCs w:val="10"/>
                <w:b w:val="1"/>
                <w:bCs w:val="1"/>
                <w:color w:val="auto"/>
              </w:rPr>
              <w:t>   STERIS plc</w:t>
            </w:r>
          </w:p>
        </w:tc>
        <w:tc>
          <w:tcPr>
            <w:tcW w:w="1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7540" w:type="dxa"/>
            <w:vAlign w:val="bottom"/>
            <w:vMerge w:val="restart"/>
          </w:tcPr>
          <w:p>
            <w:pPr>
              <w:ind w:left="420"/>
              <w:spacing w:after="0"/>
              <w:rPr>
                <w:sz w:val="20"/>
                <w:szCs w:val="20"/>
                <w:color w:val="auto"/>
              </w:rPr>
            </w:pPr>
            <w:r>
              <w:rPr>
                <w:rFonts w:ascii="Arial" w:cs="Arial" w:eastAsia="Arial" w:hAnsi="Arial"/>
                <w:sz w:val="10"/>
                <w:szCs w:val="10"/>
                <w:b w:val="1"/>
                <w:bCs w:val="1"/>
                <w:color w:val="auto"/>
              </w:rPr>
              <w:t>The Board of Directors recommends you vote “FOR” all of the nominees listed below:</w:t>
            </w:r>
          </w:p>
        </w:tc>
        <w:tc>
          <w:tcPr>
            <w:tcW w:w="188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7540" w:type="dxa"/>
            <w:vAlign w:val="bottom"/>
            <w:vMerge w:val="continue"/>
          </w:tcPr>
          <w:p>
            <w:pPr>
              <w:spacing w:after="0"/>
              <w:rPr>
                <w:sz w:val="16"/>
                <w:szCs w:val="16"/>
                <w:color w:val="auto"/>
              </w:rPr>
            </w:pPr>
          </w:p>
        </w:tc>
        <w:tc>
          <w:tcPr>
            <w:tcW w:w="1880" w:type="dxa"/>
            <w:vAlign w:val="bottom"/>
          </w:tcPr>
          <w:p>
            <w:pPr>
              <w:spacing w:after="0"/>
              <w:rPr>
                <w:sz w:val="16"/>
                <w:szCs w:val="16"/>
                <w:color w:val="auto"/>
              </w:rPr>
            </w:pPr>
          </w:p>
        </w:tc>
        <w:tc>
          <w:tcPr>
            <w:tcW w:w="7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7"/>
                <w:szCs w:val="17"/>
                <w:color w:val="auto"/>
              </w:rPr>
              <w:t xml:space="preserve">       </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540" w:type="dxa"/>
            <w:vAlign w:val="bottom"/>
          </w:tcPr>
          <w:p>
            <w:pPr>
              <w:ind w:left="2640"/>
              <w:spacing w:after="0"/>
              <w:rPr>
                <w:sz w:val="20"/>
                <w:szCs w:val="20"/>
                <w:color w:val="auto"/>
              </w:rPr>
            </w:pPr>
            <w:r>
              <w:rPr>
                <w:rFonts w:ascii="Arial" w:cs="Arial" w:eastAsia="Arial" w:hAnsi="Arial"/>
                <w:sz w:val="12"/>
                <w:szCs w:val="12"/>
                <w:b w:val="1"/>
                <w:bCs w:val="1"/>
                <w:color w:val="auto"/>
              </w:rPr>
              <w:t xml:space="preserve">    </w:t>
            </w:r>
          </w:p>
        </w:tc>
        <w:tc>
          <w:tcPr>
            <w:tcW w:w="1880" w:type="dxa"/>
            <w:vAlign w:val="bottom"/>
          </w:tcPr>
          <w:p>
            <w:pPr>
              <w:spacing w:after="0"/>
              <w:rPr>
                <w:sz w:val="13"/>
                <w:szCs w:val="13"/>
                <w:color w:val="auto"/>
              </w:rPr>
            </w:pPr>
          </w:p>
        </w:tc>
        <w:tc>
          <w:tcPr>
            <w:tcW w:w="740" w:type="dxa"/>
            <w:vAlign w:val="bottom"/>
            <w:tcBorders>
              <w:right w:val="single" w:sz="8" w:color="auto"/>
            </w:tcBorders>
            <w:vMerge w:val="continue"/>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-431165</wp:posOffset>
            </wp:positionV>
            <wp:extent cx="6718935" cy="44577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718935" cy="4457700"/>
                    </a:xfrm>
                    <a:prstGeom prst="rect">
                      <a:avLst/>
                    </a:prstGeom>
                    <a:noFill/>
                  </pic:spPr>
                </pic:pic>
              </a:graphicData>
            </a:graphic>
          </wp:anchor>
        </w:drawing>
      </w:r>
    </w:p>
    <w:p>
      <w:pPr>
        <w:spacing w:after="0" w:line="145" w:lineRule="exact"/>
        <w:rPr>
          <w:sz w:val="20"/>
          <w:szCs w:val="20"/>
          <w:color w:val="auto"/>
        </w:rPr>
      </w:pPr>
    </w:p>
    <w:p>
      <w:pPr>
        <w:ind w:left="1100" w:hanging="362"/>
        <w:spacing w:after="0"/>
        <w:tabs>
          <w:tab w:leader="none" w:pos="1100" w:val="left"/>
        </w:tabs>
        <w:numPr>
          <w:ilvl w:val="0"/>
          <w:numId w:val="65"/>
        </w:numPr>
        <w:rPr>
          <w:rFonts w:ascii="Arial" w:cs="Arial" w:eastAsia="Arial" w:hAnsi="Arial"/>
          <w:sz w:val="9"/>
          <w:szCs w:val="9"/>
          <w:color w:val="auto"/>
        </w:rPr>
      </w:pPr>
      <w:r>
        <w:rPr>
          <w:rFonts w:ascii="Arial" w:cs="Arial" w:eastAsia="Arial" w:hAnsi="Arial"/>
          <w:sz w:val="9"/>
          <w:szCs w:val="9"/>
          <w:b w:val="1"/>
          <w:bCs w:val="1"/>
          <w:color w:val="auto"/>
        </w:rPr>
        <w:t>Election of Directors</w:t>
      </w:r>
    </w:p>
    <w:p>
      <w:pPr>
        <w:spacing w:after="0" w:line="76" w:lineRule="exact"/>
        <w:rPr>
          <w:sz w:val="20"/>
          <w:szCs w:val="20"/>
          <w:color w:val="auto"/>
        </w:rPr>
      </w:pPr>
    </w:p>
    <w:tbl>
      <w:tblPr>
        <w:tblLayout w:type="fixed"/>
        <w:tblInd w:w="1100" w:type="dxa"/>
        <w:tblCellMar>
          <w:top w:w="0" w:type="dxa"/>
          <w:left w:w="0" w:type="dxa"/>
          <w:bottom w:w="0" w:type="dxa"/>
          <w:right w:w="0" w:type="dxa"/>
        </w:tblCellMar>
      </w:tblPr>
      <w:tr>
        <w:trPr>
          <w:trHeight w:val="165"/>
        </w:trPr>
        <w:tc>
          <w:tcPr>
            <w:tcW w:w="1700" w:type="dxa"/>
            <w:vAlign w:val="bottom"/>
          </w:tcPr>
          <w:p>
            <w:pPr>
              <w:spacing w:after="0"/>
              <w:rPr>
                <w:sz w:val="20"/>
                <w:szCs w:val="20"/>
                <w:color w:val="auto"/>
              </w:rPr>
            </w:pPr>
            <w:r>
              <w:rPr>
                <w:rFonts w:ascii="Arial" w:cs="Arial" w:eastAsia="Arial" w:hAnsi="Arial"/>
                <w:sz w:val="9"/>
                <w:szCs w:val="9"/>
                <w:b w:val="1"/>
                <w:bCs w:val="1"/>
                <w:color w:val="auto"/>
              </w:rPr>
              <w:t>Nominees:</w:t>
            </w:r>
          </w:p>
        </w:tc>
        <w:tc>
          <w:tcPr>
            <w:tcW w:w="2740" w:type="dxa"/>
            <w:vAlign w:val="bottom"/>
          </w:tcPr>
          <w:p>
            <w:pPr>
              <w:ind w:left="1220"/>
              <w:spacing w:after="0"/>
              <w:rPr>
                <w:sz w:val="20"/>
                <w:szCs w:val="20"/>
                <w:color w:val="auto"/>
              </w:rPr>
            </w:pPr>
            <w:r>
              <w:rPr>
                <w:rFonts w:ascii="Arial" w:cs="Arial" w:eastAsia="Arial" w:hAnsi="Arial"/>
                <w:sz w:val="12"/>
                <w:szCs w:val="12"/>
                <w:b w:val="1"/>
                <w:bCs w:val="1"/>
                <w:color w:val="auto"/>
              </w:rPr>
              <w:t>For  Against  Abstain</w:t>
            </w:r>
          </w:p>
        </w:tc>
        <w:tc>
          <w:tcPr>
            <w:tcW w:w="240" w:type="dxa"/>
            <w:vAlign w:val="bottom"/>
            <w:vMerge w:val="restart"/>
          </w:tcPr>
          <w:p>
            <w:pPr>
              <w:ind w:left="200"/>
              <w:spacing w:after="0"/>
              <w:rPr>
                <w:sz w:val="20"/>
                <w:szCs w:val="20"/>
                <w:color w:val="auto"/>
              </w:rPr>
            </w:pPr>
            <w:r>
              <w:rPr>
                <w:rFonts w:ascii="Arial" w:cs="Arial" w:eastAsia="Arial" w:hAnsi="Arial"/>
                <w:sz w:val="2"/>
                <w:szCs w:val="2"/>
                <w:color w:val="auto"/>
                <w:w w:val="97"/>
              </w:rPr>
              <w:t> </w:t>
            </w:r>
          </w:p>
        </w:tc>
        <w:tc>
          <w:tcPr>
            <w:tcW w:w="0" w:type="dxa"/>
            <w:vAlign w:val="bottom"/>
          </w:tcPr>
          <w:p>
            <w:pPr>
              <w:spacing w:after="0"/>
              <w:rPr>
                <w:sz w:val="1"/>
                <w:szCs w:val="1"/>
                <w:color w:val="auto"/>
              </w:rPr>
            </w:pPr>
          </w:p>
        </w:tc>
      </w:tr>
      <w:tr>
        <w:trPr>
          <w:trHeight w:val="152"/>
        </w:trPr>
        <w:tc>
          <w:tcPr>
            <w:tcW w:w="17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20"/>
          </w:cols>
          <w:pgMar w:left="320" w:top="469" w:right="659" w:bottom="1440" w:gutter="0" w:footer="0" w:header="0"/>
          <w:type w:val="continuous"/>
        </w:sectPr>
      </w:pPr>
    </w:p>
    <w:tbl>
      <w:tblPr>
        <w:tblLayout w:type="fixed"/>
        <w:tblInd w:w="1100" w:type="dxa"/>
        <w:tblCellMar>
          <w:top w:w="0" w:type="dxa"/>
          <w:left w:w="0" w:type="dxa"/>
          <w:bottom w:w="0" w:type="dxa"/>
          <w:right w:w="0" w:type="dxa"/>
        </w:tblCellMar>
      </w:tblPr>
      <w:tr>
        <w:trPr>
          <w:trHeight w:val="202"/>
        </w:trPr>
        <w:tc>
          <w:tcPr>
            <w:tcW w:w="280" w:type="dxa"/>
            <w:vAlign w:val="bottom"/>
          </w:tcPr>
          <w:p>
            <w:pPr>
              <w:spacing w:after="0"/>
              <w:rPr>
                <w:sz w:val="20"/>
                <w:szCs w:val="20"/>
                <w:color w:val="auto"/>
              </w:rPr>
            </w:pPr>
            <w:r>
              <w:rPr>
                <w:rFonts w:ascii="Arial" w:cs="Arial" w:eastAsia="Arial" w:hAnsi="Arial"/>
                <w:sz w:val="9"/>
                <w:szCs w:val="9"/>
                <w:color w:val="auto"/>
              </w:rPr>
              <w:t>1a.</w:t>
            </w:r>
          </w:p>
        </w:tc>
        <w:tc>
          <w:tcPr>
            <w:tcW w:w="1900" w:type="dxa"/>
            <w:vAlign w:val="bottom"/>
          </w:tcPr>
          <w:p>
            <w:pPr>
              <w:ind w:left="140"/>
              <w:spacing w:after="0"/>
              <w:rPr>
                <w:sz w:val="20"/>
                <w:szCs w:val="20"/>
                <w:color w:val="auto"/>
              </w:rPr>
            </w:pPr>
            <w:r>
              <w:rPr>
                <w:rFonts w:ascii="Arial" w:cs="Arial" w:eastAsia="Arial" w:hAnsi="Arial"/>
                <w:sz w:val="9"/>
                <w:szCs w:val="9"/>
                <w:color w:val="auto"/>
              </w:rPr>
              <w:t>Dr. Esther M. Alegria</w:t>
            </w:r>
          </w:p>
        </w:tc>
        <w:tc>
          <w:tcPr>
            <w:tcW w:w="1100" w:type="dxa"/>
            <w:vAlign w:val="bottom"/>
          </w:tcPr>
          <w:p>
            <w:pPr>
              <w:ind w:left="800"/>
              <w:spacing w:after="0" w:line="121" w:lineRule="exact"/>
              <w:rPr>
                <w:sz w:val="20"/>
                <w:szCs w:val="20"/>
                <w:color w:val="auto"/>
              </w:rPr>
            </w:pPr>
            <w:r>
              <w:rPr>
                <w:rFonts w:ascii="MS PGothic" w:cs="MS PGothic" w:eastAsia="MS PGothic" w:hAnsi="MS PGothic"/>
                <w:sz w:val="12"/>
                <w:szCs w:val="12"/>
                <w:color w:val="auto"/>
              </w:rPr>
              <w:t>☐</w:t>
            </w:r>
          </w:p>
        </w:tc>
        <w:tc>
          <w:tcPr>
            <w:tcW w:w="62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w:t>
            </w:r>
          </w:p>
        </w:tc>
        <w:tc>
          <w:tcPr>
            <w:tcW w:w="320" w:type="dxa"/>
            <w:vAlign w:val="bottom"/>
          </w:tcPr>
          <w:p>
            <w:pPr>
              <w:ind w:left="160"/>
              <w:spacing w:after="0" w:line="104" w:lineRule="exact"/>
              <w:rPr>
                <w:sz w:val="20"/>
                <w:szCs w:val="20"/>
                <w:color w:val="auto"/>
              </w:rPr>
            </w:pPr>
            <w:r>
              <w:rPr>
                <w:rFonts w:ascii="MS PGothic" w:cs="MS PGothic" w:eastAsia="MS PGothic" w:hAnsi="MS PGothic"/>
                <w:sz w:val="9"/>
                <w:szCs w:val="9"/>
                <w:color w:val="auto"/>
                <w:w w:val="70"/>
              </w:rPr>
              <w:t>☐</w:t>
            </w:r>
            <w:r>
              <w:rPr>
                <w:rFonts w:ascii="Arial" w:cs="Arial" w:eastAsia="Arial" w:hAnsi="Arial"/>
                <w:sz w:val="9"/>
                <w:szCs w:val="9"/>
                <w:b w:val="1"/>
                <w:bCs w:val="1"/>
                <w:color w:val="auto"/>
                <w:w w:val="70"/>
              </w:rPr>
              <w:t>  </w:t>
            </w:r>
          </w:p>
        </w:tc>
      </w:tr>
      <w:tr>
        <w:trPr>
          <w:trHeight w:val="291"/>
        </w:trPr>
        <w:tc>
          <w:tcPr>
            <w:tcW w:w="280" w:type="dxa"/>
            <w:vAlign w:val="bottom"/>
          </w:tcPr>
          <w:p>
            <w:pPr>
              <w:spacing w:after="0"/>
              <w:rPr>
                <w:sz w:val="20"/>
                <w:szCs w:val="20"/>
                <w:color w:val="auto"/>
              </w:rPr>
            </w:pPr>
            <w:r>
              <w:rPr>
                <w:rFonts w:ascii="Arial" w:cs="Arial" w:eastAsia="Arial" w:hAnsi="Arial"/>
                <w:sz w:val="9"/>
                <w:szCs w:val="9"/>
                <w:color w:val="auto"/>
              </w:rPr>
              <w:t>1b.</w:t>
            </w:r>
          </w:p>
        </w:tc>
        <w:tc>
          <w:tcPr>
            <w:tcW w:w="1900" w:type="dxa"/>
            <w:vAlign w:val="bottom"/>
          </w:tcPr>
          <w:p>
            <w:pPr>
              <w:ind w:left="140"/>
              <w:spacing w:after="0"/>
              <w:rPr>
                <w:sz w:val="20"/>
                <w:szCs w:val="20"/>
                <w:color w:val="auto"/>
              </w:rPr>
            </w:pPr>
            <w:r>
              <w:rPr>
                <w:rFonts w:ascii="Arial" w:cs="Arial" w:eastAsia="Arial" w:hAnsi="Arial"/>
                <w:sz w:val="9"/>
                <w:szCs w:val="9"/>
                <w:color w:val="auto"/>
              </w:rPr>
              <w:t>Pierre Boulud</w:t>
            </w:r>
          </w:p>
        </w:tc>
        <w:tc>
          <w:tcPr>
            <w:tcW w:w="1100" w:type="dxa"/>
            <w:vAlign w:val="bottom"/>
          </w:tcPr>
          <w:p>
            <w:pPr>
              <w:ind w:left="800"/>
              <w:spacing w:after="0" w:line="121" w:lineRule="exact"/>
              <w:rPr>
                <w:sz w:val="20"/>
                <w:szCs w:val="20"/>
                <w:color w:val="auto"/>
              </w:rPr>
            </w:pPr>
            <w:r>
              <w:rPr>
                <w:rFonts w:ascii="MS PGothic" w:cs="MS PGothic" w:eastAsia="MS PGothic" w:hAnsi="MS PGothic"/>
                <w:sz w:val="12"/>
                <w:szCs w:val="12"/>
                <w:color w:val="auto"/>
              </w:rPr>
              <w:t>☐</w:t>
            </w:r>
          </w:p>
        </w:tc>
        <w:tc>
          <w:tcPr>
            <w:tcW w:w="62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b w:val="1"/>
                <w:bCs w:val="1"/>
                <w:color w:val="auto"/>
              </w:rPr>
              <w:t>  </w:t>
            </w:r>
          </w:p>
        </w:tc>
        <w:tc>
          <w:tcPr>
            <w:tcW w:w="320" w:type="dxa"/>
            <w:vAlign w:val="bottom"/>
          </w:tcPr>
          <w:p>
            <w:pPr>
              <w:ind w:left="160"/>
              <w:spacing w:after="0" w:line="104" w:lineRule="exact"/>
              <w:rPr>
                <w:sz w:val="20"/>
                <w:szCs w:val="20"/>
                <w:color w:val="auto"/>
              </w:rPr>
            </w:pPr>
            <w:r>
              <w:rPr>
                <w:rFonts w:ascii="MS PGothic" w:cs="MS PGothic" w:eastAsia="MS PGothic" w:hAnsi="MS PGothic"/>
                <w:sz w:val="9"/>
                <w:szCs w:val="9"/>
                <w:color w:val="auto"/>
                <w:w w:val="70"/>
              </w:rPr>
              <w:t>☐</w:t>
            </w:r>
            <w:r>
              <w:rPr>
                <w:rFonts w:ascii="Arial" w:cs="Arial" w:eastAsia="Arial" w:hAnsi="Arial"/>
                <w:sz w:val="9"/>
                <w:szCs w:val="9"/>
                <w:b w:val="1"/>
                <w:bCs w:val="1"/>
                <w:color w:val="auto"/>
                <w:w w:val="70"/>
              </w:rPr>
              <w:t>  </w:t>
            </w:r>
          </w:p>
        </w:tc>
      </w:tr>
      <w:tr>
        <w:trPr>
          <w:trHeight w:val="311"/>
        </w:trPr>
        <w:tc>
          <w:tcPr>
            <w:tcW w:w="280" w:type="dxa"/>
            <w:vAlign w:val="bottom"/>
          </w:tcPr>
          <w:p>
            <w:pPr>
              <w:spacing w:after="0"/>
              <w:rPr>
                <w:sz w:val="20"/>
                <w:szCs w:val="20"/>
                <w:color w:val="auto"/>
              </w:rPr>
            </w:pPr>
            <w:r>
              <w:rPr>
                <w:rFonts w:ascii="Arial" w:cs="Arial" w:eastAsia="Arial" w:hAnsi="Arial"/>
                <w:sz w:val="9"/>
                <w:szCs w:val="9"/>
                <w:color w:val="auto"/>
              </w:rPr>
              <w:t>1c.</w:t>
            </w:r>
          </w:p>
        </w:tc>
        <w:tc>
          <w:tcPr>
            <w:tcW w:w="1900" w:type="dxa"/>
            <w:vAlign w:val="bottom"/>
          </w:tcPr>
          <w:p>
            <w:pPr>
              <w:ind w:left="140"/>
              <w:spacing w:after="0"/>
              <w:rPr>
                <w:sz w:val="20"/>
                <w:szCs w:val="20"/>
                <w:color w:val="auto"/>
              </w:rPr>
            </w:pPr>
            <w:r>
              <w:rPr>
                <w:rFonts w:ascii="Arial" w:cs="Arial" w:eastAsia="Arial" w:hAnsi="Arial"/>
                <w:sz w:val="9"/>
                <w:szCs w:val="9"/>
                <w:color w:val="auto"/>
              </w:rPr>
              <w:t>Daniel A. Carestio</w:t>
            </w:r>
          </w:p>
        </w:tc>
        <w:tc>
          <w:tcPr>
            <w:tcW w:w="1100" w:type="dxa"/>
            <w:vAlign w:val="bottom"/>
          </w:tcPr>
          <w:p>
            <w:pPr>
              <w:ind w:left="800"/>
              <w:spacing w:after="0" w:line="121" w:lineRule="exact"/>
              <w:rPr>
                <w:sz w:val="20"/>
                <w:szCs w:val="20"/>
                <w:color w:val="auto"/>
              </w:rPr>
            </w:pPr>
            <w:r>
              <w:rPr>
                <w:rFonts w:ascii="MS PGothic" w:cs="MS PGothic" w:eastAsia="MS PGothic" w:hAnsi="MS PGothic"/>
                <w:sz w:val="12"/>
                <w:szCs w:val="12"/>
                <w:color w:val="auto"/>
              </w:rPr>
              <w:t>☐</w:t>
            </w:r>
          </w:p>
        </w:tc>
        <w:tc>
          <w:tcPr>
            <w:tcW w:w="62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b w:val="1"/>
                <w:bCs w:val="1"/>
                <w:color w:val="auto"/>
              </w:rPr>
              <w:t>  </w:t>
            </w:r>
          </w:p>
        </w:tc>
        <w:tc>
          <w:tcPr>
            <w:tcW w:w="320" w:type="dxa"/>
            <w:vAlign w:val="bottom"/>
          </w:tcPr>
          <w:p>
            <w:pPr>
              <w:ind w:left="160"/>
              <w:spacing w:after="0" w:line="104" w:lineRule="exact"/>
              <w:rPr>
                <w:sz w:val="20"/>
                <w:szCs w:val="20"/>
                <w:color w:val="auto"/>
              </w:rPr>
            </w:pPr>
            <w:r>
              <w:rPr>
                <w:rFonts w:ascii="MS PGothic" w:cs="MS PGothic" w:eastAsia="MS PGothic" w:hAnsi="MS PGothic"/>
                <w:sz w:val="9"/>
                <w:szCs w:val="9"/>
                <w:color w:val="auto"/>
                <w:w w:val="70"/>
              </w:rPr>
              <w:t>☐</w:t>
            </w:r>
            <w:r>
              <w:rPr>
                <w:rFonts w:ascii="Arial" w:cs="Arial" w:eastAsia="Arial" w:hAnsi="Arial"/>
                <w:sz w:val="9"/>
                <w:szCs w:val="9"/>
                <w:b w:val="1"/>
                <w:bCs w:val="1"/>
                <w:color w:val="auto"/>
                <w:w w:val="70"/>
              </w:rPr>
              <w:t>  </w:t>
            </w:r>
          </w:p>
        </w:tc>
      </w:tr>
      <w:tr>
        <w:trPr>
          <w:trHeight w:val="311"/>
        </w:trPr>
        <w:tc>
          <w:tcPr>
            <w:tcW w:w="280" w:type="dxa"/>
            <w:vAlign w:val="bottom"/>
          </w:tcPr>
          <w:p>
            <w:pPr>
              <w:spacing w:after="0"/>
              <w:rPr>
                <w:sz w:val="20"/>
                <w:szCs w:val="20"/>
                <w:color w:val="auto"/>
              </w:rPr>
            </w:pPr>
            <w:r>
              <w:rPr>
                <w:rFonts w:ascii="Arial" w:cs="Arial" w:eastAsia="Arial" w:hAnsi="Arial"/>
                <w:sz w:val="9"/>
                <w:szCs w:val="9"/>
                <w:color w:val="auto"/>
              </w:rPr>
              <w:t>1d.</w:t>
            </w:r>
          </w:p>
        </w:tc>
        <w:tc>
          <w:tcPr>
            <w:tcW w:w="1900" w:type="dxa"/>
            <w:vAlign w:val="bottom"/>
          </w:tcPr>
          <w:p>
            <w:pPr>
              <w:ind w:left="140"/>
              <w:spacing w:after="0"/>
              <w:rPr>
                <w:sz w:val="20"/>
                <w:szCs w:val="20"/>
                <w:color w:val="auto"/>
              </w:rPr>
            </w:pPr>
            <w:r>
              <w:rPr>
                <w:rFonts w:ascii="Arial" w:cs="Arial" w:eastAsia="Arial" w:hAnsi="Arial"/>
                <w:sz w:val="9"/>
                <w:szCs w:val="9"/>
                <w:color w:val="auto"/>
              </w:rPr>
              <w:t>Cynthia L. Feldmann</w:t>
            </w:r>
          </w:p>
        </w:tc>
        <w:tc>
          <w:tcPr>
            <w:tcW w:w="1100" w:type="dxa"/>
            <w:vAlign w:val="bottom"/>
          </w:tcPr>
          <w:p>
            <w:pPr>
              <w:ind w:left="800"/>
              <w:spacing w:after="0" w:line="121" w:lineRule="exact"/>
              <w:rPr>
                <w:sz w:val="20"/>
                <w:szCs w:val="20"/>
                <w:color w:val="auto"/>
              </w:rPr>
            </w:pPr>
            <w:r>
              <w:rPr>
                <w:rFonts w:ascii="MS PGothic" w:cs="MS PGothic" w:eastAsia="MS PGothic" w:hAnsi="MS PGothic"/>
                <w:sz w:val="12"/>
                <w:szCs w:val="12"/>
                <w:color w:val="auto"/>
              </w:rPr>
              <w:t>☐</w:t>
            </w:r>
          </w:p>
        </w:tc>
        <w:tc>
          <w:tcPr>
            <w:tcW w:w="62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b w:val="1"/>
                <w:bCs w:val="1"/>
                <w:color w:val="auto"/>
              </w:rPr>
              <w:t>  </w:t>
            </w:r>
          </w:p>
        </w:tc>
        <w:tc>
          <w:tcPr>
            <w:tcW w:w="320" w:type="dxa"/>
            <w:vAlign w:val="bottom"/>
          </w:tcPr>
          <w:p>
            <w:pPr>
              <w:ind w:left="160"/>
              <w:spacing w:after="0" w:line="104" w:lineRule="exact"/>
              <w:rPr>
                <w:sz w:val="20"/>
                <w:szCs w:val="20"/>
                <w:color w:val="auto"/>
              </w:rPr>
            </w:pPr>
            <w:r>
              <w:rPr>
                <w:rFonts w:ascii="MS PGothic" w:cs="MS PGothic" w:eastAsia="MS PGothic" w:hAnsi="MS PGothic"/>
                <w:sz w:val="9"/>
                <w:szCs w:val="9"/>
                <w:color w:val="auto"/>
                <w:w w:val="70"/>
              </w:rPr>
              <w:t>☐</w:t>
            </w:r>
            <w:r>
              <w:rPr>
                <w:rFonts w:ascii="Arial" w:cs="Arial" w:eastAsia="Arial" w:hAnsi="Arial"/>
                <w:sz w:val="9"/>
                <w:szCs w:val="9"/>
                <w:b w:val="1"/>
                <w:bCs w:val="1"/>
                <w:color w:val="auto"/>
                <w:w w:val="70"/>
              </w:rPr>
              <w:t>  </w:t>
            </w:r>
          </w:p>
        </w:tc>
      </w:tr>
      <w:tr>
        <w:trPr>
          <w:trHeight w:val="311"/>
        </w:trPr>
        <w:tc>
          <w:tcPr>
            <w:tcW w:w="280" w:type="dxa"/>
            <w:vAlign w:val="bottom"/>
          </w:tcPr>
          <w:p>
            <w:pPr>
              <w:spacing w:after="0"/>
              <w:rPr>
                <w:sz w:val="20"/>
                <w:szCs w:val="20"/>
                <w:color w:val="auto"/>
              </w:rPr>
            </w:pPr>
            <w:r>
              <w:rPr>
                <w:rFonts w:ascii="Arial" w:cs="Arial" w:eastAsia="Arial" w:hAnsi="Arial"/>
                <w:sz w:val="9"/>
                <w:szCs w:val="9"/>
                <w:color w:val="auto"/>
              </w:rPr>
              <w:t>1e.</w:t>
            </w:r>
          </w:p>
        </w:tc>
        <w:tc>
          <w:tcPr>
            <w:tcW w:w="1900" w:type="dxa"/>
            <w:vAlign w:val="bottom"/>
          </w:tcPr>
          <w:p>
            <w:pPr>
              <w:ind w:left="140"/>
              <w:spacing w:after="0"/>
              <w:rPr>
                <w:sz w:val="20"/>
                <w:szCs w:val="20"/>
                <w:color w:val="auto"/>
              </w:rPr>
            </w:pPr>
            <w:r>
              <w:rPr>
                <w:rFonts w:ascii="Arial" w:cs="Arial" w:eastAsia="Arial" w:hAnsi="Arial"/>
                <w:sz w:val="9"/>
                <w:szCs w:val="9"/>
                <w:color w:val="auto"/>
              </w:rPr>
              <w:t>Christopher S. Holland</w:t>
            </w:r>
          </w:p>
        </w:tc>
        <w:tc>
          <w:tcPr>
            <w:tcW w:w="1100" w:type="dxa"/>
            <w:vAlign w:val="bottom"/>
          </w:tcPr>
          <w:p>
            <w:pPr>
              <w:ind w:left="800"/>
              <w:spacing w:after="0" w:line="121" w:lineRule="exact"/>
              <w:rPr>
                <w:sz w:val="20"/>
                <w:szCs w:val="20"/>
                <w:color w:val="auto"/>
              </w:rPr>
            </w:pPr>
            <w:r>
              <w:rPr>
                <w:rFonts w:ascii="MS PGothic" w:cs="MS PGothic" w:eastAsia="MS PGothic" w:hAnsi="MS PGothic"/>
                <w:sz w:val="12"/>
                <w:szCs w:val="12"/>
                <w:color w:val="auto"/>
              </w:rPr>
              <w:t>☐</w:t>
            </w:r>
          </w:p>
        </w:tc>
        <w:tc>
          <w:tcPr>
            <w:tcW w:w="62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b w:val="1"/>
                <w:bCs w:val="1"/>
                <w:color w:val="auto"/>
              </w:rPr>
              <w:t>  </w:t>
            </w:r>
          </w:p>
        </w:tc>
        <w:tc>
          <w:tcPr>
            <w:tcW w:w="320" w:type="dxa"/>
            <w:vAlign w:val="bottom"/>
          </w:tcPr>
          <w:p>
            <w:pPr>
              <w:ind w:left="160"/>
              <w:spacing w:after="0" w:line="104" w:lineRule="exact"/>
              <w:rPr>
                <w:sz w:val="20"/>
                <w:szCs w:val="20"/>
                <w:color w:val="auto"/>
              </w:rPr>
            </w:pPr>
            <w:r>
              <w:rPr>
                <w:rFonts w:ascii="MS PGothic" w:cs="MS PGothic" w:eastAsia="MS PGothic" w:hAnsi="MS PGothic"/>
                <w:sz w:val="9"/>
                <w:szCs w:val="9"/>
                <w:color w:val="auto"/>
                <w:w w:val="70"/>
              </w:rPr>
              <w:t>☐</w:t>
            </w:r>
            <w:r>
              <w:rPr>
                <w:rFonts w:ascii="Arial" w:cs="Arial" w:eastAsia="Arial" w:hAnsi="Arial"/>
                <w:sz w:val="9"/>
                <w:szCs w:val="9"/>
                <w:b w:val="1"/>
                <w:bCs w:val="1"/>
                <w:color w:val="auto"/>
                <w:w w:val="70"/>
              </w:rPr>
              <w:t>  </w:t>
            </w:r>
          </w:p>
        </w:tc>
      </w:tr>
      <w:tr>
        <w:trPr>
          <w:trHeight w:val="311"/>
        </w:trPr>
        <w:tc>
          <w:tcPr>
            <w:tcW w:w="280" w:type="dxa"/>
            <w:vAlign w:val="bottom"/>
          </w:tcPr>
          <w:p>
            <w:pPr>
              <w:spacing w:after="0"/>
              <w:rPr>
                <w:sz w:val="20"/>
                <w:szCs w:val="20"/>
                <w:color w:val="auto"/>
              </w:rPr>
            </w:pPr>
            <w:r>
              <w:rPr>
                <w:rFonts w:ascii="Arial" w:cs="Arial" w:eastAsia="Arial" w:hAnsi="Arial"/>
                <w:sz w:val="9"/>
                <w:szCs w:val="9"/>
                <w:color w:val="auto"/>
              </w:rPr>
              <w:t>1f.</w:t>
            </w:r>
          </w:p>
        </w:tc>
        <w:tc>
          <w:tcPr>
            <w:tcW w:w="1900" w:type="dxa"/>
            <w:vAlign w:val="bottom"/>
          </w:tcPr>
          <w:p>
            <w:pPr>
              <w:ind w:left="140"/>
              <w:spacing w:after="0"/>
              <w:rPr>
                <w:sz w:val="20"/>
                <w:szCs w:val="20"/>
                <w:color w:val="auto"/>
              </w:rPr>
            </w:pPr>
            <w:r>
              <w:rPr>
                <w:rFonts w:ascii="Arial" w:cs="Arial" w:eastAsia="Arial" w:hAnsi="Arial"/>
                <w:sz w:val="9"/>
                <w:szCs w:val="9"/>
                <w:color w:val="auto"/>
              </w:rPr>
              <w:t>Paul E. Martin</w:t>
            </w:r>
          </w:p>
        </w:tc>
        <w:tc>
          <w:tcPr>
            <w:tcW w:w="1100" w:type="dxa"/>
            <w:vAlign w:val="bottom"/>
          </w:tcPr>
          <w:p>
            <w:pPr>
              <w:ind w:left="800"/>
              <w:spacing w:after="0" w:line="121" w:lineRule="exact"/>
              <w:rPr>
                <w:sz w:val="20"/>
                <w:szCs w:val="20"/>
                <w:color w:val="auto"/>
              </w:rPr>
            </w:pPr>
            <w:r>
              <w:rPr>
                <w:rFonts w:ascii="MS PGothic" w:cs="MS PGothic" w:eastAsia="MS PGothic" w:hAnsi="MS PGothic"/>
                <w:sz w:val="12"/>
                <w:szCs w:val="12"/>
                <w:color w:val="auto"/>
              </w:rPr>
              <w:t>☐</w:t>
            </w:r>
          </w:p>
        </w:tc>
        <w:tc>
          <w:tcPr>
            <w:tcW w:w="62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b w:val="1"/>
                <w:bCs w:val="1"/>
                <w:color w:val="auto"/>
              </w:rPr>
              <w:t>  </w:t>
            </w:r>
          </w:p>
        </w:tc>
        <w:tc>
          <w:tcPr>
            <w:tcW w:w="320" w:type="dxa"/>
            <w:vAlign w:val="bottom"/>
          </w:tcPr>
          <w:p>
            <w:pPr>
              <w:ind w:left="160"/>
              <w:spacing w:after="0" w:line="104" w:lineRule="exact"/>
              <w:rPr>
                <w:sz w:val="20"/>
                <w:szCs w:val="20"/>
                <w:color w:val="auto"/>
              </w:rPr>
            </w:pPr>
            <w:r>
              <w:rPr>
                <w:rFonts w:ascii="MS PGothic" w:cs="MS PGothic" w:eastAsia="MS PGothic" w:hAnsi="MS PGothic"/>
                <w:sz w:val="9"/>
                <w:szCs w:val="9"/>
                <w:color w:val="auto"/>
                <w:w w:val="70"/>
              </w:rPr>
              <w:t>☐</w:t>
            </w:r>
            <w:r>
              <w:rPr>
                <w:rFonts w:ascii="Arial" w:cs="Arial" w:eastAsia="Arial" w:hAnsi="Arial"/>
                <w:sz w:val="9"/>
                <w:szCs w:val="9"/>
                <w:b w:val="1"/>
                <w:bCs w:val="1"/>
                <w:color w:val="auto"/>
                <w:w w:val="70"/>
              </w:rPr>
              <w:t>  </w:t>
            </w:r>
          </w:p>
        </w:tc>
      </w:tr>
      <w:tr>
        <w:trPr>
          <w:trHeight w:val="311"/>
        </w:trPr>
        <w:tc>
          <w:tcPr>
            <w:tcW w:w="280" w:type="dxa"/>
            <w:vAlign w:val="bottom"/>
          </w:tcPr>
          <w:p>
            <w:pPr>
              <w:spacing w:after="0"/>
              <w:rPr>
                <w:sz w:val="20"/>
                <w:szCs w:val="20"/>
                <w:color w:val="auto"/>
              </w:rPr>
            </w:pPr>
            <w:r>
              <w:rPr>
                <w:rFonts w:ascii="Arial" w:cs="Arial" w:eastAsia="Arial" w:hAnsi="Arial"/>
                <w:sz w:val="9"/>
                <w:szCs w:val="9"/>
                <w:color w:val="auto"/>
              </w:rPr>
              <w:t>1g.</w:t>
            </w:r>
          </w:p>
        </w:tc>
        <w:tc>
          <w:tcPr>
            <w:tcW w:w="1900" w:type="dxa"/>
            <w:vAlign w:val="bottom"/>
          </w:tcPr>
          <w:p>
            <w:pPr>
              <w:ind w:left="140"/>
              <w:spacing w:after="0"/>
              <w:rPr>
                <w:sz w:val="20"/>
                <w:szCs w:val="20"/>
                <w:color w:val="auto"/>
              </w:rPr>
            </w:pPr>
            <w:r>
              <w:rPr>
                <w:rFonts w:ascii="Arial" w:cs="Arial" w:eastAsia="Arial" w:hAnsi="Arial"/>
                <w:sz w:val="9"/>
                <w:szCs w:val="9"/>
                <w:color w:val="auto"/>
              </w:rPr>
              <w:t>Dr. Nirav R. Shah</w:t>
            </w:r>
          </w:p>
        </w:tc>
        <w:tc>
          <w:tcPr>
            <w:tcW w:w="1100" w:type="dxa"/>
            <w:vAlign w:val="bottom"/>
          </w:tcPr>
          <w:p>
            <w:pPr>
              <w:ind w:left="800"/>
              <w:spacing w:after="0" w:line="121" w:lineRule="exact"/>
              <w:rPr>
                <w:sz w:val="20"/>
                <w:szCs w:val="20"/>
                <w:color w:val="auto"/>
              </w:rPr>
            </w:pPr>
            <w:r>
              <w:rPr>
                <w:rFonts w:ascii="MS PGothic" w:cs="MS PGothic" w:eastAsia="MS PGothic" w:hAnsi="MS PGothic"/>
                <w:sz w:val="12"/>
                <w:szCs w:val="12"/>
                <w:color w:val="auto"/>
              </w:rPr>
              <w:t>☐</w:t>
            </w:r>
          </w:p>
        </w:tc>
        <w:tc>
          <w:tcPr>
            <w:tcW w:w="62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b w:val="1"/>
                <w:bCs w:val="1"/>
                <w:color w:val="auto"/>
              </w:rPr>
              <w:t>  </w:t>
            </w:r>
          </w:p>
        </w:tc>
        <w:tc>
          <w:tcPr>
            <w:tcW w:w="320" w:type="dxa"/>
            <w:vAlign w:val="bottom"/>
          </w:tcPr>
          <w:p>
            <w:pPr>
              <w:ind w:left="160"/>
              <w:spacing w:after="0" w:line="104" w:lineRule="exact"/>
              <w:rPr>
                <w:sz w:val="20"/>
                <w:szCs w:val="20"/>
                <w:color w:val="auto"/>
              </w:rPr>
            </w:pPr>
            <w:r>
              <w:rPr>
                <w:rFonts w:ascii="MS PGothic" w:cs="MS PGothic" w:eastAsia="MS PGothic" w:hAnsi="MS PGothic"/>
                <w:sz w:val="9"/>
                <w:szCs w:val="9"/>
                <w:color w:val="auto"/>
                <w:w w:val="70"/>
              </w:rPr>
              <w:t>☐</w:t>
            </w:r>
            <w:r>
              <w:rPr>
                <w:rFonts w:ascii="Arial" w:cs="Arial" w:eastAsia="Arial" w:hAnsi="Arial"/>
                <w:sz w:val="9"/>
                <w:szCs w:val="9"/>
                <w:b w:val="1"/>
                <w:bCs w:val="1"/>
                <w:color w:val="auto"/>
                <w:w w:val="70"/>
              </w:rPr>
              <w:t>  </w:t>
            </w:r>
          </w:p>
        </w:tc>
      </w:tr>
      <w:tr>
        <w:trPr>
          <w:trHeight w:val="311"/>
        </w:trPr>
        <w:tc>
          <w:tcPr>
            <w:tcW w:w="280" w:type="dxa"/>
            <w:vAlign w:val="bottom"/>
          </w:tcPr>
          <w:p>
            <w:pPr>
              <w:spacing w:after="0"/>
              <w:rPr>
                <w:sz w:val="20"/>
                <w:szCs w:val="20"/>
                <w:color w:val="auto"/>
              </w:rPr>
            </w:pPr>
            <w:r>
              <w:rPr>
                <w:rFonts w:ascii="Arial" w:cs="Arial" w:eastAsia="Arial" w:hAnsi="Arial"/>
                <w:sz w:val="9"/>
                <w:szCs w:val="9"/>
                <w:color w:val="auto"/>
              </w:rPr>
              <w:t>1h.</w:t>
            </w:r>
          </w:p>
        </w:tc>
        <w:tc>
          <w:tcPr>
            <w:tcW w:w="1900" w:type="dxa"/>
            <w:vAlign w:val="bottom"/>
          </w:tcPr>
          <w:p>
            <w:pPr>
              <w:ind w:left="140"/>
              <w:spacing w:after="0"/>
              <w:rPr>
                <w:sz w:val="20"/>
                <w:szCs w:val="20"/>
                <w:color w:val="auto"/>
              </w:rPr>
            </w:pPr>
            <w:r>
              <w:rPr>
                <w:rFonts w:ascii="Arial" w:cs="Arial" w:eastAsia="Arial" w:hAnsi="Arial"/>
                <w:sz w:val="9"/>
                <w:szCs w:val="9"/>
                <w:color w:val="auto"/>
              </w:rPr>
              <w:t>Louis A. Shapiro</w:t>
            </w:r>
          </w:p>
        </w:tc>
        <w:tc>
          <w:tcPr>
            <w:tcW w:w="1100" w:type="dxa"/>
            <w:vAlign w:val="bottom"/>
          </w:tcPr>
          <w:p>
            <w:pPr>
              <w:ind w:left="800"/>
              <w:spacing w:after="0" w:line="121" w:lineRule="exact"/>
              <w:rPr>
                <w:sz w:val="20"/>
                <w:szCs w:val="20"/>
                <w:color w:val="auto"/>
              </w:rPr>
            </w:pPr>
            <w:r>
              <w:rPr>
                <w:rFonts w:ascii="MS PGothic" w:cs="MS PGothic" w:eastAsia="MS PGothic" w:hAnsi="MS PGothic"/>
                <w:sz w:val="12"/>
                <w:szCs w:val="12"/>
                <w:color w:val="auto"/>
              </w:rPr>
              <w:t>☐</w:t>
            </w:r>
          </w:p>
        </w:tc>
        <w:tc>
          <w:tcPr>
            <w:tcW w:w="62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b w:val="1"/>
                <w:bCs w:val="1"/>
                <w:color w:val="auto"/>
              </w:rPr>
              <w:t>  </w:t>
            </w:r>
          </w:p>
        </w:tc>
        <w:tc>
          <w:tcPr>
            <w:tcW w:w="320" w:type="dxa"/>
            <w:vAlign w:val="bottom"/>
          </w:tcPr>
          <w:p>
            <w:pPr>
              <w:ind w:left="160"/>
              <w:spacing w:after="0" w:line="104" w:lineRule="exact"/>
              <w:rPr>
                <w:sz w:val="20"/>
                <w:szCs w:val="20"/>
                <w:color w:val="auto"/>
              </w:rPr>
            </w:pPr>
            <w:r>
              <w:rPr>
                <w:rFonts w:ascii="MS PGothic" w:cs="MS PGothic" w:eastAsia="MS PGothic" w:hAnsi="MS PGothic"/>
                <w:sz w:val="9"/>
                <w:szCs w:val="9"/>
                <w:color w:val="auto"/>
                <w:w w:val="70"/>
              </w:rPr>
              <w:t>☐</w:t>
            </w:r>
            <w:r>
              <w:rPr>
                <w:rFonts w:ascii="Arial" w:cs="Arial" w:eastAsia="Arial" w:hAnsi="Arial"/>
                <w:sz w:val="9"/>
                <w:szCs w:val="9"/>
                <w:b w:val="1"/>
                <w:bCs w:val="1"/>
                <w:color w:val="auto"/>
                <w:w w:val="70"/>
              </w:rPr>
              <w:t>  </w:t>
            </w: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10" w:right="20"/>
        <w:spacing w:after="0" w:line="299" w:lineRule="auto"/>
        <w:rPr>
          <w:sz w:val="20"/>
          <w:szCs w:val="20"/>
          <w:color w:val="auto"/>
        </w:rPr>
      </w:pPr>
      <w:r>
        <w:rPr>
          <w:rFonts w:ascii="Arial" w:cs="Arial" w:eastAsia="Arial" w:hAnsi="Arial"/>
          <w:sz w:val="10"/>
          <w:szCs w:val="10"/>
          <w:b w:val="1"/>
          <w:bCs w:val="1"/>
          <w:color w:val="auto"/>
        </w:rPr>
        <w:t>The Board of Directors recommends you vote “FOR” all of the following proposals.</w:t>
      </w:r>
    </w:p>
    <w:p>
      <w:pPr>
        <w:spacing w:after="0" w:line="24" w:lineRule="exact"/>
        <w:rPr>
          <w:sz w:val="20"/>
          <w:szCs w:val="20"/>
          <w:color w:val="auto"/>
        </w:rPr>
      </w:pPr>
    </w:p>
    <w:p>
      <w:pPr>
        <w:jc w:val="both"/>
        <w:ind w:left="470" w:hanging="470"/>
        <w:spacing w:after="0" w:line="264" w:lineRule="auto"/>
        <w:tabs>
          <w:tab w:leader="none" w:pos="470" w:val="left"/>
        </w:tabs>
        <w:numPr>
          <w:ilvl w:val="0"/>
          <w:numId w:val="66"/>
        </w:numPr>
        <w:rPr>
          <w:rFonts w:ascii="Arial" w:cs="Arial" w:eastAsia="Arial" w:hAnsi="Arial"/>
          <w:sz w:val="10"/>
          <w:szCs w:val="10"/>
          <w:color w:val="auto"/>
        </w:rPr>
      </w:pPr>
      <w:r>
        <w:rPr>
          <w:rFonts w:ascii="Arial" w:cs="Arial" w:eastAsia="Arial" w:hAnsi="Arial"/>
          <w:sz w:val="10"/>
          <w:szCs w:val="10"/>
          <w:color w:val="auto"/>
        </w:rPr>
        <w:t>To ratify the appointment of Ernst &amp; Young LLP as the Company’s independent registered public accounting firm for the year ending March 31, 2027.</w:t>
      </w:r>
    </w:p>
    <w:p>
      <w:pPr>
        <w:spacing w:after="0" w:line="21" w:lineRule="exact"/>
        <w:rPr>
          <w:rFonts w:ascii="Arial" w:cs="Arial" w:eastAsia="Arial" w:hAnsi="Arial"/>
          <w:sz w:val="10"/>
          <w:szCs w:val="10"/>
          <w:color w:val="auto"/>
        </w:rPr>
      </w:pPr>
    </w:p>
    <w:p>
      <w:pPr>
        <w:jc w:val="both"/>
        <w:ind w:left="470" w:hanging="470"/>
        <w:spacing w:after="0" w:line="264" w:lineRule="auto"/>
        <w:tabs>
          <w:tab w:leader="none" w:pos="470" w:val="left"/>
        </w:tabs>
        <w:numPr>
          <w:ilvl w:val="0"/>
          <w:numId w:val="66"/>
        </w:numPr>
        <w:rPr>
          <w:rFonts w:ascii="Arial" w:cs="Arial" w:eastAsia="Arial" w:hAnsi="Arial"/>
          <w:sz w:val="10"/>
          <w:szCs w:val="10"/>
          <w:color w:val="auto"/>
        </w:rPr>
      </w:pPr>
      <w:r>
        <w:rPr>
          <w:rFonts w:ascii="Arial" w:cs="Arial" w:eastAsia="Arial" w:hAnsi="Arial"/>
          <w:sz w:val="10"/>
          <w:szCs w:val="10"/>
          <w:color w:val="auto"/>
        </w:rPr>
        <w:t>To appoint Ernst &amp; Young Chartered Accountants as the Company’s statutory auditor under Irish law to hold office until the conclusion of the Company’s next annual general meeting.</w:t>
      </w:r>
    </w:p>
    <w:p>
      <w:pPr>
        <w:spacing w:after="0" w:line="21" w:lineRule="exact"/>
        <w:rPr>
          <w:rFonts w:ascii="Arial" w:cs="Arial" w:eastAsia="Arial" w:hAnsi="Arial"/>
          <w:sz w:val="10"/>
          <w:szCs w:val="10"/>
          <w:color w:val="auto"/>
        </w:rPr>
      </w:pPr>
    </w:p>
    <w:p>
      <w:pPr>
        <w:jc w:val="both"/>
        <w:ind w:left="470" w:hanging="470"/>
        <w:spacing w:after="0" w:line="257" w:lineRule="auto"/>
        <w:tabs>
          <w:tab w:leader="none" w:pos="470" w:val="left"/>
        </w:tabs>
        <w:numPr>
          <w:ilvl w:val="0"/>
          <w:numId w:val="66"/>
        </w:numPr>
        <w:rPr>
          <w:rFonts w:ascii="Arial" w:cs="Arial" w:eastAsia="Arial" w:hAnsi="Arial"/>
          <w:sz w:val="10"/>
          <w:szCs w:val="10"/>
          <w:color w:val="auto"/>
        </w:rPr>
      </w:pPr>
      <w:r>
        <w:rPr>
          <w:rFonts w:ascii="Arial" w:cs="Arial" w:eastAsia="Arial" w:hAnsi="Arial"/>
          <w:sz w:val="10"/>
          <w:szCs w:val="10"/>
          <w:color w:val="auto"/>
        </w:rPr>
        <w:t>To authorize the Board of Directors of the Company or the Audit Committee of the Board of Directors to determine the remuneration of Ernst &amp; Young Chartered Accountants as the Company’s statutory auditor under Irish law.</w:t>
      </w:r>
    </w:p>
    <w:p>
      <w:pPr>
        <w:spacing w:after="0" w:line="25" w:lineRule="exact"/>
        <w:rPr>
          <w:rFonts w:ascii="Arial" w:cs="Arial" w:eastAsia="Arial" w:hAnsi="Arial"/>
          <w:sz w:val="10"/>
          <w:szCs w:val="10"/>
          <w:color w:val="auto"/>
        </w:rPr>
      </w:pPr>
    </w:p>
    <w:p>
      <w:pPr>
        <w:jc w:val="both"/>
        <w:ind w:left="470" w:hanging="470"/>
        <w:spacing w:after="0" w:line="251" w:lineRule="auto"/>
        <w:tabs>
          <w:tab w:leader="none" w:pos="470" w:val="left"/>
        </w:tabs>
        <w:numPr>
          <w:ilvl w:val="0"/>
          <w:numId w:val="66"/>
        </w:numPr>
        <w:rPr>
          <w:rFonts w:ascii="Arial" w:cs="Arial" w:eastAsia="Arial" w:hAnsi="Arial"/>
          <w:sz w:val="10"/>
          <w:szCs w:val="10"/>
          <w:color w:val="auto"/>
        </w:rPr>
      </w:pPr>
      <w:r>
        <w:rPr>
          <w:rFonts w:ascii="Arial" w:cs="Arial" w:eastAsia="Arial" w:hAnsi="Arial"/>
          <w:sz w:val="10"/>
          <w:szCs w:val="10"/>
          <w:color w:val="auto"/>
        </w:rPr>
        <w:t>To approve, on a non-binding advisory basis, the compensation of the Company’s named executive officers as disclosed pursuant to the disclosure rules of the U.S. Securities and Exchange Commission, including the compensation discussion and analysis and the tabular and narrative disclosure contained in the Company’s proxy statement dated June 11, 2026.</w:t>
      </w:r>
    </w:p>
    <w:p>
      <w:pPr>
        <w:spacing w:after="0" w:line="20" w:lineRule="exact"/>
        <w:rPr>
          <w:sz w:val="20"/>
          <w:szCs w:val="20"/>
          <w:color w:val="auto"/>
        </w:rPr>
      </w:pPr>
      <w:r>
        <w:rPr>
          <w:sz w:val="20"/>
          <w:szCs w:val="20"/>
          <w:color w:val="auto"/>
        </w:rPr>
        <w:br w:type="column"/>
      </w:r>
    </w:p>
    <w:p>
      <w:pPr>
        <w:spacing w:after="0"/>
        <w:tabs>
          <w:tab w:leader="none" w:pos="280" w:val="left"/>
          <w:tab w:leader="none" w:pos="840" w:val="left"/>
        </w:tabs>
        <w:rPr>
          <w:sz w:val="20"/>
          <w:szCs w:val="20"/>
          <w:color w:val="auto"/>
        </w:rPr>
      </w:pPr>
      <w:r>
        <w:rPr>
          <w:rFonts w:ascii="Arial" w:cs="Arial" w:eastAsia="Arial" w:hAnsi="Arial"/>
          <w:sz w:val="12"/>
          <w:szCs w:val="12"/>
          <w:b w:val="1"/>
          <w:bCs w:val="1"/>
          <w:color w:val="auto"/>
        </w:rPr>
        <w:t>For</w:t>
        <w:tab/>
        <w:t>Against</w:t>
      </w:r>
      <w:r>
        <w:rPr>
          <w:sz w:val="20"/>
          <w:szCs w:val="20"/>
          <w:color w:val="auto"/>
        </w:rPr>
        <w:tab/>
      </w:r>
      <w:r>
        <w:rPr>
          <w:rFonts w:ascii="Arial" w:cs="Arial" w:eastAsia="Arial" w:hAnsi="Arial"/>
          <w:sz w:val="11"/>
          <w:szCs w:val="11"/>
          <w:b w:val="1"/>
          <w:bCs w:val="1"/>
          <w:color w:val="auto"/>
        </w:rPr>
        <w:t>Abstain</w:t>
      </w:r>
    </w:p>
    <w:p>
      <w:pPr>
        <w:spacing w:after="0" w:line="146" w:lineRule="exact"/>
        <w:rPr>
          <w:sz w:val="20"/>
          <w:szCs w:val="20"/>
          <w:color w:val="auto"/>
        </w:rPr>
      </w:pPr>
    </w:p>
    <w:p>
      <w:pPr>
        <w:ind w:left="40"/>
        <w:spacing w:after="0" w:line="138" w:lineRule="exact"/>
        <w:tabs>
          <w:tab w:leader="none" w:pos="500" w:val="left"/>
          <w:tab w:leader="none" w:pos="98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w:t>
      </w:r>
      <w:r>
        <w:rPr>
          <w:sz w:val="20"/>
          <w:szCs w:val="20"/>
          <w:color w:val="auto"/>
        </w:rPr>
        <w:tab/>
      </w:r>
      <w:r>
        <w:rPr>
          <w:rFonts w:ascii="MS PGothic" w:cs="MS PGothic" w:eastAsia="MS PGothic" w:hAnsi="MS PGothic"/>
          <w:sz w:val="10"/>
          <w:szCs w:val="10"/>
          <w:color w:val="auto"/>
        </w:rPr>
        <w:t>☐</w:t>
      </w:r>
      <w:r>
        <w:rPr>
          <w:rFonts w:ascii="Arial" w:cs="Arial" w:eastAsia="Arial" w:hAnsi="Arial"/>
          <w:sz w:val="10"/>
          <w:szCs w:val="10"/>
          <w:b w:val="1"/>
          <w:bCs w:val="1"/>
          <w:color w:val="auto"/>
        </w:rPr>
        <w:t xml:space="preserve"> </w:t>
      </w:r>
    </w:p>
    <w:p>
      <w:pPr>
        <w:spacing w:after="0" w:line="302" w:lineRule="exact"/>
        <w:rPr>
          <w:sz w:val="20"/>
          <w:szCs w:val="20"/>
          <w:color w:val="auto"/>
        </w:rPr>
      </w:pPr>
    </w:p>
    <w:p>
      <w:pPr>
        <w:ind w:left="40"/>
        <w:spacing w:after="0" w:line="138" w:lineRule="exact"/>
        <w:tabs>
          <w:tab w:leader="none" w:pos="500" w:val="left"/>
          <w:tab w:leader="none" w:pos="98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w:t>
      </w:r>
      <w:r>
        <w:rPr>
          <w:sz w:val="20"/>
          <w:szCs w:val="20"/>
          <w:color w:val="auto"/>
        </w:rPr>
        <w:tab/>
      </w:r>
      <w:r>
        <w:rPr>
          <w:rFonts w:ascii="MS PGothic" w:cs="MS PGothic" w:eastAsia="MS PGothic" w:hAnsi="MS PGothic"/>
          <w:sz w:val="10"/>
          <w:szCs w:val="10"/>
          <w:color w:val="auto"/>
        </w:rPr>
        <w:t>☐</w:t>
      </w:r>
      <w:r>
        <w:rPr>
          <w:rFonts w:ascii="Arial" w:cs="Arial" w:eastAsia="Arial" w:hAnsi="Arial"/>
          <w:sz w:val="10"/>
          <w:szCs w:val="10"/>
          <w:b w:val="1"/>
          <w:bCs w:val="1"/>
          <w:color w:val="auto"/>
        </w:rPr>
        <w:t xml:space="preserve"> </w:t>
      </w:r>
    </w:p>
    <w:p>
      <w:pPr>
        <w:spacing w:after="0" w:line="263" w:lineRule="exact"/>
        <w:rPr>
          <w:sz w:val="20"/>
          <w:szCs w:val="20"/>
          <w:color w:val="auto"/>
        </w:rPr>
      </w:pPr>
    </w:p>
    <w:p>
      <w:pPr>
        <w:ind w:left="40"/>
        <w:spacing w:after="0" w:line="138" w:lineRule="exact"/>
        <w:tabs>
          <w:tab w:leader="none" w:pos="500" w:val="left"/>
          <w:tab w:leader="none" w:pos="98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w:t>
      </w:r>
      <w:r>
        <w:rPr>
          <w:sz w:val="20"/>
          <w:szCs w:val="20"/>
          <w:color w:val="auto"/>
        </w:rPr>
        <w:tab/>
      </w:r>
      <w:r>
        <w:rPr>
          <w:rFonts w:ascii="MS PGothic" w:cs="MS PGothic" w:eastAsia="MS PGothic" w:hAnsi="MS PGothic"/>
          <w:sz w:val="10"/>
          <w:szCs w:val="10"/>
          <w:color w:val="auto"/>
        </w:rPr>
        <w:t>☐</w:t>
      </w:r>
      <w:r>
        <w:rPr>
          <w:rFonts w:ascii="Arial" w:cs="Arial" w:eastAsia="Arial" w:hAnsi="Arial"/>
          <w:sz w:val="10"/>
          <w:szCs w:val="10"/>
          <w:b w:val="1"/>
          <w:bCs w:val="1"/>
          <w:color w:val="auto"/>
        </w:rPr>
        <w:t xml:space="preserve"> </w:t>
      </w:r>
    </w:p>
    <w:p>
      <w:pPr>
        <w:spacing w:after="0" w:line="380" w:lineRule="exact"/>
        <w:rPr>
          <w:sz w:val="20"/>
          <w:szCs w:val="20"/>
          <w:color w:val="auto"/>
        </w:rPr>
      </w:pPr>
    </w:p>
    <w:p>
      <w:pPr>
        <w:ind w:left="40"/>
        <w:spacing w:after="0" w:line="138" w:lineRule="exact"/>
        <w:tabs>
          <w:tab w:leader="none" w:pos="500" w:val="left"/>
          <w:tab w:leader="none" w:pos="98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w:t>
      </w:r>
      <w:r>
        <w:rPr>
          <w:sz w:val="20"/>
          <w:szCs w:val="20"/>
          <w:color w:val="auto"/>
        </w:rPr>
        <w:tab/>
      </w:r>
      <w:r>
        <w:rPr>
          <w:rFonts w:ascii="MS PGothic" w:cs="MS PGothic" w:eastAsia="MS PGothic" w:hAnsi="MS PGothic"/>
          <w:sz w:val="10"/>
          <w:szCs w:val="10"/>
          <w:color w:val="auto"/>
        </w:rPr>
        <w:t>☐</w:t>
      </w:r>
      <w:r>
        <w:rPr>
          <w:rFonts w:ascii="Arial" w:cs="Arial" w:eastAsia="Arial" w:hAnsi="Arial"/>
          <w:sz w:val="10"/>
          <w:szCs w:val="10"/>
          <w:b w:val="1"/>
          <w:bCs w:val="1"/>
          <w:color w:val="auto"/>
        </w:rPr>
        <w:t xml:space="preserve"> </w:t>
      </w:r>
    </w:p>
    <w:p>
      <w:pPr>
        <w:spacing w:after="0" w:line="639" w:lineRule="exact"/>
        <w:rPr>
          <w:sz w:val="20"/>
          <w:szCs w:val="20"/>
          <w:color w:val="auto"/>
        </w:rPr>
      </w:pPr>
    </w:p>
    <w:p>
      <w:pPr>
        <w:sectPr>
          <w:pgSz w:w="11900" w:h="16838" w:orient="portrait"/>
          <w:cols w:equalWidth="0" w:num="3">
            <w:col w:w="5320" w:space="410"/>
            <w:col w:w="3430" w:space="80"/>
            <w:col w:w="1680"/>
          </w:cols>
          <w:pgMar w:left="320" w:top="469" w:right="659" w:bottom="1440" w:gutter="0" w:footer="0" w:header="0"/>
          <w:type w:val="continuous"/>
        </w:sectPr>
      </w:pPr>
    </w:p>
    <w:p>
      <w:pPr>
        <w:spacing w:after="0" w:line="39" w:lineRule="exact"/>
        <w:rPr>
          <w:sz w:val="20"/>
          <w:szCs w:val="20"/>
          <w:color w:val="auto"/>
        </w:rPr>
      </w:pPr>
    </w:p>
    <w:tbl>
      <w:tblPr>
        <w:tblLayout w:type="fixed"/>
        <w:tblInd w:w="1100" w:type="dxa"/>
        <w:tblCellMar>
          <w:top w:w="0" w:type="dxa"/>
          <w:left w:w="0" w:type="dxa"/>
          <w:bottom w:w="0" w:type="dxa"/>
          <w:right w:w="0" w:type="dxa"/>
        </w:tblCellMar>
      </w:tblPr>
      <w:tr>
        <w:trPr>
          <w:trHeight w:val="202"/>
        </w:trPr>
        <w:tc>
          <w:tcPr>
            <w:tcW w:w="2120" w:type="dxa"/>
            <w:vAlign w:val="bottom"/>
          </w:tcPr>
          <w:p>
            <w:pPr>
              <w:spacing w:after="0"/>
              <w:rPr>
                <w:sz w:val="20"/>
                <w:szCs w:val="20"/>
                <w:color w:val="auto"/>
              </w:rPr>
            </w:pPr>
            <w:r>
              <w:rPr>
                <w:rFonts w:ascii="Arial" w:cs="Arial" w:eastAsia="Arial" w:hAnsi="Arial"/>
                <w:sz w:val="9"/>
                <w:szCs w:val="9"/>
                <w:color w:val="auto"/>
              </w:rPr>
              <w:t>1i.Dr. Mohsen M. Sohi</w:t>
            </w:r>
          </w:p>
        </w:tc>
        <w:tc>
          <w:tcPr>
            <w:tcW w:w="1160" w:type="dxa"/>
            <w:vAlign w:val="bottom"/>
          </w:tcPr>
          <w:p>
            <w:pPr>
              <w:ind w:left="860"/>
              <w:spacing w:after="0" w:line="121" w:lineRule="exact"/>
              <w:rPr>
                <w:sz w:val="20"/>
                <w:szCs w:val="20"/>
                <w:color w:val="auto"/>
              </w:rPr>
            </w:pPr>
            <w:r>
              <w:rPr>
                <w:rFonts w:ascii="MS PGothic" w:cs="MS PGothic" w:eastAsia="MS PGothic" w:hAnsi="MS PGothic"/>
                <w:sz w:val="12"/>
                <w:szCs w:val="12"/>
                <w:color w:val="auto"/>
              </w:rPr>
              <w:t>☐</w:t>
            </w:r>
          </w:p>
        </w:tc>
        <w:tc>
          <w:tcPr>
            <w:tcW w:w="580" w:type="dxa"/>
            <w:vAlign w:val="bottom"/>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b w:val="1"/>
                <w:bCs w:val="1"/>
                <w:color w:val="auto"/>
              </w:rPr>
              <w:t>  </w:t>
            </w:r>
          </w:p>
        </w:tc>
        <w:tc>
          <w:tcPr>
            <w:tcW w:w="360" w:type="dxa"/>
            <w:vAlign w:val="bottom"/>
          </w:tcPr>
          <w:p>
            <w:pPr>
              <w:ind w:left="200"/>
              <w:spacing w:after="0" w:line="104" w:lineRule="exact"/>
              <w:rPr>
                <w:sz w:val="20"/>
                <w:szCs w:val="20"/>
                <w:color w:val="auto"/>
              </w:rPr>
            </w:pPr>
            <w:r>
              <w:rPr>
                <w:rFonts w:ascii="MS PGothic" w:cs="MS PGothic" w:eastAsia="MS PGothic" w:hAnsi="MS PGothic"/>
                <w:sz w:val="9"/>
                <w:szCs w:val="9"/>
                <w:color w:val="auto"/>
                <w:w w:val="70"/>
              </w:rPr>
              <w:t>☐</w:t>
            </w:r>
            <w:r>
              <w:rPr>
                <w:rFonts w:ascii="Arial" w:cs="Arial" w:eastAsia="Arial" w:hAnsi="Arial"/>
                <w:sz w:val="9"/>
                <w:szCs w:val="9"/>
                <w:b w:val="1"/>
                <w:bCs w:val="1"/>
                <w:color w:val="auto"/>
                <w:w w:val="70"/>
              </w:rPr>
              <w:t>  </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0"/>
        </w:trPr>
        <w:tc>
          <w:tcPr>
            <w:tcW w:w="260" w:type="dxa"/>
            <w:vAlign w:val="bottom"/>
          </w:tcPr>
          <w:p>
            <w:pPr>
              <w:jc w:val="right"/>
              <w:ind w:right="128"/>
              <w:spacing w:after="0"/>
              <w:rPr>
                <w:sz w:val="20"/>
                <w:szCs w:val="20"/>
                <w:color w:val="auto"/>
              </w:rPr>
            </w:pPr>
            <w:r>
              <w:rPr>
                <w:rFonts w:ascii="Arial" w:cs="Arial" w:eastAsia="Arial" w:hAnsi="Arial"/>
                <w:sz w:val="10"/>
                <w:szCs w:val="10"/>
                <w:color w:val="auto"/>
                <w:w w:val="71"/>
              </w:rPr>
              <w:t>6.</w:t>
            </w:r>
          </w:p>
        </w:tc>
        <w:tc>
          <w:tcPr>
            <w:tcW w:w="3220" w:type="dxa"/>
            <w:vAlign w:val="bottom"/>
          </w:tcPr>
          <w:p>
            <w:pPr>
              <w:ind w:left="200"/>
              <w:spacing w:after="0"/>
              <w:rPr>
                <w:sz w:val="20"/>
                <w:szCs w:val="20"/>
                <w:color w:val="auto"/>
              </w:rPr>
            </w:pPr>
            <w:r>
              <w:rPr>
                <w:rFonts w:ascii="Arial" w:cs="Arial" w:eastAsia="Arial" w:hAnsi="Arial"/>
                <w:sz w:val="10"/>
                <w:szCs w:val="10"/>
                <w:color w:val="auto"/>
              </w:rPr>
              <w:t>To approve a proposal renewing the Board of Directors’ authority</w:t>
            </w:r>
          </w:p>
        </w:tc>
        <w:tc>
          <w:tcPr>
            <w:tcW w:w="36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500" w:type="dxa"/>
            <w:vAlign w:val="bottom"/>
          </w:tcPr>
          <w:p>
            <w:pPr>
              <w:ind w:left="18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w:t>
            </w:r>
          </w:p>
        </w:tc>
        <w:tc>
          <w:tcPr>
            <w:tcW w:w="300" w:type="dxa"/>
            <w:vAlign w:val="bottom"/>
          </w:tcPr>
          <w:p>
            <w:pPr>
              <w:ind w:left="160"/>
              <w:spacing w:after="0" w:line="138" w:lineRule="exact"/>
              <w:rPr>
                <w:sz w:val="20"/>
                <w:szCs w:val="20"/>
                <w:color w:val="auto"/>
              </w:rPr>
            </w:pPr>
            <w:r>
              <w:rPr>
                <w:rFonts w:ascii="MS PGothic" w:cs="MS PGothic" w:eastAsia="MS PGothic" w:hAnsi="MS PGothic"/>
                <w:sz w:val="12"/>
                <w:szCs w:val="12"/>
                <w:color w:val="auto"/>
                <w:w w:val="99"/>
              </w:rPr>
              <w:t>☐</w:t>
            </w:r>
            <w:r>
              <w:rPr>
                <w:rFonts w:ascii="Arial" w:cs="Arial" w:eastAsia="Arial" w:hAnsi="Arial"/>
                <w:sz w:val="12"/>
                <w:szCs w:val="12"/>
                <w:b w:val="1"/>
                <w:bCs w:val="1"/>
                <w:color w:val="auto"/>
                <w:w w:val="99"/>
              </w:rPr>
              <w:t xml:space="preserve"> </w:t>
            </w:r>
          </w:p>
        </w:tc>
      </w:tr>
      <w:tr>
        <w:trPr>
          <w:trHeight w:val="136"/>
        </w:trPr>
        <w:tc>
          <w:tcPr>
            <w:tcW w:w="260" w:type="dxa"/>
            <w:vAlign w:val="bottom"/>
          </w:tcPr>
          <w:p>
            <w:pPr>
              <w:spacing w:after="0"/>
              <w:rPr>
                <w:sz w:val="11"/>
                <w:szCs w:val="11"/>
                <w:color w:val="auto"/>
              </w:rPr>
            </w:pPr>
          </w:p>
        </w:tc>
        <w:tc>
          <w:tcPr>
            <w:tcW w:w="3220" w:type="dxa"/>
            <w:vAlign w:val="bottom"/>
          </w:tcPr>
          <w:p>
            <w:pPr>
              <w:ind w:left="200"/>
              <w:spacing w:after="0"/>
              <w:rPr>
                <w:sz w:val="20"/>
                <w:szCs w:val="20"/>
                <w:color w:val="auto"/>
              </w:rPr>
            </w:pPr>
            <w:r>
              <w:rPr>
                <w:rFonts w:ascii="Arial" w:cs="Arial" w:eastAsia="Arial" w:hAnsi="Arial"/>
                <w:sz w:val="10"/>
                <w:szCs w:val="10"/>
                <w:color w:val="auto"/>
              </w:rPr>
              <w:t>to issue shares under Irish law.</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266"/>
        </w:trPr>
        <w:tc>
          <w:tcPr>
            <w:tcW w:w="260" w:type="dxa"/>
            <w:vAlign w:val="bottom"/>
          </w:tcPr>
          <w:p>
            <w:pPr>
              <w:jc w:val="right"/>
              <w:ind w:right="128"/>
              <w:spacing w:after="0"/>
              <w:rPr>
                <w:sz w:val="20"/>
                <w:szCs w:val="20"/>
                <w:color w:val="auto"/>
              </w:rPr>
            </w:pPr>
            <w:r>
              <w:rPr>
                <w:rFonts w:ascii="Arial" w:cs="Arial" w:eastAsia="Arial" w:hAnsi="Arial"/>
                <w:sz w:val="10"/>
                <w:szCs w:val="10"/>
                <w:color w:val="auto"/>
                <w:w w:val="71"/>
              </w:rPr>
              <w:t>7.</w:t>
            </w:r>
          </w:p>
        </w:tc>
        <w:tc>
          <w:tcPr>
            <w:tcW w:w="3220" w:type="dxa"/>
            <w:vAlign w:val="bottom"/>
          </w:tcPr>
          <w:p>
            <w:pPr>
              <w:ind w:left="200"/>
              <w:spacing w:after="0"/>
              <w:rPr>
                <w:sz w:val="20"/>
                <w:szCs w:val="20"/>
                <w:color w:val="auto"/>
              </w:rPr>
            </w:pPr>
            <w:r>
              <w:rPr>
                <w:rFonts w:ascii="Arial" w:cs="Arial" w:eastAsia="Arial" w:hAnsi="Arial"/>
                <w:sz w:val="10"/>
                <w:szCs w:val="10"/>
                <w:color w:val="auto"/>
              </w:rPr>
              <w:t>To approve a proposal renewing the Board of Directors’ authority</w:t>
            </w:r>
          </w:p>
        </w:tc>
        <w:tc>
          <w:tcPr>
            <w:tcW w:w="36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500" w:type="dxa"/>
            <w:vAlign w:val="bottom"/>
          </w:tcPr>
          <w:p>
            <w:pPr>
              <w:ind w:left="18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w:t>
            </w:r>
          </w:p>
        </w:tc>
        <w:tc>
          <w:tcPr>
            <w:tcW w:w="300" w:type="dxa"/>
            <w:vAlign w:val="bottom"/>
          </w:tcPr>
          <w:p>
            <w:pPr>
              <w:ind w:left="160"/>
              <w:spacing w:after="0" w:line="138" w:lineRule="exact"/>
              <w:rPr>
                <w:sz w:val="20"/>
                <w:szCs w:val="20"/>
                <w:color w:val="auto"/>
              </w:rPr>
            </w:pPr>
            <w:r>
              <w:rPr>
                <w:rFonts w:ascii="MS PGothic" w:cs="MS PGothic" w:eastAsia="MS PGothic" w:hAnsi="MS PGothic"/>
                <w:sz w:val="12"/>
                <w:szCs w:val="12"/>
                <w:color w:val="auto"/>
                <w:w w:val="99"/>
              </w:rPr>
              <w:t>☐</w:t>
            </w:r>
            <w:r>
              <w:rPr>
                <w:rFonts w:ascii="Arial" w:cs="Arial" w:eastAsia="Arial" w:hAnsi="Arial"/>
                <w:sz w:val="12"/>
                <w:szCs w:val="12"/>
                <w:b w:val="1"/>
                <w:bCs w:val="1"/>
                <w:color w:val="auto"/>
                <w:w w:val="99"/>
              </w:rPr>
              <w:t xml:space="preserve"> </w:t>
            </w:r>
          </w:p>
        </w:tc>
      </w:tr>
      <w:tr>
        <w:trPr>
          <w:trHeight w:val="136"/>
        </w:trPr>
        <w:tc>
          <w:tcPr>
            <w:tcW w:w="260" w:type="dxa"/>
            <w:vAlign w:val="bottom"/>
          </w:tcPr>
          <w:p>
            <w:pPr>
              <w:spacing w:after="0"/>
              <w:rPr>
                <w:sz w:val="11"/>
                <w:szCs w:val="11"/>
                <w:color w:val="auto"/>
              </w:rPr>
            </w:pPr>
          </w:p>
        </w:tc>
        <w:tc>
          <w:tcPr>
            <w:tcW w:w="3220" w:type="dxa"/>
            <w:vAlign w:val="bottom"/>
          </w:tcPr>
          <w:p>
            <w:pPr>
              <w:ind w:left="200"/>
              <w:spacing w:after="0"/>
              <w:rPr>
                <w:sz w:val="20"/>
                <w:szCs w:val="20"/>
                <w:color w:val="auto"/>
              </w:rPr>
            </w:pPr>
            <w:r>
              <w:rPr>
                <w:rFonts w:ascii="Arial" w:cs="Arial" w:eastAsia="Arial" w:hAnsi="Arial"/>
                <w:sz w:val="10"/>
                <w:szCs w:val="10"/>
                <w:color w:val="auto"/>
              </w:rPr>
              <w:t>to opt-out of statutory pre-emption rights under Irish law.</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r>
    </w:tbl>
    <w:p>
      <w:pPr>
        <w:spacing w:after="0" w:line="149" w:lineRule="exact"/>
        <w:rPr>
          <w:sz w:val="20"/>
          <w:szCs w:val="20"/>
          <w:color w:val="auto"/>
        </w:rPr>
      </w:pPr>
    </w:p>
    <w:p>
      <w:pPr>
        <w:ind w:left="470" w:right="1760" w:hanging="470"/>
        <w:spacing w:after="0" w:line="286" w:lineRule="auto"/>
        <w:tabs>
          <w:tab w:leader="none" w:pos="470" w:val="left"/>
        </w:tabs>
        <w:numPr>
          <w:ilvl w:val="0"/>
          <w:numId w:val="67"/>
        </w:numPr>
        <w:rPr>
          <w:rFonts w:ascii="Arial" w:cs="Arial" w:eastAsia="Arial" w:hAnsi="Arial"/>
          <w:sz w:val="10"/>
          <w:szCs w:val="10"/>
          <w:color w:val="auto"/>
        </w:rPr>
      </w:pPr>
      <w:r>
        <w:rPr>
          <w:rFonts w:ascii="Arial" w:cs="Arial" w:eastAsia="Arial" w:hAnsi="Arial"/>
          <w:sz w:val="10"/>
          <w:szCs w:val="10"/>
          <w:color w:val="auto"/>
        </w:rPr>
        <w:t>To transact such other business as may properly come before the meeting or any adjournment or postponement thereof.</w:t>
      </w:r>
    </w:p>
    <w:p>
      <w:pPr>
        <w:spacing w:after="0" w:line="200" w:lineRule="exact"/>
        <w:rPr>
          <w:sz w:val="20"/>
          <w:szCs w:val="20"/>
          <w:color w:val="auto"/>
        </w:rPr>
      </w:pPr>
    </w:p>
    <w:p>
      <w:pPr>
        <w:sectPr>
          <w:pgSz w:w="11900" w:h="16838" w:orient="portrait"/>
          <w:cols w:equalWidth="0" w:num="2">
            <w:col w:w="5320" w:space="410"/>
            <w:col w:w="5190"/>
          </w:cols>
          <w:pgMar w:left="320" w:top="469" w:right="659" w:bottom="1440" w:gutter="0" w:footer="0" w:header="0"/>
          <w:type w:val="continuous"/>
        </w:sectPr>
      </w:pPr>
    </w:p>
    <w:p>
      <w:pPr>
        <w:spacing w:after="0" w:line="256"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8500" w:type="dxa"/>
            <w:vAlign w:val="bottom"/>
          </w:tcPr>
          <w:p>
            <w:pPr>
              <w:spacing w:after="0"/>
              <w:rPr>
                <w:sz w:val="20"/>
                <w:szCs w:val="20"/>
                <w:color w:val="auto"/>
              </w:rPr>
            </w:pPr>
            <w:r>
              <w:rPr>
                <w:rFonts w:ascii="Arial" w:cs="Arial" w:eastAsia="Arial" w:hAnsi="Arial"/>
                <w:sz w:val="10"/>
                <w:szCs w:val="10"/>
                <w:b w:val="1"/>
                <w:bCs w:val="1"/>
                <w:color w:val="auto"/>
              </w:rPr>
              <w:t xml:space="preserve">NOTE: </w:t>
            </w:r>
            <w:r>
              <w:rPr>
                <w:rFonts w:ascii="Arial" w:cs="Arial" w:eastAsia="Arial" w:hAnsi="Arial"/>
                <w:sz w:val="10"/>
                <w:szCs w:val="10"/>
                <w:color w:val="auto"/>
              </w:rPr>
              <w:t>A corporation may execute a form of proxy under the hand of a duly authorized officer, director, attorney or other person. Any power of attorney or any other authority under</w:t>
            </w:r>
          </w:p>
        </w:tc>
        <w:tc>
          <w:tcPr>
            <w:tcW w:w="1520" w:type="dxa"/>
            <w:vAlign w:val="bottom"/>
          </w:tcPr>
          <w:p>
            <w:pPr>
              <w:ind w:left="160"/>
              <w:spacing w:after="0"/>
              <w:rPr>
                <w:sz w:val="20"/>
                <w:szCs w:val="20"/>
                <w:color w:val="auto"/>
              </w:rPr>
            </w:pPr>
            <w:r>
              <w:rPr>
                <w:rFonts w:ascii="Arial" w:cs="Arial" w:eastAsia="Arial" w:hAnsi="Arial"/>
                <w:sz w:val="12"/>
                <w:szCs w:val="12"/>
                <w:b w:val="1"/>
                <w:bCs w:val="1"/>
                <w:color w:val="auto"/>
              </w:rPr>
              <w:t xml:space="preserve">                                  </w:t>
            </w:r>
          </w:p>
        </w:tc>
      </w:tr>
      <w:tr>
        <w:trPr>
          <w:trHeight w:val="116"/>
        </w:trPr>
        <w:tc>
          <w:tcPr>
            <w:tcW w:w="8500" w:type="dxa"/>
            <w:vAlign w:val="bottom"/>
          </w:tcPr>
          <w:p>
            <w:pPr>
              <w:spacing w:after="0"/>
              <w:rPr>
                <w:sz w:val="20"/>
                <w:szCs w:val="20"/>
                <w:color w:val="auto"/>
              </w:rPr>
            </w:pPr>
            <w:r>
              <w:rPr>
                <w:rFonts w:ascii="Arial" w:cs="Arial" w:eastAsia="Arial" w:hAnsi="Arial"/>
                <w:sz w:val="10"/>
                <w:szCs w:val="10"/>
                <w:color w:val="auto"/>
              </w:rPr>
              <w:t>which this proxy form is signed (or a duly certified copy of such power or authority) must be included with the proxy form. A shareholder may appoint more than one proxy to attend</w:t>
            </w:r>
          </w:p>
        </w:tc>
        <w:tc>
          <w:tcPr>
            <w:tcW w:w="1520" w:type="dxa"/>
            <w:vAlign w:val="bottom"/>
          </w:tcPr>
          <w:p>
            <w:pPr>
              <w:spacing w:after="0"/>
              <w:rPr>
                <w:sz w:val="10"/>
                <w:szCs w:val="10"/>
                <w:color w:val="auto"/>
              </w:rPr>
            </w:pPr>
          </w:p>
        </w:tc>
      </w:tr>
      <w:tr>
        <w:trPr>
          <w:trHeight w:val="117"/>
        </w:trPr>
        <w:tc>
          <w:tcPr>
            <w:tcW w:w="8500" w:type="dxa"/>
            <w:vAlign w:val="bottom"/>
          </w:tcPr>
          <w:p>
            <w:pPr>
              <w:spacing w:after="0"/>
              <w:rPr>
                <w:sz w:val="20"/>
                <w:szCs w:val="20"/>
                <w:color w:val="auto"/>
              </w:rPr>
            </w:pPr>
            <w:r>
              <w:rPr>
                <w:rFonts w:ascii="Arial" w:cs="Arial" w:eastAsia="Arial" w:hAnsi="Arial"/>
                <w:sz w:val="10"/>
                <w:szCs w:val="10"/>
                <w:color w:val="auto"/>
              </w:rPr>
              <w:t>on the same occasion, but only one proxy may be appointed in respect of any one share. The appointment of a proxy shall not preclude a shareholder from attending and voting at</w:t>
            </w:r>
          </w:p>
        </w:tc>
        <w:tc>
          <w:tcPr>
            <w:tcW w:w="1520" w:type="dxa"/>
            <w:vAlign w:val="bottom"/>
          </w:tcPr>
          <w:p>
            <w:pPr>
              <w:spacing w:after="0"/>
              <w:rPr>
                <w:sz w:val="10"/>
                <w:szCs w:val="10"/>
                <w:color w:val="auto"/>
              </w:rPr>
            </w:pPr>
          </w:p>
        </w:tc>
      </w:tr>
      <w:tr>
        <w:trPr>
          <w:trHeight w:val="117"/>
        </w:trPr>
        <w:tc>
          <w:tcPr>
            <w:tcW w:w="8500" w:type="dxa"/>
            <w:vAlign w:val="bottom"/>
          </w:tcPr>
          <w:p>
            <w:pPr>
              <w:spacing w:after="0"/>
              <w:rPr>
                <w:sz w:val="20"/>
                <w:szCs w:val="20"/>
                <w:color w:val="auto"/>
              </w:rPr>
            </w:pPr>
            <w:r>
              <w:rPr>
                <w:rFonts w:ascii="Arial" w:cs="Arial" w:eastAsia="Arial" w:hAnsi="Arial"/>
                <w:sz w:val="10"/>
                <w:szCs w:val="10"/>
                <w:color w:val="auto"/>
              </w:rPr>
              <w:t>the meeting or at any adjournment of it; however, if the shareholder votes at the meeting or adjournment, the shareholder’s proxy will be automatically revoked. A form of proxy shall</w:t>
            </w:r>
          </w:p>
        </w:tc>
        <w:tc>
          <w:tcPr>
            <w:tcW w:w="1520" w:type="dxa"/>
            <w:vAlign w:val="bottom"/>
          </w:tcPr>
          <w:p>
            <w:pPr>
              <w:spacing w:after="0"/>
              <w:rPr>
                <w:sz w:val="10"/>
                <w:szCs w:val="10"/>
                <w:color w:val="auto"/>
              </w:rPr>
            </w:pPr>
          </w:p>
        </w:tc>
      </w:tr>
      <w:tr>
        <w:trPr>
          <w:trHeight w:val="117"/>
        </w:trPr>
        <w:tc>
          <w:tcPr>
            <w:tcW w:w="8500" w:type="dxa"/>
            <w:vAlign w:val="bottom"/>
          </w:tcPr>
          <w:p>
            <w:pPr>
              <w:spacing w:after="0"/>
              <w:rPr>
                <w:sz w:val="20"/>
                <w:szCs w:val="20"/>
                <w:color w:val="auto"/>
              </w:rPr>
            </w:pPr>
            <w:r>
              <w:rPr>
                <w:rFonts w:ascii="Arial" w:cs="Arial" w:eastAsia="Arial" w:hAnsi="Arial"/>
                <w:sz w:val="10"/>
                <w:szCs w:val="10"/>
                <w:color w:val="auto"/>
              </w:rPr>
              <w:t>be valid for any adjournment of the meeting. Please sign exactly as name appears above, joint owners should each sign. When signing as attorney, executor, administrator, trustee or</w:t>
            </w:r>
          </w:p>
        </w:tc>
        <w:tc>
          <w:tcPr>
            <w:tcW w:w="1520" w:type="dxa"/>
            <w:vAlign w:val="bottom"/>
          </w:tcPr>
          <w:p>
            <w:pPr>
              <w:spacing w:after="0"/>
              <w:rPr>
                <w:sz w:val="10"/>
                <w:szCs w:val="10"/>
                <w:color w:val="auto"/>
              </w:rPr>
            </w:pPr>
          </w:p>
        </w:tc>
      </w:tr>
      <w:tr>
        <w:trPr>
          <w:trHeight w:val="136"/>
        </w:trPr>
        <w:tc>
          <w:tcPr>
            <w:tcW w:w="8500" w:type="dxa"/>
            <w:vAlign w:val="bottom"/>
          </w:tcPr>
          <w:p>
            <w:pPr>
              <w:spacing w:after="0"/>
              <w:rPr>
                <w:sz w:val="20"/>
                <w:szCs w:val="20"/>
                <w:color w:val="auto"/>
              </w:rPr>
            </w:pPr>
            <w:r>
              <w:rPr>
                <w:rFonts w:ascii="Arial" w:cs="Arial" w:eastAsia="Arial" w:hAnsi="Arial"/>
                <w:sz w:val="10"/>
                <w:szCs w:val="10"/>
                <w:color w:val="auto"/>
              </w:rPr>
              <w:t>guardian, please give full title as such.</w:t>
            </w:r>
          </w:p>
        </w:tc>
        <w:tc>
          <w:tcPr>
            <w:tcW w:w="1520" w:type="dxa"/>
            <w:vAlign w:val="bottom"/>
          </w:tcPr>
          <w:p>
            <w:pPr>
              <w:spacing w:after="0"/>
              <w:rPr>
                <w:sz w:val="11"/>
                <w:szCs w:val="11"/>
                <w:color w:val="auto"/>
              </w:rPr>
            </w:pPr>
          </w:p>
        </w:tc>
      </w:tr>
    </w:tbl>
    <w:p>
      <w:pPr>
        <w:spacing w:after="0" w:line="210" w:lineRule="exact"/>
        <w:rPr>
          <w:sz w:val="20"/>
          <w:szCs w:val="20"/>
          <w:color w:val="auto"/>
        </w:rPr>
      </w:pPr>
    </w:p>
    <w:p>
      <w:pPr>
        <w:ind w:left="680"/>
        <w:spacing w:after="0"/>
        <w:rPr>
          <w:sz w:val="20"/>
          <w:szCs w:val="20"/>
          <w:color w:val="auto"/>
        </w:rPr>
      </w:pPr>
      <w:r>
        <w:rPr>
          <w:rFonts w:ascii="Arial" w:cs="Arial" w:eastAsia="Arial" w:hAnsi="Arial"/>
          <w:sz w:val="28"/>
          <w:szCs w:val="28"/>
          <w:color w:val="auto"/>
        </w:rPr>
        <w:t xml:space="preserve">                            </w:t>
      </w:r>
    </w:p>
    <w:p>
      <w:pPr>
        <w:sectPr>
          <w:pgSz w:w="11900" w:h="16838" w:orient="portrait"/>
          <w:cols w:equalWidth="0" w:num="1">
            <w:col w:w="10920"/>
          </w:cols>
          <w:pgMar w:left="320" w:top="469" w:right="659" w:bottom="1440" w:gutter="0" w:footer="0" w:header="0"/>
          <w:type w:val="continuous"/>
        </w:sectPr>
      </w:pPr>
    </w:p>
    <w:p>
      <w:pPr>
        <w:spacing w:after="0" w:line="131" w:lineRule="exact"/>
        <w:rPr>
          <w:sz w:val="20"/>
          <w:szCs w:val="20"/>
          <w:color w:val="auto"/>
        </w:rPr>
      </w:pPr>
    </w:p>
    <w:p>
      <w:pPr>
        <w:ind w:left="680"/>
        <w:spacing w:after="0"/>
        <w:tabs>
          <w:tab w:leader="none" w:pos="3400" w:val="left"/>
          <w:tab w:leader="none" w:pos="5500" w:val="left"/>
          <w:tab w:leader="none" w:pos="854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0920"/>
          </w:cols>
          <w:pgMar w:left="320" w:top="469" w:right="65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539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9945" cy="53975"/>
                    </a:xfrm>
                    <a:prstGeom prst="rect">
                      <a:avLst/>
                    </a:prstGeom>
                    <a:noFill/>
                  </pic:spPr>
                </pic:pic>
              </a:graphicData>
            </a:graphic>
          </wp:anchor>
        </w:drawing>
        <w:t>Table of Contents</w:t>
      </w:r>
    </w:p>
    <w:p>
      <w:pPr>
        <w:spacing w:after="0" w:line="31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YOUR VOTE IS IMPORTANT</w:t>
      </w:r>
    </w:p>
    <w:p>
      <w:pPr>
        <w:spacing w:after="0" w:line="104" w:lineRule="exact"/>
        <w:rPr>
          <w:sz w:val="20"/>
          <w:szCs w:val="20"/>
          <w:color w:val="auto"/>
        </w:rPr>
      </w:pPr>
    </w:p>
    <w:p>
      <w:pPr>
        <w:jc w:val="both"/>
        <w:ind w:left="1180" w:right="800"/>
        <w:spacing w:after="0" w:line="257" w:lineRule="auto"/>
        <w:rPr>
          <w:sz w:val="20"/>
          <w:szCs w:val="20"/>
          <w:color w:val="auto"/>
        </w:rPr>
      </w:pPr>
      <w:r>
        <w:rPr>
          <w:rFonts w:ascii="Arial" w:cs="Arial" w:eastAsia="Arial" w:hAnsi="Arial"/>
          <w:sz w:val="17"/>
          <w:szCs w:val="17"/>
          <w:color w:val="auto"/>
        </w:rPr>
        <w:t>Regardless of whether you plan to attend the 2026 Annual General Meeting of Shareholders, you can be sure the shares are represented at the meeting by promptly returning your proxy/voting instruction card in the enclosed envelope.</w:t>
      </w:r>
    </w:p>
    <w:p>
      <w:pPr>
        <w:spacing w:after="0" w:line="200" w:lineRule="exact"/>
        <w:rPr>
          <w:sz w:val="20"/>
          <w:szCs w:val="20"/>
          <w:color w:val="auto"/>
        </w:rPr>
      </w:pPr>
    </w:p>
    <w:p>
      <w:pPr>
        <w:spacing w:after="0" w:line="37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General Meeting to</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be held on July 31, 2026:</w:t>
      </w:r>
    </w:p>
    <w:p>
      <w:pPr>
        <w:spacing w:after="0" w:line="10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The Notice and Proxy Statement, Fiscal 2026 Annual Report, and Directors’ Report and</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 xml:space="preserve">Consolidated Financial Statements for the Year Ending March 31, 2026 are available at </w:t>
      </w:r>
      <w:r>
        <w:rPr>
          <w:rFonts w:ascii="Arial" w:cs="Arial" w:eastAsia="Arial" w:hAnsi="Arial"/>
          <w:sz w:val="17"/>
          <w:szCs w:val="17"/>
          <w:u w:val="single" w:color="auto"/>
          <w:color w:val="auto"/>
        </w:rPr>
        <w:t>www.proxyvote.com</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660"/>
        <w:spacing w:after="0" w:line="220" w:lineRule="auto"/>
        <w:rPr>
          <w:sz w:val="20"/>
          <w:szCs w:val="20"/>
          <w:color w:val="auto"/>
        </w:rPr>
      </w:pPr>
      <w:r>
        <w:rPr>
          <w:rFonts w:ascii="Arial" w:cs="Arial" w:eastAsia="Arial" w:hAnsi="Arial"/>
          <w:sz w:val="17"/>
          <w:szCs w:val="17"/>
          <w:b w:val="1"/>
          <w:bCs w:val="1"/>
          <w:color w:val="auto"/>
        </w:rPr>
        <w:t xml:space="preserve">Sign and date the proxy/voting instruction card on the reverse side. </w:t>
      </w:r>
      <w:r>
        <w:rPr>
          <w:rFonts w:ascii="Wingdings" w:cs="Wingdings" w:eastAsia="Wingdings" w:hAnsi="Wingdings"/>
          <w:sz w:val="20"/>
          <w:szCs w:val="20"/>
          <w:b w:val="1"/>
          <w:bCs w:val="1"/>
          <w:color w:val="auto"/>
        </w:rPr>
        <w:t xml:space="preserve">ê    </w:t>
      </w:r>
      <w:r>
        <w:rPr>
          <w:rFonts w:ascii="Arial" w:cs="Arial" w:eastAsia="Arial" w:hAnsi="Arial"/>
          <w:sz w:val="17"/>
          <w:szCs w:val="17"/>
          <w:b w:val="1"/>
          <w:bCs w:val="1"/>
          <w:color w:val="auto"/>
        </w:rPr>
        <w:t>Please fold and detach proxy card at perforation before mailing.</w:t>
      </w:r>
      <w:r>
        <w:rPr>
          <w:rFonts w:ascii="Wingdings" w:cs="Wingdings" w:eastAsia="Wingdings" w:hAnsi="Wingdings"/>
          <w:sz w:val="20"/>
          <w:szCs w:val="20"/>
          <w:b w:val="1"/>
          <w:bCs w:val="1"/>
          <w:color w:val="auto"/>
        </w:rPr>
        <w:t xml:space="preserve">     ê </w:t>
      </w:r>
      <w:r>
        <w:rPr>
          <w:rFonts w:ascii="Arial" w:cs="Arial" w:eastAsia="Arial" w:hAnsi="Arial"/>
          <w:sz w:val="17"/>
          <w:szCs w:val="17"/>
          <w:color w:val="auto"/>
        </w:rPr>
        <w:t>— — — — — — — — — — — — — — — — — — — — — — — — — — — — — — — — — — — — — — — — — — — — — — — — — — —</w:t>
      </w:r>
    </w:p>
    <w:p>
      <w:pPr>
        <w:spacing w:after="0" w:line="2" w:lineRule="exact"/>
        <w:rPr>
          <w:sz w:val="20"/>
          <w:szCs w:val="20"/>
          <w:color w:val="auto"/>
        </w:rPr>
      </w:pPr>
    </w:p>
    <w:p>
      <w:pPr>
        <w:ind w:left="9220"/>
        <w:spacing w:after="0"/>
        <w:rPr>
          <w:sz w:val="20"/>
          <w:szCs w:val="20"/>
          <w:color w:val="auto"/>
        </w:rPr>
      </w:pPr>
      <w:r>
        <w:rPr>
          <w:rFonts w:ascii="Arial" w:cs="Arial" w:eastAsia="Arial" w:hAnsi="Arial"/>
          <w:sz w:val="12"/>
          <w:szCs w:val="12"/>
          <w:color w:val="auto"/>
        </w:rPr>
        <w:t xml:space="preserve">T00535-P54079-Z93081 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-5715</wp:posOffset>
            </wp:positionV>
            <wp:extent cx="6718935" cy="41452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718935" cy="4145280"/>
                    </a:xfrm>
                    <a:prstGeom prst="rect">
                      <a:avLst/>
                    </a:prstGeom>
                    <a:noFill/>
                  </pic:spPr>
                </pic:pic>
              </a:graphicData>
            </a:graphic>
          </wp:anchor>
        </w:drawing>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STERIS plc</w:t>
      </w: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SHAREHOLDER’S PROXY AND VOTING INSTRUCTION CARD</w:t>
      </w: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ANNUAL GENERAL MEETING OF SHAREHOLDERS TO BE HELD ON JULY 31, 2026</w:t>
      </w:r>
    </w:p>
    <w:p>
      <w:pPr>
        <w:spacing w:after="0" w:line="1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This Proxy is solicited by the Board of Directors</w:t>
      </w:r>
    </w:p>
    <w:p>
      <w:pPr>
        <w:spacing w:after="0" w:line="195" w:lineRule="exact"/>
        <w:rPr>
          <w:sz w:val="20"/>
          <w:szCs w:val="20"/>
          <w:color w:val="auto"/>
        </w:rPr>
      </w:pPr>
    </w:p>
    <w:p>
      <w:pPr>
        <w:jc w:val="both"/>
        <w:ind w:left="800" w:right="400"/>
        <w:spacing w:after="0" w:line="241" w:lineRule="auto"/>
        <w:rPr>
          <w:sz w:val="20"/>
          <w:szCs w:val="20"/>
          <w:color w:val="auto"/>
        </w:rPr>
      </w:pPr>
      <w:r>
        <w:rPr>
          <w:rFonts w:ascii="Arial" w:cs="Arial" w:eastAsia="Arial" w:hAnsi="Arial"/>
          <w:sz w:val="16"/>
          <w:szCs w:val="16"/>
          <w:color w:val="auto"/>
        </w:rPr>
        <w:t xml:space="preserve">The shareholder(s) whose signature(s) appear(s) on the reverse side of this proxy card hereby appoint(s) Dr. Mohsen M. Sohi, Daniel A. Carestio, Karen L. Burton, and J. Adam Zangerle, and each of them, with full power of substitution, as proxies (the “Proxies”), and authorize(s) the Proxies to represent such shareholder(s) and to vote all the ordinary shares in STERIS plc (the “Company”) which the shareholder(s) would be entitled to vote, in the manner directed on the reverse side of this card, on Proposals 1 through 7 and in the discretion of the Proxies with respect to such other business as may properly come before the meeting. The shares represented by this proxy, when executed properly, will be voted in the manner directed. </w:t>
      </w:r>
      <w:r>
        <w:rPr>
          <w:rFonts w:ascii="Arial" w:cs="Arial" w:eastAsia="Arial" w:hAnsi="Arial"/>
          <w:sz w:val="16"/>
          <w:szCs w:val="16"/>
          <w:b w:val="1"/>
          <w:bCs w:val="1"/>
          <w:color w:val="auto"/>
        </w:rPr>
        <w:t>If direction is not given but the card is properly executed, this</w:t>
      </w:r>
      <w:r>
        <w:rPr>
          <w:rFonts w:ascii="Arial" w:cs="Arial" w:eastAsia="Arial" w:hAnsi="Arial"/>
          <w:sz w:val="16"/>
          <w:szCs w:val="16"/>
          <w:color w:val="auto"/>
        </w:rPr>
        <w:t xml:space="preserve"> </w:t>
      </w:r>
      <w:r>
        <w:rPr>
          <w:rFonts w:ascii="Arial" w:cs="Arial" w:eastAsia="Arial" w:hAnsi="Arial"/>
          <w:sz w:val="16"/>
          <w:szCs w:val="16"/>
          <w:b w:val="1"/>
          <w:bCs w:val="1"/>
          <w:color w:val="auto"/>
        </w:rPr>
        <w:t>proxy will be voted “FOR” the election of all nominees under Proposal 1, “FOR” Proposals 2, 3, 4, 5, 6 and 7, and in the discretion of the Proxies with respect to such other business as may properly come before the meeting.</w:t>
      </w:r>
    </w:p>
    <w:p>
      <w:pPr>
        <w:spacing w:after="0" w:line="113" w:lineRule="exact"/>
        <w:rPr>
          <w:sz w:val="20"/>
          <w:szCs w:val="20"/>
          <w:color w:val="auto"/>
        </w:rPr>
      </w:pPr>
    </w:p>
    <w:p>
      <w:pPr>
        <w:jc w:val="both"/>
        <w:ind w:left="800" w:right="400"/>
        <w:spacing w:after="0" w:line="278" w:lineRule="auto"/>
        <w:rPr>
          <w:sz w:val="20"/>
          <w:szCs w:val="20"/>
          <w:color w:val="auto"/>
        </w:rPr>
      </w:pPr>
      <w:r>
        <w:rPr>
          <w:rFonts w:ascii="Arial" w:cs="Arial" w:eastAsia="Arial" w:hAnsi="Arial"/>
          <w:sz w:val="14"/>
          <w:szCs w:val="14"/>
          <w:b w:val="1"/>
          <w:bCs w:val="1"/>
          <w:color w:val="auto"/>
        </w:rPr>
        <w:t xml:space="preserve">SPECIAL INFORMATION for participants in the STERIS Corporation 401(k) Plan (“Plan”): </w:t>
      </w:r>
      <w:r>
        <w:rPr>
          <w:rFonts w:ascii="Arial" w:cs="Arial" w:eastAsia="Arial" w:hAnsi="Arial"/>
          <w:sz w:val="14"/>
          <w:szCs w:val="14"/>
          <w:color w:val="auto"/>
        </w:rPr>
        <w:t>This proxy also provides voting instructions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for shares held on the record date for the Annual General Meeting by Vanguard Fiduciary Trust Company (“Vanguard”)*, as trustee of the Plan. If you are a participant in the Plan, this paragraph (and not the paragraph above) applies with respect to voting the Plan shares. By marking and returning this card, you will direct Vanguard (i) how to vote the ordinary shares allocated to the account in the Plan and (ii) how to vote a portion of the ordinary shares allocated to the accounts of other participants in the Plan who have not submitted voting instructions by the voting deadline. If Vanguard receives your properly marked and executed card on or before 4:59 a.m. Irish Standard Time on Sunday, July 26, 2026 (11:59 p.m. Eastern Daylight Time on Saturday, July 25, 2026) the (“401(k) Deadline”), Vanguard will vote these shares in the manner directed by you. </w:t>
      </w:r>
      <w:r>
        <w:rPr>
          <w:rFonts w:ascii="Arial" w:cs="Arial" w:eastAsia="Arial" w:hAnsi="Arial"/>
          <w:sz w:val="14"/>
          <w:szCs w:val="14"/>
          <w:i w:val="1"/>
          <w:iCs w:val="1"/>
          <w:color w:val="auto"/>
        </w:rPr>
        <w:t>If direction is not received or not received until after the 401(k) Deadline,</w:t>
      </w:r>
      <w:r>
        <w:rPr>
          <w:rFonts w:ascii="Arial" w:cs="Arial" w:eastAsia="Arial" w:hAnsi="Arial"/>
          <w:sz w:val="14"/>
          <w:szCs w:val="14"/>
          <w:color w:val="auto"/>
        </w:rPr>
        <w:t xml:space="preserve"> Vanguard will vote these Plan shares in the same proportion as the final aggregate vote of the Plan participants who submitted timely votes on the matter.</w:t>
      </w:r>
    </w:p>
    <w:p>
      <w:pPr>
        <w:spacing w:after="0" w:line="83" w:lineRule="exact"/>
        <w:rPr>
          <w:sz w:val="20"/>
          <w:szCs w:val="20"/>
          <w:color w:val="auto"/>
        </w:rPr>
      </w:pPr>
    </w:p>
    <w:p>
      <w:pPr>
        <w:jc w:val="both"/>
        <w:ind w:left="800" w:right="400"/>
        <w:spacing w:after="0" w:line="246" w:lineRule="auto"/>
        <w:rPr>
          <w:sz w:val="20"/>
          <w:szCs w:val="20"/>
          <w:color w:val="auto"/>
        </w:rPr>
      </w:pPr>
      <w:r>
        <w:rPr>
          <w:rFonts w:ascii="Arial" w:cs="Arial" w:eastAsia="Arial" w:hAnsi="Arial"/>
          <w:sz w:val="16"/>
          <w:szCs w:val="16"/>
          <w:b w:val="1"/>
          <w:bCs w:val="1"/>
          <w:color w:val="auto"/>
        </w:rPr>
        <w:t>This proxy is solicited on behalf of the Board of Directors pursuant to a separate Notice of 2026 Annual General Meeting and Proxy Statement dated June 11, 2026, receipt of which is hereby acknowledged. OUR BOARD OF DIRECTORS CONSIDERS THAT ALL THE RESOLUTIONS TO BE PUT TO THE MEETING ARE IN THE BEST INTERESTS OF THE COMPANY AND ITS SHAREHOLDERS AS A WHOLE. OUR BOARD OF DIRECTORS UNANIMOUSLY RECOMMENDS THAT YOU VOTE “FOR” EACH RESOLUTION.</w:t>
      </w:r>
    </w:p>
    <w:p>
      <w:pPr>
        <w:spacing w:after="0" w:line="106"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auto"/>
        </w:rPr>
        <w:t>THIS PROXY AND VOTING INSTRUCTION CARD IS CONTINUED ON THE REVERSE SIDE.</w:t>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*Vanguard Fiduciary Trust Company, in its capacity as trustee or custodian, has appointed Broadridge as agent to tally the vote.</w:t>
      </w:r>
    </w:p>
    <w:sectPr>
      <w:pgSz w:w="11900" w:h="16838" w:orient="portrait"/>
      <w:cols w:equalWidth="0" w:num="1">
        <w:col w:w="10860"/>
      </w:cols>
      <w:pgMar w:left="320" w:top="469"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1)"/>
      <w:numFmt w:val="lowerLetter"/>
      <w:start w:val="1"/>
    </w:lvl>
  </w:abstractNum>
  <w:abstractNum w:abstractNumId="7">
    <w:nsid w:val="7724C67E"/>
    <w:multiLevelType w:val="hybridMultilevel"/>
    <w:lvl w:ilvl="0">
      <w:lvlJc w:val="left"/>
      <w:lvlText w:val="%1."/>
      <w:numFmt w:val="decimal"/>
      <w:start w:val="2"/>
    </w:lvl>
  </w:abstractNum>
  <w:abstractNum w:abstractNumId="8">
    <w:nsid w:val="5C482A97"/>
    <w:multiLevelType w:val="hybridMultilevel"/>
    <w:lvl w:ilvl="0">
      <w:lvlJc w:val="left"/>
      <w:lvlText w:val="%1."/>
      <w:numFmt w:val="decimal"/>
      <w:start w:val="3"/>
    </w:lvl>
  </w:abstractNum>
  <w:abstractNum w:abstractNumId="9">
    <w:nsid w:val="2463B9EA"/>
    <w:multiLevelType w:val="hybridMultilevel"/>
    <w:lvl w:ilvl="0">
      <w:lvlJc w:val="left"/>
      <w:lvlText w:val="%1."/>
      <w:numFmt w:val="decimal"/>
      <w:start w:val="4"/>
    </w:lvl>
  </w:abstractNum>
  <w:abstractNum w:abstractNumId="10">
    <w:nsid w:val="5E884ADC"/>
    <w:multiLevelType w:val="hybridMultilevel"/>
    <w:lvl w:ilvl="0">
      <w:lvlJc w:val="left"/>
      <w:lvlText w:val="%1."/>
      <w:numFmt w:val="decimal"/>
      <w:start w:val="5"/>
    </w:lvl>
  </w:abstractNum>
  <w:abstractNum w:abstractNumId="11">
    <w:nsid w:val="51EAD36B"/>
    <w:multiLevelType w:val="hybridMultilevel"/>
    <w:lvl w:ilvl="0">
      <w:lvlJc w:val="left"/>
      <w:lvlText w:val="%1."/>
      <w:numFmt w:val="decimal"/>
      <w:start w:val="6"/>
    </w:lvl>
  </w:abstractNum>
  <w:abstractNum w:abstractNumId="12">
    <w:nsid w:val="2D517796"/>
    <w:multiLevelType w:val="hybridMultilevel"/>
    <w:lvl w:ilvl="0">
      <w:lvlJc w:val="left"/>
      <w:lvlText w:val="%1."/>
      <w:numFmt w:val="decimal"/>
      <w:start w:val="7"/>
    </w:lvl>
  </w:abstractNum>
  <w:abstractNum w:abstractNumId="13">
    <w:nsid w:val="580BD78F"/>
    <w:multiLevelType w:val="hybridMultilevel"/>
    <w:lvl w:ilvl="0">
      <w:lvlJc w:val="left"/>
      <w:lvlText w:val="%1."/>
      <w:numFmt w:val="decimal"/>
      <w:start w:val="8"/>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1)"/>
      <w:numFmt w:val="decimal"/>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1)"/>
      <w:numFmt w:val="lowerLetter"/>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1)"/>
      <w:numFmt w:val="decimal"/>
      <w:start w:val="1"/>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6"/>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1)"/>
      <w:numFmt w:val="decimal"/>
      <w:start w:val="3"/>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decimal"/>
      <w:start w:val="1"/>
    </w:lvl>
  </w:abstractNum>
  <w:abstractNum w:abstractNumId="59">
    <w:nsid w:val="579BE4F1"/>
    <w:multiLevelType w:val="hybridMultilevel"/>
    <w:lvl w:ilvl="0">
      <w:lvlJc w:val="left"/>
      <w:lvlText w:val="%1."/>
      <w:numFmt w:val="decimal"/>
      <w:start w:val="7"/>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lowerLetter"/>
      <w:start w:val="2"/>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 "/>
      <w:numFmt w:val="bullet"/>
      <w:start w:val="1"/>
    </w:lvl>
  </w:abstractNum>
  <w:abstractNum w:abstractNumId="64">
    <w:nsid w:val="1DBABF00"/>
    <w:multiLevelType w:val="hybridMultilevel"/>
    <w:lvl w:ilvl="0">
      <w:lvlJc w:val="left"/>
      <w:lvlText w:val="%1."/>
      <w:numFmt w:val="decimal"/>
      <w:start w:val="1"/>
    </w:lvl>
  </w:abstractNum>
  <w:abstractNum w:abstractNumId="65">
    <w:nsid w:val="4AD084E9"/>
    <w:multiLevelType w:val="hybridMultilevel"/>
    <w:lvl w:ilvl="0">
      <w:lvlJc w:val="left"/>
      <w:lvlText w:val="%1."/>
      <w:numFmt w:val="decimal"/>
      <w:start w:val="2"/>
    </w:lvl>
  </w:abstractNum>
  <w:abstractNum w:abstractNumId="66">
    <w:nsid w:val="1F48EAA1"/>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2026-06-11T15:31:31Z</dcterms:created>
  <dcterms:modified xsi:type="dcterms:W3CDTF">2026-06-11T15:31:31Z</dcterms:modified>
</cp:coreProperties>
</file>