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tbl>
      <w:tblPr>
        <w:tblLayout w:type="fixed"/>
        <w:tblInd w:w="0" w:type="dxa"/>
        <w:tblCellMar>
          <w:top w:w="0" w:type="dxa"/>
          <w:left w:w="0" w:type="dxa"/>
          <w:bottom w:w="0" w:type="dxa"/>
          <w:right w:w="0" w:type="dxa"/>
        </w:tblCellMar>
      </w:tblPr>
      <w:tr>
        <w:trPr>
          <w:trHeight w:val="2580"/>
        </w:trPr>
        <w:tc>
          <w:tcPr>
            <w:tcW w:w="1334" w:type="dxa"/>
            <w:vAlign w:val="bottom"/>
            <w:textDirection w:val="btLr"/>
          </w:tcPr>
          <w:p>
            <w:pPr>
              <w:spacing w:after="0"/>
              <w:rPr>
                <w:sz w:val="20"/>
                <w:szCs w:val="20"/>
                <w:color w:val="auto"/>
              </w:rPr>
            </w:pPr>
            <w:r>
              <w:rPr>
                <w:rFonts w:ascii="Arial" w:cs="Arial" w:eastAsia="Arial" w:hAnsi="Arial"/>
                <w:sz w:val="116"/>
                <w:szCs w:val="116"/>
                <w:b w:val="1"/>
                <w:bCs w:val="1"/>
                <w:color w:val="5191CD"/>
              </w:rPr>
              <w:t>2026</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spacing w:after="0"/>
        <w:rPr>
          <w:sz w:val="20"/>
          <w:szCs w:val="20"/>
          <w:color w:val="auto"/>
        </w:rPr>
      </w:pPr>
      <w:r>
        <w:rPr>
          <w:rFonts w:ascii="Arial" w:cs="Arial" w:eastAsia="Arial" w:hAnsi="Arial"/>
          <w:sz w:val="33"/>
          <w:szCs w:val="33"/>
          <w:b w:val="1"/>
          <w:bCs w:val="1"/>
          <w:color w:val="231F20"/>
        </w:rPr>
        <w:t>Annual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-1591945</wp:posOffset>
            </wp:positionV>
            <wp:extent cx="4585970" cy="765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585970" cy="765175"/>
                    </a:xfrm>
                    <a:prstGeom prst="rect">
                      <a:avLst/>
                    </a:prstGeom>
                    <a:noFill/>
                  </pic:spPr>
                </pic:pic>
              </a:graphicData>
            </a:graphic>
          </wp:anchor>
        </w:drawing>
      </w:r>
    </w:p>
    <w:p>
      <w:pPr>
        <w:spacing w:after="0" w:line="6" w:lineRule="exact"/>
        <w:rPr>
          <w:sz w:val="24"/>
          <w:szCs w:val="24"/>
          <w:color w:val="auto"/>
        </w:rPr>
      </w:pPr>
    </w:p>
    <w:p>
      <w:pPr>
        <w:spacing w:after="0"/>
        <w:rPr>
          <w:sz w:val="20"/>
          <w:szCs w:val="20"/>
          <w:color w:val="auto"/>
        </w:rPr>
      </w:pPr>
      <w:r>
        <w:rPr>
          <w:rFonts w:ascii="Arial" w:cs="Arial" w:eastAsia="Arial" w:hAnsi="Arial"/>
          <w:sz w:val="33"/>
          <w:szCs w:val="33"/>
          <w:color w:val="231F20"/>
        </w:rPr>
        <w:t>Annual Report on Form 10-K</w:t>
      </w:r>
    </w:p>
    <w:p>
      <w:pPr>
        <w:sectPr>
          <w:pgSz w:w="11880" w:h="15480" w:orient="portrait"/>
          <w:cols w:equalWidth="0" w:num="2">
            <w:col w:w="1694" w:space="720"/>
            <w:col w:w="7060"/>
          </w:cols>
          <w:pgMar w:left="966" w:top="1440" w:right="1440" w:bottom="1440" w:gutter="0" w:footer="0" w:header="0"/>
        </w:sectPr>
      </w:pPr>
    </w:p>
    <w:bookmarkStart w:id="1" w:name="page2"/>
    <w:bookmarkEnd w:id="1"/>
    <w:p>
      <w:pPr>
        <w:jc w:val="center"/>
        <w:ind w:right="-139"/>
        <w:spacing w:after="0"/>
        <w:rPr>
          <w:sz w:val="20"/>
          <w:szCs w:val="20"/>
          <w:color w:val="auto"/>
        </w:rPr>
      </w:pPr>
      <w:r>
        <w:rPr>
          <w:rFonts w:ascii="Times New Roman" w:cs="Times New Roman" w:eastAsia="Times New Roman" w:hAnsi="Times New Roman"/>
          <w:sz w:val="35"/>
          <w:szCs w:val="35"/>
          <w:color w:val="231F20"/>
        </w:rPr>
        <w:t>United States Securities and Exchange Commission</w:t>
      </w:r>
    </w:p>
    <w:p>
      <w:pPr>
        <w:spacing w:after="0" w:line="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231F20"/>
        </w:rPr>
        <w:t>Washington, D. C. 20549</w:t>
      </w:r>
    </w:p>
    <w:p>
      <w:pPr>
        <w:spacing w:after="0" w:line="3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9"/>
          <w:szCs w:val="19"/>
          <w:color w:val="231F20"/>
        </w:rPr>
        <w:t>________________________________________________</w:t>
      </w:r>
    </w:p>
    <w:p>
      <w:pPr>
        <w:spacing w:after="0" w:line="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7"/>
          <w:szCs w:val="27"/>
          <w:color w:val="231F20"/>
        </w:rPr>
        <w:t>FORM 10-K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(Mark One)</w:t>
      </w:r>
    </w:p>
    <w:p>
      <w:pPr>
        <w:spacing w:after="0" w:line="1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231F20"/>
        </w:rPr>
        <w:t>ANNUAL REPORT PURSUANT TO SECTION 13 OR 15(d) OF THE SECURITIES EXCHANGE ACT OF 1934</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231F20"/>
        </w:rPr>
        <w:t xml:space="preserve">For the fiscal year ended </w:t>
      </w:r>
      <w:r>
        <w:rPr>
          <w:rFonts w:ascii="Times New Roman" w:cs="Times New Roman" w:eastAsia="Times New Roman" w:hAnsi="Times New Roman"/>
          <w:sz w:val="19"/>
          <w:szCs w:val="19"/>
          <w:b w:val="1"/>
          <w:bCs w:val="1"/>
          <w:color w:val="231F20"/>
        </w:rPr>
        <w:t>March 31, 2026</w:t>
      </w:r>
    </w:p>
    <w:p>
      <w:pPr>
        <w:spacing w:after="0" w:line="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231F20"/>
        </w:rPr>
        <w:t>OR</w:t>
      </w:r>
    </w:p>
    <w:p>
      <w:pPr>
        <w:spacing w:after="0" w:line="179" w:lineRule="exact"/>
        <w:rPr>
          <w:sz w:val="20"/>
          <w:szCs w:val="20"/>
          <w:color w:val="auto"/>
        </w:rPr>
      </w:pPr>
    </w:p>
    <w:p>
      <w:pPr>
        <w:ind w:left="600" w:hanging="418"/>
        <w:spacing w:after="0"/>
        <w:tabs>
          <w:tab w:leader="none" w:pos="600" w:val="left"/>
        </w:tabs>
        <w:numPr>
          <w:ilvl w:val="0"/>
          <w:numId w:val="1"/>
        </w:numPr>
        <w:rPr>
          <w:rFonts w:ascii="PMingLiU" w:cs="PMingLiU" w:eastAsia="PMingLiU" w:hAnsi="PMingLiU"/>
          <w:sz w:val="19"/>
          <w:szCs w:val="19"/>
          <w:color w:val="231F20"/>
        </w:rPr>
      </w:pPr>
      <w:r>
        <w:rPr>
          <w:rFonts w:ascii="Times New Roman" w:cs="Times New Roman" w:eastAsia="Times New Roman" w:hAnsi="Times New Roman"/>
          <w:sz w:val="17"/>
          <w:szCs w:val="17"/>
          <w:b w:val="1"/>
          <w:bCs w:val="1"/>
          <w:color w:val="231F20"/>
        </w:rPr>
        <w:t>TRANSITION REPORT PURSUANT TO SECTION 13 OR 15(d) OF THE SECURITIES EXCHANGE ACT OF 1934</w:t>
      </w:r>
    </w:p>
    <w:p>
      <w:pPr>
        <w:spacing w:after="0" w:line="2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b w:val="1"/>
          <w:bCs w:val="1"/>
          <w:color w:val="231F20"/>
        </w:rPr>
        <w:t xml:space="preserve">Commission file number </w:t>
      </w:r>
      <w:r>
        <w:rPr>
          <w:rFonts w:ascii="Times New Roman" w:cs="Times New Roman" w:eastAsia="Times New Roman" w:hAnsi="Times New Roman"/>
          <w:sz w:val="19"/>
          <w:szCs w:val="19"/>
          <w:color w:val="231F20"/>
        </w:rPr>
        <w:t>001-38848</w:t>
      </w:r>
    </w:p>
    <w:p>
      <w:pPr>
        <w:spacing w:after="0" w:line="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5"/>
          <w:szCs w:val="35"/>
          <w:b w:val="1"/>
          <w:bCs w:val="1"/>
          <w:color w:val="231F20"/>
        </w:rPr>
        <w:t>STERIS plc</w:t>
      </w:r>
    </w:p>
    <w:p>
      <w:pPr>
        <w:spacing w:after="0" w:line="1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231F20"/>
        </w:rPr>
        <w:t>(Exact name of registrant as specified in its charter)</w:t>
      </w:r>
    </w:p>
    <w:p>
      <w:pPr>
        <w:spacing w:after="0" w:line="150" w:lineRule="exact"/>
        <w:rPr>
          <w:sz w:val="20"/>
          <w:szCs w:val="20"/>
          <w:color w:val="auto"/>
        </w:rPr>
      </w:pPr>
    </w:p>
    <w:tbl>
      <w:tblPr>
        <w:tblLayout w:type="fixed"/>
        <w:tblInd w:w="360" w:type="dxa"/>
        <w:tblCellMar>
          <w:top w:w="0" w:type="dxa"/>
          <w:left w:w="0" w:type="dxa"/>
          <w:bottom w:w="0" w:type="dxa"/>
          <w:right w:w="0" w:type="dxa"/>
        </w:tblCellMar>
      </w:tblPr>
      <w:tr>
        <w:trPr>
          <w:trHeight w:val="195"/>
        </w:trPr>
        <w:tc>
          <w:tcPr>
            <w:tcW w:w="4880" w:type="dxa"/>
            <w:vAlign w:val="bottom"/>
          </w:tcPr>
          <w:p>
            <w:pPr>
              <w:jc w:val="center"/>
              <w:ind w:right="1093"/>
              <w:spacing w:after="0"/>
              <w:rPr>
                <w:sz w:val="20"/>
                <w:szCs w:val="20"/>
                <w:color w:val="auto"/>
              </w:rPr>
            </w:pPr>
            <w:r>
              <w:rPr>
                <w:rFonts w:ascii="Times New Roman" w:cs="Times New Roman" w:eastAsia="Times New Roman" w:hAnsi="Times New Roman"/>
                <w:sz w:val="17"/>
                <w:szCs w:val="17"/>
                <w:b w:val="1"/>
                <w:bCs w:val="1"/>
                <w:color w:val="231F20"/>
              </w:rPr>
              <w:t>Ireland</w:t>
            </w:r>
          </w:p>
        </w:tc>
        <w:tc>
          <w:tcPr>
            <w:tcW w:w="2500" w:type="dxa"/>
            <w:vAlign w:val="bottom"/>
          </w:tcPr>
          <w:p>
            <w:pPr>
              <w:jc w:val="right"/>
              <w:ind w:right="133"/>
              <w:spacing w:after="0"/>
              <w:rPr>
                <w:sz w:val="20"/>
                <w:szCs w:val="20"/>
                <w:color w:val="auto"/>
              </w:rPr>
            </w:pPr>
            <w:r>
              <w:rPr>
                <w:rFonts w:ascii="Times New Roman" w:cs="Times New Roman" w:eastAsia="Times New Roman" w:hAnsi="Times New Roman"/>
                <w:sz w:val="17"/>
                <w:szCs w:val="17"/>
                <w:b w:val="1"/>
                <w:bCs w:val="1"/>
                <w:color w:val="231F20"/>
              </w:rPr>
              <w:t>98-1455064</w:t>
            </w:r>
          </w:p>
        </w:tc>
      </w:tr>
      <w:tr>
        <w:trPr>
          <w:trHeight w:val="176"/>
        </w:trPr>
        <w:tc>
          <w:tcPr>
            <w:tcW w:w="4880" w:type="dxa"/>
            <w:vAlign w:val="bottom"/>
          </w:tcPr>
          <w:p>
            <w:pPr>
              <w:jc w:val="center"/>
              <w:ind w:right="1093"/>
              <w:spacing w:after="0" w:line="176" w:lineRule="exact"/>
              <w:rPr>
                <w:sz w:val="20"/>
                <w:szCs w:val="20"/>
                <w:color w:val="auto"/>
              </w:rPr>
            </w:pPr>
            <w:r>
              <w:rPr>
                <w:rFonts w:ascii="Times New Roman" w:cs="Times New Roman" w:eastAsia="Times New Roman" w:hAnsi="Times New Roman"/>
                <w:sz w:val="17"/>
                <w:szCs w:val="17"/>
                <w:color w:val="231F20"/>
              </w:rPr>
              <w:t>(State or other jurisdiction of</w:t>
            </w:r>
          </w:p>
        </w:tc>
        <w:tc>
          <w:tcPr>
            <w:tcW w:w="2500" w:type="dxa"/>
            <w:vAlign w:val="bottom"/>
          </w:tcPr>
          <w:p>
            <w:pPr>
              <w:jc w:val="center"/>
              <w:ind w:left="1113"/>
              <w:spacing w:after="0" w:line="176" w:lineRule="exact"/>
              <w:rPr>
                <w:sz w:val="20"/>
                <w:szCs w:val="20"/>
                <w:color w:val="auto"/>
              </w:rPr>
            </w:pPr>
            <w:r>
              <w:rPr>
                <w:rFonts w:ascii="Times New Roman" w:cs="Times New Roman" w:eastAsia="Times New Roman" w:hAnsi="Times New Roman"/>
                <w:sz w:val="17"/>
                <w:szCs w:val="17"/>
                <w:color w:val="231F20"/>
              </w:rPr>
              <w:t>(IRS Employer</w:t>
            </w:r>
          </w:p>
        </w:tc>
      </w:tr>
      <w:tr>
        <w:trPr>
          <w:trHeight w:val="228"/>
        </w:trPr>
        <w:tc>
          <w:tcPr>
            <w:tcW w:w="4880" w:type="dxa"/>
            <w:vAlign w:val="bottom"/>
          </w:tcPr>
          <w:p>
            <w:pPr>
              <w:jc w:val="center"/>
              <w:ind w:right="1093"/>
              <w:spacing w:after="0"/>
              <w:rPr>
                <w:sz w:val="20"/>
                <w:szCs w:val="20"/>
                <w:color w:val="auto"/>
              </w:rPr>
            </w:pPr>
            <w:r>
              <w:rPr>
                <w:rFonts w:ascii="Times New Roman" w:cs="Times New Roman" w:eastAsia="Times New Roman" w:hAnsi="Times New Roman"/>
                <w:sz w:val="17"/>
                <w:szCs w:val="17"/>
                <w:color w:val="231F20"/>
              </w:rPr>
              <w:t>incorporation or organization)</w:t>
            </w:r>
          </w:p>
        </w:tc>
        <w:tc>
          <w:tcPr>
            <w:tcW w:w="2500" w:type="dxa"/>
            <w:vAlign w:val="bottom"/>
          </w:tcPr>
          <w:p>
            <w:pPr>
              <w:jc w:val="center"/>
              <w:ind w:left="1113"/>
              <w:spacing w:after="0"/>
              <w:rPr>
                <w:sz w:val="20"/>
                <w:szCs w:val="20"/>
                <w:color w:val="auto"/>
              </w:rPr>
            </w:pPr>
            <w:r>
              <w:rPr>
                <w:rFonts w:ascii="Times New Roman" w:cs="Times New Roman" w:eastAsia="Times New Roman" w:hAnsi="Times New Roman"/>
                <w:sz w:val="17"/>
                <w:szCs w:val="17"/>
                <w:color w:val="231F20"/>
              </w:rPr>
              <w:t>Identification No.)</w:t>
            </w:r>
          </w:p>
        </w:tc>
      </w:tr>
      <w:tr>
        <w:trPr>
          <w:trHeight w:val="406"/>
        </w:trPr>
        <w:tc>
          <w:tcPr>
            <w:tcW w:w="4880" w:type="dxa"/>
            <w:vAlign w:val="bottom"/>
          </w:tcPr>
          <w:p>
            <w:pPr>
              <w:jc w:val="center"/>
              <w:ind w:right="1093"/>
              <w:spacing w:after="0"/>
              <w:rPr>
                <w:sz w:val="20"/>
                <w:szCs w:val="20"/>
                <w:color w:val="auto"/>
              </w:rPr>
            </w:pPr>
            <w:r>
              <w:rPr>
                <w:rFonts w:ascii="Times New Roman" w:cs="Times New Roman" w:eastAsia="Times New Roman" w:hAnsi="Times New Roman"/>
                <w:sz w:val="17"/>
                <w:szCs w:val="17"/>
                <w:b w:val="1"/>
                <w:bCs w:val="1"/>
                <w:color w:val="434344"/>
              </w:rPr>
              <w:t>70 Sir John Rogerson's Quay, Dublin 2, Ireland</w:t>
            </w:r>
          </w:p>
        </w:tc>
        <w:tc>
          <w:tcPr>
            <w:tcW w:w="2500" w:type="dxa"/>
            <w:vAlign w:val="bottom"/>
          </w:tcPr>
          <w:p>
            <w:pPr>
              <w:jc w:val="center"/>
              <w:ind w:left="1113"/>
              <w:spacing w:after="0"/>
              <w:rPr>
                <w:sz w:val="20"/>
                <w:szCs w:val="20"/>
                <w:color w:val="auto"/>
              </w:rPr>
            </w:pPr>
            <w:r>
              <w:rPr>
                <w:rFonts w:ascii="Times New Roman" w:cs="Times New Roman" w:eastAsia="Times New Roman" w:hAnsi="Times New Roman"/>
                <w:sz w:val="17"/>
                <w:szCs w:val="17"/>
                <w:b w:val="1"/>
                <w:bCs w:val="1"/>
                <w:color w:val="231F20"/>
              </w:rPr>
              <w:t>D02 R296</w:t>
            </w:r>
          </w:p>
        </w:tc>
      </w:tr>
      <w:tr>
        <w:trPr>
          <w:trHeight w:val="247"/>
        </w:trPr>
        <w:tc>
          <w:tcPr>
            <w:tcW w:w="4880" w:type="dxa"/>
            <w:vAlign w:val="bottom"/>
          </w:tcPr>
          <w:p>
            <w:pPr>
              <w:jc w:val="center"/>
              <w:ind w:right="1093"/>
              <w:spacing w:after="0"/>
              <w:rPr>
                <w:sz w:val="20"/>
                <w:szCs w:val="20"/>
                <w:color w:val="auto"/>
              </w:rPr>
            </w:pPr>
            <w:r>
              <w:rPr>
                <w:rFonts w:ascii="Times New Roman" w:cs="Times New Roman" w:eastAsia="Times New Roman" w:hAnsi="Times New Roman"/>
                <w:sz w:val="17"/>
                <w:szCs w:val="17"/>
                <w:color w:val="231F20"/>
              </w:rPr>
              <w:t>(Address of principal executive offices)</w:t>
            </w:r>
          </w:p>
        </w:tc>
        <w:tc>
          <w:tcPr>
            <w:tcW w:w="2500" w:type="dxa"/>
            <w:vAlign w:val="bottom"/>
          </w:tcPr>
          <w:p>
            <w:pPr>
              <w:jc w:val="center"/>
              <w:ind w:left="1113"/>
              <w:spacing w:after="0"/>
              <w:rPr>
                <w:sz w:val="20"/>
                <w:szCs w:val="20"/>
                <w:color w:val="auto"/>
              </w:rPr>
            </w:pPr>
            <w:r>
              <w:rPr>
                <w:rFonts w:ascii="Times New Roman" w:cs="Times New Roman" w:eastAsia="Times New Roman" w:hAnsi="Times New Roman"/>
                <w:sz w:val="17"/>
                <w:szCs w:val="17"/>
                <w:color w:val="231F20"/>
              </w:rPr>
              <w:t>(Zip code)</w:t>
            </w:r>
          </w:p>
        </w:tc>
      </w:tr>
    </w:tbl>
    <w:p>
      <w:pPr>
        <w:spacing w:after="0" w:line="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231F20"/>
        </w:rPr>
        <w:t>353 1 232 2000</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231F20"/>
        </w:rPr>
        <w:t>(Registrant’s telephone number, including area code)</w:t>
      </w:r>
    </w:p>
    <w:p>
      <w:pPr>
        <w:spacing w:after="0" w:line="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b w:val="1"/>
          <w:bCs w:val="1"/>
          <w:color w:val="231F20"/>
        </w:rPr>
        <w:t>SECURITIES REGISTERED PURSUANT TO SECTION 12(b) OF THE ACT:</w:t>
      </w:r>
    </w:p>
    <w:p>
      <w:pPr>
        <w:spacing w:after="0" w:line="184"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3120" w:type="dxa"/>
            <w:vAlign w:val="bottom"/>
          </w:tcPr>
          <w:p>
            <w:pPr>
              <w:jc w:val="center"/>
              <w:ind w:right="653"/>
              <w:spacing w:after="0"/>
              <w:rPr>
                <w:sz w:val="20"/>
                <w:szCs w:val="20"/>
                <w:color w:val="auto"/>
              </w:rPr>
            </w:pPr>
            <w:r>
              <w:rPr>
                <w:rFonts w:ascii="Times New Roman" w:cs="Times New Roman" w:eastAsia="Times New Roman" w:hAnsi="Times New Roman"/>
                <w:sz w:val="17"/>
                <w:szCs w:val="17"/>
                <w:color w:val="231F20"/>
              </w:rPr>
              <w:t>Title of each class</w:t>
            </w:r>
          </w:p>
        </w:tc>
        <w:tc>
          <w:tcPr>
            <w:tcW w:w="2680" w:type="dxa"/>
            <w:vAlign w:val="bottom"/>
          </w:tcPr>
          <w:p>
            <w:pPr>
              <w:jc w:val="center"/>
              <w:ind w:left="13"/>
              <w:spacing w:after="0"/>
              <w:rPr>
                <w:sz w:val="20"/>
                <w:szCs w:val="20"/>
                <w:color w:val="auto"/>
              </w:rPr>
            </w:pPr>
            <w:r>
              <w:rPr>
                <w:rFonts w:ascii="Times New Roman" w:cs="Times New Roman" w:eastAsia="Times New Roman" w:hAnsi="Times New Roman"/>
                <w:sz w:val="17"/>
                <w:szCs w:val="17"/>
                <w:color w:val="231F20"/>
              </w:rPr>
              <w:t>Trading symbol(s)</w:t>
            </w:r>
          </w:p>
        </w:tc>
        <w:tc>
          <w:tcPr>
            <w:tcW w:w="3360" w:type="dxa"/>
            <w:vAlign w:val="bottom"/>
          </w:tcPr>
          <w:p>
            <w:pPr>
              <w:jc w:val="center"/>
              <w:ind w:left="533"/>
              <w:spacing w:after="0"/>
              <w:rPr>
                <w:sz w:val="20"/>
                <w:szCs w:val="20"/>
                <w:color w:val="auto"/>
              </w:rPr>
            </w:pPr>
            <w:r>
              <w:rPr>
                <w:rFonts w:ascii="Times New Roman" w:cs="Times New Roman" w:eastAsia="Times New Roman" w:hAnsi="Times New Roman"/>
                <w:sz w:val="17"/>
                <w:szCs w:val="17"/>
                <w:color w:val="231F20"/>
              </w:rPr>
              <w:t>Name of exchange on which registered</w:t>
            </w:r>
          </w:p>
        </w:tc>
      </w:tr>
      <w:tr>
        <w:trPr>
          <w:trHeight w:val="247"/>
        </w:trPr>
        <w:tc>
          <w:tcPr>
            <w:tcW w:w="3120" w:type="dxa"/>
            <w:vAlign w:val="bottom"/>
          </w:tcPr>
          <w:p>
            <w:pPr>
              <w:jc w:val="center"/>
              <w:ind w:right="653"/>
              <w:spacing w:after="0"/>
              <w:rPr>
                <w:sz w:val="20"/>
                <w:szCs w:val="20"/>
                <w:color w:val="auto"/>
              </w:rPr>
            </w:pPr>
            <w:r>
              <w:rPr>
                <w:rFonts w:ascii="Times New Roman" w:cs="Times New Roman" w:eastAsia="Times New Roman" w:hAnsi="Times New Roman"/>
                <w:sz w:val="17"/>
                <w:szCs w:val="17"/>
                <w:color w:val="231F20"/>
              </w:rPr>
              <w:t>Ordinary Shares, $0.001 par value</w:t>
            </w:r>
          </w:p>
        </w:tc>
        <w:tc>
          <w:tcPr>
            <w:tcW w:w="2680" w:type="dxa"/>
            <w:vAlign w:val="bottom"/>
          </w:tcPr>
          <w:p>
            <w:pPr>
              <w:jc w:val="center"/>
              <w:ind w:left="33"/>
              <w:spacing w:after="0"/>
              <w:rPr>
                <w:sz w:val="20"/>
                <w:szCs w:val="20"/>
                <w:color w:val="auto"/>
              </w:rPr>
            </w:pPr>
            <w:r>
              <w:rPr>
                <w:rFonts w:ascii="Times New Roman" w:cs="Times New Roman" w:eastAsia="Times New Roman" w:hAnsi="Times New Roman"/>
                <w:sz w:val="17"/>
                <w:szCs w:val="17"/>
                <w:color w:val="231F20"/>
              </w:rPr>
              <w:t>STE</w:t>
            </w:r>
          </w:p>
        </w:tc>
        <w:tc>
          <w:tcPr>
            <w:tcW w:w="3360" w:type="dxa"/>
            <w:vAlign w:val="bottom"/>
          </w:tcPr>
          <w:p>
            <w:pPr>
              <w:jc w:val="center"/>
              <w:ind w:left="533"/>
              <w:spacing w:after="0"/>
              <w:rPr>
                <w:sz w:val="20"/>
                <w:szCs w:val="20"/>
                <w:color w:val="auto"/>
              </w:rPr>
            </w:pPr>
            <w:r>
              <w:rPr>
                <w:rFonts w:ascii="Times New Roman" w:cs="Times New Roman" w:eastAsia="Times New Roman" w:hAnsi="Times New Roman"/>
                <w:sz w:val="17"/>
                <w:szCs w:val="17"/>
                <w:color w:val="231F20"/>
              </w:rPr>
              <w:t>New York Stock Exchange</w:t>
            </w:r>
          </w:p>
        </w:tc>
      </w:tr>
      <w:tr>
        <w:trPr>
          <w:trHeight w:val="247"/>
        </w:trPr>
        <w:tc>
          <w:tcPr>
            <w:tcW w:w="3120" w:type="dxa"/>
            <w:vAlign w:val="bottom"/>
          </w:tcPr>
          <w:p>
            <w:pPr>
              <w:jc w:val="center"/>
              <w:ind w:right="653"/>
              <w:spacing w:after="0"/>
              <w:rPr>
                <w:sz w:val="20"/>
                <w:szCs w:val="20"/>
                <w:color w:val="auto"/>
              </w:rPr>
            </w:pPr>
            <w:r>
              <w:rPr>
                <w:rFonts w:ascii="Times New Roman" w:cs="Times New Roman" w:eastAsia="Times New Roman" w:hAnsi="Times New Roman"/>
                <w:sz w:val="17"/>
                <w:szCs w:val="17"/>
                <w:color w:val="231F20"/>
              </w:rPr>
              <w:t>2.700% Senior Notes due 2031</w:t>
            </w:r>
          </w:p>
        </w:tc>
        <w:tc>
          <w:tcPr>
            <w:tcW w:w="2680" w:type="dxa"/>
            <w:vAlign w:val="bottom"/>
          </w:tcPr>
          <w:p>
            <w:pPr>
              <w:jc w:val="center"/>
              <w:ind w:left="13"/>
              <w:spacing w:after="0"/>
              <w:rPr>
                <w:sz w:val="20"/>
                <w:szCs w:val="20"/>
                <w:color w:val="auto"/>
              </w:rPr>
            </w:pPr>
            <w:r>
              <w:rPr>
                <w:rFonts w:ascii="Times New Roman" w:cs="Times New Roman" w:eastAsia="Times New Roman" w:hAnsi="Times New Roman"/>
                <w:sz w:val="17"/>
                <w:szCs w:val="17"/>
                <w:color w:val="231F20"/>
              </w:rPr>
              <w:t>STE/31</w:t>
            </w:r>
          </w:p>
        </w:tc>
        <w:tc>
          <w:tcPr>
            <w:tcW w:w="3360" w:type="dxa"/>
            <w:vAlign w:val="bottom"/>
          </w:tcPr>
          <w:p>
            <w:pPr>
              <w:jc w:val="center"/>
              <w:ind w:left="533"/>
              <w:spacing w:after="0"/>
              <w:rPr>
                <w:sz w:val="20"/>
                <w:szCs w:val="20"/>
                <w:color w:val="auto"/>
              </w:rPr>
            </w:pPr>
            <w:r>
              <w:rPr>
                <w:rFonts w:ascii="Times New Roman" w:cs="Times New Roman" w:eastAsia="Times New Roman" w:hAnsi="Times New Roman"/>
                <w:sz w:val="17"/>
                <w:szCs w:val="17"/>
                <w:color w:val="231F20"/>
              </w:rPr>
              <w:t>New York Stock Exchange</w:t>
            </w:r>
          </w:p>
        </w:tc>
      </w:tr>
      <w:tr>
        <w:trPr>
          <w:trHeight w:val="247"/>
        </w:trPr>
        <w:tc>
          <w:tcPr>
            <w:tcW w:w="3120" w:type="dxa"/>
            <w:vAlign w:val="bottom"/>
          </w:tcPr>
          <w:p>
            <w:pPr>
              <w:jc w:val="center"/>
              <w:ind w:right="653"/>
              <w:spacing w:after="0"/>
              <w:rPr>
                <w:sz w:val="20"/>
                <w:szCs w:val="20"/>
                <w:color w:val="auto"/>
              </w:rPr>
            </w:pPr>
            <w:r>
              <w:rPr>
                <w:rFonts w:ascii="Times New Roman" w:cs="Times New Roman" w:eastAsia="Times New Roman" w:hAnsi="Times New Roman"/>
                <w:sz w:val="17"/>
                <w:szCs w:val="17"/>
                <w:color w:val="231F20"/>
              </w:rPr>
              <w:t>3.750% Senior Notes due 2051</w:t>
            </w:r>
          </w:p>
        </w:tc>
        <w:tc>
          <w:tcPr>
            <w:tcW w:w="2680" w:type="dxa"/>
            <w:vAlign w:val="bottom"/>
          </w:tcPr>
          <w:p>
            <w:pPr>
              <w:jc w:val="center"/>
              <w:ind w:left="13"/>
              <w:spacing w:after="0"/>
              <w:rPr>
                <w:sz w:val="20"/>
                <w:szCs w:val="20"/>
                <w:color w:val="auto"/>
              </w:rPr>
            </w:pPr>
            <w:r>
              <w:rPr>
                <w:rFonts w:ascii="Times New Roman" w:cs="Times New Roman" w:eastAsia="Times New Roman" w:hAnsi="Times New Roman"/>
                <w:sz w:val="17"/>
                <w:szCs w:val="17"/>
                <w:color w:val="231F20"/>
              </w:rPr>
              <w:t>STE/51</w:t>
            </w:r>
          </w:p>
        </w:tc>
        <w:tc>
          <w:tcPr>
            <w:tcW w:w="3360" w:type="dxa"/>
            <w:vAlign w:val="bottom"/>
          </w:tcPr>
          <w:p>
            <w:pPr>
              <w:jc w:val="center"/>
              <w:ind w:left="533"/>
              <w:spacing w:after="0"/>
              <w:rPr>
                <w:sz w:val="20"/>
                <w:szCs w:val="20"/>
                <w:color w:val="auto"/>
              </w:rPr>
            </w:pPr>
            <w:r>
              <w:rPr>
                <w:rFonts w:ascii="Times New Roman" w:cs="Times New Roman" w:eastAsia="Times New Roman" w:hAnsi="Times New Roman"/>
                <w:sz w:val="17"/>
                <w:szCs w:val="17"/>
                <w:color w:val="231F20"/>
              </w:rPr>
              <w:t>New York Stock Exchange</w:t>
            </w:r>
          </w:p>
        </w:tc>
      </w:tr>
    </w:tbl>
    <w:p>
      <w:pPr>
        <w:spacing w:after="0" w:line="1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b w:val="1"/>
          <w:bCs w:val="1"/>
          <w:color w:val="231F20"/>
        </w:rPr>
        <w:t xml:space="preserve">SECURITIES REGISTERED PURSUANT TO SECTION 12(g) OF THE ACT: </w:t>
      </w:r>
      <w:r>
        <w:rPr>
          <w:rFonts w:ascii="Times New Roman" w:cs="Times New Roman" w:eastAsia="Times New Roman" w:hAnsi="Times New Roman"/>
          <w:sz w:val="19"/>
          <w:szCs w:val="19"/>
          <w:color w:val="231F20"/>
        </w:rPr>
        <w:t>None</w:t>
      </w:r>
    </w:p>
    <w:p>
      <w:pPr>
        <w:spacing w:after="0" w:line="38"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7"/>
          <w:szCs w:val="17"/>
          <w:color w:val="231F20"/>
        </w:rPr>
        <w:t xml:space="preserve">Indicate by check mark if the registrant is a well-known seasoned issuer, as defined in Rule 405 of the Securities Act. Yes </w:t>
      </w:r>
      <w:r>
        <w:rPr>
          <w:rFonts w:ascii="Wingdings" w:cs="Wingdings" w:eastAsia="Wingdings" w:hAnsi="Wingdings"/>
          <w:sz w:val="17"/>
          <w:szCs w:val="17"/>
          <w:color w:val="231F20"/>
        </w:rPr>
        <w:t>x</w:t>
      </w:r>
      <w:r>
        <w:rPr>
          <w:rFonts w:ascii="Times New Roman" w:cs="Times New Roman" w:eastAsia="Times New Roman" w:hAnsi="Times New Roman"/>
          <w:sz w:val="17"/>
          <w:szCs w:val="17"/>
          <w:color w:val="231F20"/>
        </w:rPr>
        <w:t xml:space="preserve"> No </w:t>
      </w:r>
      <w:r>
        <w:rPr>
          <w:rFonts w:ascii="Wingdings" w:cs="Wingdings" w:eastAsia="Wingdings" w:hAnsi="Wingdings"/>
          <w:sz w:val="17"/>
          <w:szCs w:val="17"/>
          <w:color w:val="231F20"/>
        </w:rPr>
        <w:t>o</w:t>
      </w:r>
      <w:r>
        <w:rPr>
          <w:rFonts w:ascii="Times New Roman" w:cs="Times New Roman" w:eastAsia="Times New Roman" w:hAnsi="Times New Roman"/>
          <w:sz w:val="17"/>
          <w:szCs w:val="17"/>
          <w:color w:val="231F20"/>
        </w:rPr>
        <w:t xml:space="preserve"> Indicate by check mark if the registrant is not required to file reports pursuant to Section 13 or Section 15(d) of the Act. Yes </w:t>
      </w:r>
      <w:r>
        <w:rPr>
          <w:rFonts w:ascii="Wingdings" w:cs="Wingdings" w:eastAsia="Wingdings" w:hAnsi="Wingdings"/>
          <w:sz w:val="17"/>
          <w:szCs w:val="17"/>
          <w:color w:val="231F20"/>
        </w:rPr>
        <w:t>o</w:t>
      </w:r>
      <w:r>
        <w:rPr>
          <w:rFonts w:ascii="Times New Roman" w:cs="Times New Roman" w:eastAsia="Times New Roman" w:hAnsi="Times New Roman"/>
          <w:sz w:val="17"/>
          <w:szCs w:val="17"/>
          <w:color w:val="231F20"/>
        </w:rPr>
        <w:t xml:space="preserve"> No </w:t>
      </w:r>
      <w:r>
        <w:rPr>
          <w:rFonts w:ascii="Wingdings" w:cs="Wingdings" w:eastAsia="Wingdings" w:hAnsi="Wingdings"/>
          <w:sz w:val="17"/>
          <w:szCs w:val="17"/>
          <w:color w:val="231F20"/>
        </w:rPr>
        <w:t>x</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7"/>
          <w:szCs w:val="17"/>
          <w:color w:val="231F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w:t>
      </w:r>
    </w:p>
    <w:p>
      <w:pPr>
        <w:spacing w:after="0" w:line="1" w:lineRule="exact"/>
        <w:rPr>
          <w:sz w:val="20"/>
          <w:szCs w:val="20"/>
          <w:color w:val="auto"/>
        </w:rPr>
      </w:pPr>
    </w:p>
    <w:p>
      <w:pPr>
        <w:spacing w:after="0"/>
        <w:tabs>
          <w:tab w:leader="none" w:pos="4020" w:val="left"/>
          <w:tab w:leader="none" w:pos="4740" w:val="left"/>
        </w:tabs>
        <w:rPr>
          <w:sz w:val="20"/>
          <w:szCs w:val="20"/>
          <w:color w:val="auto"/>
        </w:rPr>
      </w:pPr>
      <w:r>
        <w:rPr>
          <w:rFonts w:ascii="Times New Roman" w:cs="Times New Roman" w:eastAsia="Times New Roman" w:hAnsi="Times New Roman"/>
          <w:sz w:val="17"/>
          <w:szCs w:val="17"/>
          <w:color w:val="231F20"/>
        </w:rPr>
        <w:t>subject to such filing requirements for the past 90 days.</w:t>
        <w:tab/>
        <w:t xml:space="preserve">Yes </w:t>
      </w:r>
      <w:r>
        <w:rPr>
          <w:rFonts w:ascii="Wingdings" w:cs="Wingdings" w:eastAsia="Wingdings" w:hAnsi="Wingdings"/>
          <w:sz w:val="17"/>
          <w:szCs w:val="17"/>
          <w:color w:val="231F20"/>
        </w:rPr>
        <w:t>x</w:t>
      </w:r>
      <w:r>
        <w:rPr>
          <w:rFonts w:ascii="Times New Roman" w:cs="Times New Roman" w:eastAsia="Times New Roman" w:hAnsi="Times New Roman"/>
          <w:sz w:val="17"/>
          <w:szCs w:val="17"/>
          <w:color w:val="231F20"/>
        </w:rPr>
        <w:tab/>
        <w:t xml:space="preserve">No </w:t>
      </w:r>
      <w:r>
        <w:rPr>
          <w:rFonts w:ascii="Wingdings" w:cs="Wingdings" w:eastAsia="Wingdings" w:hAnsi="Wingdings"/>
          <w:sz w:val="17"/>
          <w:szCs w:val="17"/>
          <w:color w:val="231F20"/>
        </w:rPr>
        <w:t>o</w:t>
      </w:r>
    </w:p>
    <w:p>
      <w:pPr>
        <w:spacing w:after="0" w:line="6" w:lineRule="exact"/>
        <w:rPr>
          <w:sz w:val="20"/>
          <w:szCs w:val="20"/>
          <w:color w:val="auto"/>
        </w:rPr>
      </w:pPr>
    </w:p>
    <w:p>
      <w:pPr>
        <w:ind w:right="140"/>
        <w:spacing w:after="0" w:line="221" w:lineRule="auto"/>
        <w:rPr>
          <w:sz w:val="20"/>
          <w:szCs w:val="20"/>
          <w:color w:val="auto"/>
        </w:rPr>
      </w:pPr>
      <w:r>
        <w:rPr>
          <w:rFonts w:ascii="Times New Roman" w:cs="Times New Roman" w:eastAsia="Times New Roman" w:hAnsi="Times New Roman"/>
          <w:sz w:val="17"/>
          <w:szCs w:val="17"/>
          <w:color w:val="231F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 xml:space="preserve">required to submit such files). Yes </w:t>
      </w:r>
      <w:r>
        <w:rPr>
          <w:rFonts w:ascii="Wingdings" w:cs="Wingdings" w:eastAsia="Wingdings" w:hAnsi="Wingdings"/>
          <w:sz w:val="17"/>
          <w:szCs w:val="17"/>
          <w:color w:val="231F20"/>
        </w:rPr>
        <w:t>x</w:t>
      </w:r>
      <w:r>
        <w:rPr>
          <w:rFonts w:ascii="Times New Roman" w:cs="Times New Roman" w:eastAsia="Times New Roman" w:hAnsi="Times New Roman"/>
          <w:sz w:val="17"/>
          <w:szCs w:val="17"/>
          <w:color w:val="231F20"/>
        </w:rPr>
        <w:t xml:space="preserve"> No </w:t>
      </w:r>
      <w:r>
        <w:rPr>
          <w:rFonts w:ascii="Wingdings" w:cs="Wingdings" w:eastAsia="Wingdings" w:hAnsi="Wingdings"/>
          <w:sz w:val="17"/>
          <w:szCs w:val="17"/>
          <w:color w:val="231F20"/>
        </w:rPr>
        <w:t>o</w:t>
      </w:r>
    </w:p>
    <w:p>
      <w:pPr>
        <w:spacing w:after="0" w:line="6"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7"/>
          <w:szCs w:val="17"/>
          <w:color w:val="231F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0"/>
          <w:szCs w:val="20"/>
          <w:color w:val="auto"/>
        </w:rPr>
      </w:pPr>
    </w:p>
    <w:tbl>
      <w:tblPr>
        <w:tblLayout w:type="fixed"/>
        <w:tblInd w:w="1080" w:type="dxa"/>
        <w:tblCellMar>
          <w:top w:w="0" w:type="dxa"/>
          <w:left w:w="0" w:type="dxa"/>
          <w:bottom w:w="0" w:type="dxa"/>
          <w:right w:w="0" w:type="dxa"/>
        </w:tblCellMar>
      </w:tblPr>
      <w:tr>
        <w:trPr>
          <w:trHeight w:val="262"/>
        </w:trPr>
        <w:tc>
          <w:tcPr>
            <w:tcW w:w="2120" w:type="dxa"/>
            <w:vAlign w:val="bottom"/>
          </w:tcPr>
          <w:p>
            <w:pPr>
              <w:jc w:val="center"/>
              <w:ind w:right="453"/>
              <w:spacing w:after="0"/>
              <w:rPr>
                <w:sz w:val="20"/>
                <w:szCs w:val="20"/>
                <w:color w:val="auto"/>
              </w:rPr>
            </w:pPr>
            <w:r>
              <w:rPr>
                <w:rFonts w:ascii="Times New Roman" w:cs="Times New Roman" w:eastAsia="Times New Roman" w:hAnsi="Times New Roman"/>
                <w:sz w:val="17"/>
                <w:szCs w:val="17"/>
                <w:color w:val="231F20"/>
              </w:rPr>
              <w:t>Large accelerated filer</w:t>
            </w:r>
          </w:p>
        </w:tc>
        <w:tc>
          <w:tcPr>
            <w:tcW w:w="1240" w:type="dxa"/>
            <w:vAlign w:val="bottom"/>
          </w:tcPr>
          <w:p>
            <w:pPr>
              <w:ind w:left="540"/>
              <w:spacing w:after="0"/>
              <w:rPr>
                <w:sz w:val="20"/>
                <w:szCs w:val="20"/>
                <w:color w:val="auto"/>
              </w:rPr>
            </w:pPr>
            <w:r>
              <w:rPr>
                <w:rFonts w:ascii="Wingdings" w:cs="Wingdings" w:eastAsia="Wingdings" w:hAnsi="Wingdings"/>
                <w:sz w:val="17"/>
                <w:szCs w:val="17"/>
                <w:color w:val="231F20"/>
              </w:rPr>
              <w:t>x</w:t>
            </w:r>
          </w:p>
        </w:tc>
        <w:tc>
          <w:tcPr>
            <w:tcW w:w="3000" w:type="dxa"/>
            <w:vAlign w:val="bottom"/>
          </w:tcPr>
          <w:p>
            <w:pPr>
              <w:ind w:left="500"/>
              <w:spacing w:after="0"/>
              <w:rPr>
                <w:sz w:val="20"/>
                <w:szCs w:val="20"/>
                <w:color w:val="auto"/>
              </w:rPr>
            </w:pPr>
            <w:r>
              <w:rPr>
                <w:rFonts w:ascii="Times New Roman" w:cs="Times New Roman" w:eastAsia="Times New Roman" w:hAnsi="Times New Roman"/>
                <w:sz w:val="17"/>
                <w:szCs w:val="17"/>
                <w:color w:val="231F20"/>
              </w:rPr>
              <w:t>Accelerated filer</w:t>
            </w:r>
          </w:p>
        </w:tc>
        <w:tc>
          <w:tcPr>
            <w:tcW w:w="7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77"/>
        </w:trPr>
        <w:tc>
          <w:tcPr>
            <w:tcW w:w="2120" w:type="dxa"/>
            <w:vAlign w:val="bottom"/>
          </w:tcPr>
          <w:p>
            <w:pPr>
              <w:jc w:val="center"/>
              <w:ind w:right="433"/>
              <w:spacing w:after="0"/>
              <w:rPr>
                <w:sz w:val="20"/>
                <w:szCs w:val="20"/>
                <w:color w:val="auto"/>
              </w:rPr>
            </w:pPr>
            <w:r>
              <w:rPr>
                <w:rFonts w:ascii="Times New Roman" w:cs="Times New Roman" w:eastAsia="Times New Roman" w:hAnsi="Times New Roman"/>
                <w:sz w:val="17"/>
                <w:szCs w:val="17"/>
                <w:color w:val="231F20"/>
              </w:rPr>
              <w:t>Non-accelerated filer</w:t>
            </w:r>
          </w:p>
        </w:tc>
        <w:tc>
          <w:tcPr>
            <w:tcW w:w="1240" w:type="dxa"/>
            <w:vAlign w:val="bottom"/>
          </w:tcPr>
          <w:p>
            <w:pPr>
              <w:ind w:left="540"/>
              <w:spacing w:after="0"/>
              <w:rPr>
                <w:sz w:val="20"/>
                <w:szCs w:val="20"/>
                <w:color w:val="auto"/>
              </w:rPr>
            </w:pPr>
            <w:r>
              <w:rPr>
                <w:rFonts w:ascii="Wingdings" w:cs="Wingdings" w:eastAsia="Wingdings" w:hAnsi="Wingdings"/>
                <w:sz w:val="17"/>
                <w:szCs w:val="17"/>
                <w:color w:val="231F20"/>
              </w:rPr>
              <w:t>o</w:t>
            </w:r>
          </w:p>
        </w:tc>
        <w:tc>
          <w:tcPr>
            <w:tcW w:w="3000" w:type="dxa"/>
            <w:vAlign w:val="bottom"/>
          </w:tcPr>
          <w:p>
            <w:pPr>
              <w:ind w:left="500"/>
              <w:spacing w:after="0"/>
              <w:rPr>
                <w:sz w:val="20"/>
                <w:szCs w:val="20"/>
                <w:color w:val="auto"/>
              </w:rPr>
            </w:pPr>
            <w:r>
              <w:rPr>
                <w:rFonts w:ascii="Times New Roman" w:cs="Times New Roman" w:eastAsia="Times New Roman" w:hAnsi="Times New Roman"/>
                <w:sz w:val="17"/>
                <w:szCs w:val="17"/>
                <w:color w:val="231F20"/>
              </w:rPr>
              <w:t>Smaller reporting company</w:t>
            </w:r>
          </w:p>
        </w:tc>
        <w:tc>
          <w:tcPr>
            <w:tcW w:w="7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r>
        <w:trPr>
          <w:trHeight w:val="271"/>
        </w:trPr>
        <w:tc>
          <w:tcPr>
            <w:tcW w:w="2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000" w:type="dxa"/>
            <w:vAlign w:val="bottom"/>
          </w:tcPr>
          <w:p>
            <w:pPr>
              <w:ind w:left="500"/>
              <w:spacing w:after="0"/>
              <w:rPr>
                <w:sz w:val="20"/>
                <w:szCs w:val="20"/>
                <w:color w:val="auto"/>
              </w:rPr>
            </w:pPr>
            <w:r>
              <w:rPr>
                <w:rFonts w:ascii="Times New Roman" w:cs="Times New Roman" w:eastAsia="Times New Roman" w:hAnsi="Times New Roman"/>
                <w:sz w:val="17"/>
                <w:szCs w:val="17"/>
                <w:color w:val="231F20"/>
              </w:rPr>
              <w:t>Emerging growth company</w:t>
            </w:r>
          </w:p>
        </w:tc>
        <w:tc>
          <w:tcPr>
            <w:tcW w:w="720" w:type="dxa"/>
            <w:vAlign w:val="bottom"/>
          </w:tcPr>
          <w:p>
            <w:pPr>
              <w:jc w:val="right"/>
              <w:spacing w:after="0" w:line="204" w:lineRule="exact"/>
              <w:rPr>
                <w:sz w:val="20"/>
                <w:szCs w:val="20"/>
                <w:color w:val="auto"/>
              </w:rPr>
            </w:pPr>
            <w:r>
              <w:rPr>
                <w:rFonts w:ascii="PMingLiU" w:cs="PMingLiU" w:eastAsia="PMingLiU" w:hAnsi="PMingLiU"/>
                <w:sz w:val="17"/>
                <w:szCs w:val="17"/>
                <w:color w:val="231F20"/>
              </w:rPr>
              <w:t/>
            </w:r>
          </w:p>
        </w:tc>
      </w:tr>
    </w:tbl>
    <w:p>
      <w:pPr>
        <w:spacing w:after="0" w:line="33"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7"/>
          <w:szCs w:val="17"/>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color w:val="231F20"/>
        </w:rPr>
        <w:t>o</w:t>
      </w:r>
    </w:p>
    <w:p>
      <w:pPr>
        <w:spacing w:after="0" w:line="1" w:lineRule="exact"/>
        <w:rPr>
          <w:sz w:val="20"/>
          <w:szCs w:val="20"/>
          <w:color w:val="auto"/>
        </w:rPr>
      </w:pPr>
    </w:p>
    <w:p>
      <w:pPr>
        <w:ind w:right="100"/>
        <w:spacing w:after="0" w:line="213" w:lineRule="auto"/>
        <w:rPr>
          <w:sz w:val="20"/>
          <w:szCs w:val="20"/>
          <w:color w:val="auto"/>
        </w:rPr>
      </w:pPr>
      <w:r>
        <w:rPr>
          <w:rFonts w:ascii="Times New Roman" w:cs="Times New Roman" w:eastAsia="Times New Roman" w:hAnsi="Times New Roman"/>
          <w:sz w:val="17"/>
          <w:szCs w:val="17"/>
          <w:color w:val="231F20"/>
        </w:rPr>
        <w:t>Indicate by check mark whether the registrant has filed a report on and attestation to its management's assessment of the effectiveness of its internal control over financial reporting under Section 404(b) of the Sarbanes-Oxley Act (15 U.S.C. 7262(b)) by the registered public</w:t>
      </w:r>
    </w:p>
    <w:p>
      <w:pPr>
        <w:spacing w:after="0" w:line="196" w:lineRule="exact"/>
        <w:rPr>
          <w:sz w:val="20"/>
          <w:szCs w:val="20"/>
          <w:color w:val="auto"/>
        </w:rPr>
      </w:pPr>
      <w:r>
        <w:rPr>
          <w:rFonts w:ascii="Times New Roman" w:cs="Times New Roman" w:eastAsia="Times New Roman" w:hAnsi="Times New Roman"/>
          <w:sz w:val="17"/>
          <w:szCs w:val="17"/>
          <w:color w:val="231F20"/>
        </w:rPr>
        <w:t xml:space="preserve">accounting firm that prepared or issued its audit report. </w:t>
      </w:r>
      <w:r>
        <w:rPr>
          <w:rFonts w:ascii="PMingLiU" w:cs="PMingLiU" w:eastAsia="PMingLiU" w:hAnsi="PMingLiU"/>
          <w:sz w:val="17"/>
          <w:szCs w:val="17"/>
          <w:color w:val="231F20"/>
        </w:rPr>
        <w:t/>
      </w:r>
    </w:p>
    <w:p>
      <w:pPr>
        <w:spacing w:after="0" w:line="1" w:lineRule="exact"/>
        <w:rPr>
          <w:sz w:val="20"/>
          <w:szCs w:val="20"/>
          <w:color w:val="auto"/>
        </w:rPr>
      </w:pPr>
    </w:p>
    <w:p>
      <w:pPr>
        <w:ind w:right="300"/>
        <w:spacing w:after="0" w:line="226" w:lineRule="auto"/>
        <w:rPr>
          <w:sz w:val="20"/>
          <w:szCs w:val="20"/>
          <w:color w:val="auto"/>
        </w:rPr>
      </w:pPr>
      <w:r>
        <w:rPr>
          <w:rFonts w:ascii="Times New Roman" w:cs="Times New Roman" w:eastAsia="Times New Roman" w:hAnsi="Times New Roman"/>
          <w:sz w:val="17"/>
          <w:szCs w:val="17"/>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7"/>
          <w:szCs w:val="17"/>
          <w:color w:val="231F20"/>
        </w:rPr>
        <w:t>o</w:t>
      </w:r>
    </w:p>
    <w:p>
      <w:pPr>
        <w:spacing w:after="0" w:line="1" w:lineRule="exact"/>
        <w:rPr>
          <w:sz w:val="20"/>
          <w:szCs w:val="20"/>
          <w:color w:val="auto"/>
        </w:rPr>
      </w:pPr>
    </w:p>
    <w:p>
      <w:pPr>
        <w:ind w:right="480"/>
        <w:spacing w:after="0" w:line="225" w:lineRule="auto"/>
        <w:rPr>
          <w:sz w:val="20"/>
          <w:szCs w:val="20"/>
          <w:color w:val="auto"/>
        </w:rPr>
      </w:pPr>
      <w:r>
        <w:rPr>
          <w:rFonts w:ascii="Times New Roman" w:cs="Times New Roman" w:eastAsia="Times New Roman" w:hAnsi="Times New Roman"/>
          <w:sz w:val="17"/>
          <w:szCs w:val="17"/>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7"/>
          <w:szCs w:val="17"/>
          <w:color w:val="231F20"/>
        </w:rPr>
        <w:t>o</w:t>
      </w:r>
    </w:p>
    <w:p>
      <w:pPr>
        <w:spacing w:after="0" w:line="177" w:lineRule="exact"/>
        <w:tabs>
          <w:tab w:leader="none" w:pos="7400" w:val="left"/>
        </w:tabs>
        <w:rPr>
          <w:sz w:val="20"/>
          <w:szCs w:val="20"/>
          <w:color w:val="auto"/>
        </w:rPr>
      </w:pPr>
      <w:r>
        <w:rPr>
          <w:rFonts w:ascii="Times New Roman" w:cs="Times New Roman" w:eastAsia="Times New Roman" w:hAnsi="Times New Roman"/>
          <w:sz w:val="17"/>
          <w:szCs w:val="17"/>
          <w:color w:val="231F20"/>
        </w:rPr>
        <w:t>Indicate by check mark whether the registrant is a shell company (as defined in Rule 12b-2 of the Act).</w:t>
        <w:tab/>
        <w:t xml:space="preserve">Yes </w:t>
      </w:r>
      <w:r>
        <w:rPr>
          <w:rFonts w:ascii="PMingLiU" w:cs="PMingLiU" w:eastAsia="PMingLiU" w:hAnsi="PMingLiU"/>
          <w:sz w:val="17"/>
          <w:szCs w:val="17"/>
          <w:color w:val="231F20"/>
        </w:rPr>
        <w:t/>
      </w:r>
      <w:r>
        <w:rPr>
          <w:rFonts w:ascii="Times New Roman" w:cs="Times New Roman" w:eastAsia="Times New Roman" w:hAnsi="Times New Roman"/>
          <w:sz w:val="17"/>
          <w:szCs w:val="17"/>
          <w:color w:val="231F20"/>
        </w:rPr>
        <w:t xml:space="preserve"> No </w:t>
      </w:r>
      <w:r>
        <w:rPr>
          <w:rFonts w:ascii="Wingdings" w:cs="Wingdings" w:eastAsia="Wingdings" w:hAnsi="Wingdings"/>
          <w:sz w:val="17"/>
          <w:szCs w:val="17"/>
          <w:color w:val="231F20"/>
        </w:rPr>
        <w:t>x</w:t>
      </w:r>
    </w:p>
    <w:p>
      <w:pPr>
        <w:ind w:right="360"/>
        <w:spacing w:after="0" w:line="276" w:lineRule="auto"/>
        <w:rPr>
          <w:sz w:val="20"/>
          <w:szCs w:val="20"/>
          <w:color w:val="auto"/>
        </w:rPr>
      </w:pPr>
      <w:r>
        <w:rPr>
          <w:rFonts w:ascii="Times New Roman" w:cs="Times New Roman" w:eastAsia="Times New Roman" w:hAnsi="Times New Roman"/>
          <w:sz w:val="17"/>
          <w:szCs w:val="17"/>
          <w:color w:val="231F20"/>
        </w:rPr>
        <w:t>The aggregate market value of Ordinary Shares held by non-affiliates of the registrant as of September 30, 2025 was $24,222.3 million. The number of Ordinary Shares outstanding as of May 27, 2026: 97,602,485</w:t>
      </w:r>
    </w:p>
    <w:p>
      <w:pPr>
        <w:spacing w:after="0" w:line="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231F20"/>
        </w:rPr>
        <w:t>DOCUMENTS INCORPORATED BY REFERENCE</w:t>
      </w:r>
    </w:p>
    <w:p>
      <w:pPr>
        <w:spacing w:after="0" w:line="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231F20"/>
        </w:rPr>
        <w:t>Portions of the Proxy Statement for the 2026 Annual Meeting – Part III</w:t>
      </w:r>
    </w:p>
    <w:p>
      <w:pPr>
        <w:sectPr>
          <w:pgSz w:w="11880" w:h="15480" w:orient="portrait"/>
          <w:cols w:equalWidth="0" w:num="1">
            <w:col w:w="9840"/>
          </w:cols>
          <w:pgMar w:left="960" w:top="601" w:right="1080" w:bottom="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231F20"/>
        </w:rPr>
        <w:t>1</w:t>
      </w:r>
    </w:p>
    <w:p>
      <w:pPr>
        <w:sectPr>
          <w:pgSz w:w="11880" w:h="15480" w:orient="portrait"/>
          <w:cols w:equalWidth="0" w:num="1">
            <w:col w:w="9840"/>
          </w:cols>
          <w:pgMar w:left="960" w:top="601" w:right="1080" w:bottom="0" w:gutter="0" w:footer="0" w:header="0"/>
          <w:type w:val="continuous"/>
        </w:sectPr>
      </w:pPr>
    </w:p>
    <w:bookmarkStart w:id="2" w:name="page3"/>
    <w:bookmarkEnd w:id="2"/>
    <w:p>
      <w:pPr>
        <w:ind w:left="3960"/>
        <w:spacing w:after="0"/>
        <w:rPr>
          <w:sz w:val="20"/>
          <w:szCs w:val="20"/>
          <w:color w:val="auto"/>
        </w:rPr>
      </w:pPr>
      <w:r>
        <w:rPr>
          <w:rFonts w:ascii="Times New Roman" w:cs="Times New Roman" w:eastAsia="Times New Roman" w:hAnsi="Times New Roman"/>
          <w:sz w:val="27"/>
          <w:szCs w:val="27"/>
          <w:color w:val="231F20"/>
        </w:rPr>
        <w:t>Table of Contents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760" w:type="dxa"/>
            <w:vAlign w:val="bottom"/>
          </w:tcPr>
          <w:p>
            <w:pPr>
              <w:ind w:left="420"/>
              <w:spacing w:after="0"/>
              <w:rPr>
                <w:sz w:val="20"/>
                <w:szCs w:val="20"/>
                <w:color w:val="auto"/>
              </w:rPr>
            </w:pPr>
            <w:r>
              <w:rPr>
                <w:rFonts w:ascii="Times New Roman" w:cs="Times New Roman" w:eastAsia="Times New Roman" w:hAnsi="Times New Roman"/>
                <w:sz w:val="17"/>
                <w:szCs w:val="17"/>
                <w:color w:val="231F20"/>
                <w:w w:val="96"/>
              </w:rPr>
              <w:t>Page</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jc w:val="center"/>
              <w:ind w:left="273"/>
              <w:spacing w:after="0"/>
              <w:rPr>
                <w:sz w:val="20"/>
                <w:szCs w:val="20"/>
                <w:color w:val="auto"/>
              </w:rPr>
            </w:pPr>
            <w:r>
              <w:rPr>
                <w:rFonts w:ascii="Times New Roman" w:cs="Times New Roman" w:eastAsia="Times New Roman" w:hAnsi="Times New Roman"/>
                <w:sz w:val="17"/>
                <w:szCs w:val="17"/>
                <w:color w:val="231F20"/>
              </w:rPr>
              <w:t>Part I</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231F20"/>
              </w:rPr>
              <w:t>Item 1</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Business</w:t>
            </w:r>
          </w:p>
        </w:tc>
        <w:tc>
          <w:tcPr>
            <w:tcW w:w="760" w:type="dxa"/>
            <w:vAlign w:val="bottom"/>
          </w:tcPr>
          <w:p>
            <w:pPr>
              <w:jc w:val="center"/>
              <w:ind w:left="313"/>
              <w:spacing w:after="0"/>
              <w:rPr>
                <w:sz w:val="20"/>
                <w:szCs w:val="20"/>
                <w:color w:val="auto"/>
              </w:rPr>
            </w:pPr>
            <w:r>
              <w:rPr>
                <w:rFonts w:ascii="Times New Roman" w:cs="Times New Roman" w:eastAsia="Times New Roman" w:hAnsi="Times New Roman"/>
                <w:sz w:val="17"/>
                <w:szCs w:val="17"/>
                <w:color w:val="231F20"/>
                <w:w w:val="93"/>
              </w:rPr>
              <w:t>3</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Introduction</w:t>
            </w:r>
          </w:p>
        </w:tc>
        <w:tc>
          <w:tcPr>
            <w:tcW w:w="760" w:type="dxa"/>
            <w:vAlign w:val="bottom"/>
          </w:tcPr>
          <w:p>
            <w:pPr>
              <w:jc w:val="center"/>
              <w:ind w:left="313"/>
              <w:spacing w:after="0"/>
              <w:rPr>
                <w:sz w:val="20"/>
                <w:szCs w:val="20"/>
                <w:color w:val="auto"/>
              </w:rPr>
            </w:pPr>
            <w:r>
              <w:rPr>
                <w:rFonts w:ascii="Times New Roman" w:cs="Times New Roman" w:eastAsia="Times New Roman" w:hAnsi="Times New Roman"/>
                <w:sz w:val="17"/>
                <w:szCs w:val="17"/>
                <w:color w:val="231F20"/>
                <w:w w:val="93"/>
              </w:rPr>
              <w:t>3</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Information Related to Business Segments</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231F20"/>
              </w:rPr>
              <w:t>3</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Information with Respect to Our Business in General</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231F20"/>
              </w:rPr>
              <w:t>4</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231F20"/>
              </w:rPr>
              <w:t>Item 1A</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Risk Factors</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231F20"/>
              </w:rPr>
              <w:t>13</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231F20"/>
              </w:rPr>
              <w:t>Item 1B</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Unresolved Staff Comments</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231F20"/>
              </w:rPr>
              <w:t>25</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231F20"/>
              </w:rPr>
              <w:t>Item 1C</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Cybersecurity</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231F20"/>
              </w:rPr>
              <w:t>25</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231F20"/>
              </w:rPr>
              <w:t>Item 2</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Properties</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231F20"/>
              </w:rPr>
              <w:t>26</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231F20"/>
              </w:rPr>
              <w:t>Item 3</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Legal Proceedings</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231F20"/>
              </w:rPr>
              <w:t>27</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231F20"/>
              </w:rPr>
              <w:t>Item 4</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Mine Safety Disclosures</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231F20"/>
              </w:rPr>
              <w:t>27</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jc w:val="center"/>
              <w:ind w:left="273"/>
              <w:spacing w:after="0"/>
              <w:rPr>
                <w:sz w:val="20"/>
                <w:szCs w:val="20"/>
                <w:color w:val="auto"/>
              </w:rPr>
            </w:pPr>
            <w:r>
              <w:rPr>
                <w:rFonts w:ascii="Times New Roman" w:cs="Times New Roman" w:eastAsia="Times New Roman" w:hAnsi="Times New Roman"/>
                <w:sz w:val="17"/>
                <w:szCs w:val="17"/>
                <w:color w:val="231F20"/>
              </w:rPr>
              <w:t>Part II</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2"/>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231F20"/>
              </w:rPr>
              <w:t>Item 5</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Market for Registrant's Ordinary Equity, Related Shareholder Matters and Issuer Purchases of Equity</w:t>
            </w:r>
          </w:p>
        </w:tc>
        <w:tc>
          <w:tcPr>
            <w:tcW w:w="760" w:type="dxa"/>
            <w:vAlign w:val="bottom"/>
            <w:vMerge w:val="restart"/>
          </w:tcPr>
          <w:p>
            <w:pPr>
              <w:jc w:val="center"/>
              <w:ind w:left="333"/>
              <w:spacing w:after="0"/>
              <w:rPr>
                <w:sz w:val="20"/>
                <w:szCs w:val="20"/>
                <w:color w:val="auto"/>
              </w:rPr>
            </w:pPr>
            <w:r>
              <w:rPr>
                <w:rFonts w:ascii="Times New Roman" w:cs="Times New Roman" w:eastAsia="Times New Roman" w:hAnsi="Times New Roman"/>
                <w:sz w:val="17"/>
                <w:szCs w:val="17"/>
                <w:color w:val="231F20"/>
              </w:rPr>
              <w:t>28</w:t>
            </w:r>
          </w:p>
        </w:tc>
        <w:tc>
          <w:tcPr>
            <w:tcW w:w="0" w:type="dxa"/>
            <w:vAlign w:val="bottom"/>
          </w:tcPr>
          <w:p>
            <w:pPr>
              <w:spacing w:after="0"/>
              <w:rPr>
                <w:sz w:val="1"/>
                <w:szCs w:val="1"/>
                <w:color w:val="auto"/>
              </w:rPr>
            </w:pPr>
          </w:p>
        </w:tc>
      </w:tr>
      <w:tr>
        <w:trPr>
          <w:trHeight w:val="227"/>
        </w:trPr>
        <w:tc>
          <w:tcPr>
            <w:tcW w:w="860" w:type="dxa"/>
            <w:vAlign w:val="bottom"/>
          </w:tcPr>
          <w:p>
            <w:pPr>
              <w:spacing w:after="0"/>
              <w:rPr>
                <w:sz w:val="19"/>
                <w:szCs w:val="19"/>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Securities</w:t>
            </w: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231F20"/>
              </w:rPr>
              <w:t>Item 6</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Reserved</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231F20"/>
              </w:rPr>
              <w:t>29</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231F20"/>
              </w:rPr>
              <w:t>Item 7</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Management's Discussion and Analysis of Financial Condition and Results of Operation</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231F20"/>
              </w:rPr>
              <w:t>30</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Introduction</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231F20"/>
              </w:rPr>
              <w:t>30</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Financial Measures</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231F20"/>
              </w:rPr>
              <w:t>30</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Revenues-Defined</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231F20"/>
              </w:rPr>
              <w:t>31</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General Overview and Executive Summary</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231F20"/>
              </w:rPr>
              <w:t>31</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Non-GAAP Financial Measures</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231F20"/>
              </w:rPr>
              <w:t>33</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Results of Operations</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231F20"/>
              </w:rPr>
              <w:t>33</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Liquidity and Capital Resources</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231F20"/>
              </w:rPr>
              <w:t>39</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Capital Expenditures</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231F20"/>
              </w:rPr>
              <w:t>42</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Material Future Cash Obligations and Commercial Commitments</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231F20"/>
              </w:rPr>
              <w:t>42</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Supplemental Guarantor Financial Information</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231F20"/>
              </w:rPr>
              <w:t>43</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Critical Accounting Estimates and Assumptions</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231F20"/>
              </w:rPr>
              <w:t>45</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Forward-Looking Statements</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231F20"/>
              </w:rPr>
              <w:t>49</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231F20"/>
              </w:rPr>
              <w:t>Item 7A</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Quantitative and Qualitative Disclosures About Market Risk</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231F20"/>
              </w:rPr>
              <w:t>50</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Interest Rate Risk</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231F20"/>
              </w:rPr>
              <w:t>50</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Foreign Currency Risk</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231F20"/>
              </w:rPr>
              <w:t>50</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Commodity Risk</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231F20"/>
              </w:rPr>
              <w:t>50</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231F20"/>
              </w:rPr>
              <w:t>Item 8</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Financial Statements and Supplementary Data</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231F20"/>
              </w:rPr>
              <w:t>51</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231F20"/>
              </w:rPr>
              <w:t>Item 9</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Changes in and Disagreements with Accountants on Accounting and Financial Disclosure</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231F20"/>
              </w:rPr>
              <w:t>102</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231F20"/>
              </w:rPr>
              <w:t>Item 9A</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Controls and Procedures</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231F20"/>
              </w:rPr>
              <w:t>102</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231F20"/>
              </w:rPr>
              <w:t>Item 9B</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Other Information</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231F20"/>
              </w:rPr>
              <w:t>104</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231F20"/>
              </w:rPr>
              <w:t>Item 9C</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Disclosure Regarding Foreign Jurisdictions That Prevent Inspections</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231F20"/>
              </w:rPr>
              <w:t>104</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jc w:val="center"/>
              <w:ind w:left="293"/>
              <w:spacing w:after="0"/>
              <w:rPr>
                <w:sz w:val="20"/>
                <w:szCs w:val="20"/>
                <w:color w:val="auto"/>
              </w:rPr>
            </w:pPr>
            <w:r>
              <w:rPr>
                <w:rFonts w:ascii="Times New Roman" w:cs="Times New Roman" w:eastAsia="Times New Roman" w:hAnsi="Times New Roman"/>
                <w:sz w:val="17"/>
                <w:szCs w:val="17"/>
                <w:color w:val="231F20"/>
              </w:rPr>
              <w:t>Part III</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231F20"/>
              </w:rPr>
              <w:t>Item 10</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Directors, Executive Officers and Corporate Governance</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231F20"/>
              </w:rPr>
              <w:t>105</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231F20"/>
              </w:rPr>
              <w:t>Item 11</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Executive Compensation</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231F20"/>
              </w:rPr>
              <w:t>105</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231F20"/>
              </w:rPr>
              <w:t>Item 12</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Security Ownership of Certain Beneficial Owners and Management and Related Stockholder Matters</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231F20"/>
              </w:rPr>
              <w:t>105</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231F20"/>
              </w:rPr>
              <w:t>Item 13</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Certain Relationships and Related Transactions, and Director Independence</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231F20"/>
              </w:rPr>
              <w:t>105</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231F20"/>
              </w:rPr>
              <w:t>Item 14</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Principal Accountant Fees and Services</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231F20"/>
              </w:rPr>
              <w:t>105</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jc w:val="center"/>
              <w:ind w:left="273"/>
              <w:spacing w:after="0"/>
              <w:rPr>
                <w:sz w:val="20"/>
                <w:szCs w:val="20"/>
                <w:color w:val="auto"/>
              </w:rPr>
            </w:pPr>
            <w:r>
              <w:rPr>
                <w:rFonts w:ascii="Times New Roman" w:cs="Times New Roman" w:eastAsia="Times New Roman" w:hAnsi="Times New Roman"/>
                <w:sz w:val="17"/>
                <w:szCs w:val="17"/>
                <w:color w:val="231F20"/>
              </w:rPr>
              <w:t>Part IV</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231F20"/>
              </w:rPr>
              <w:t>Item 15</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Exhibits and Financial Statement Schedule</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231F20"/>
              </w:rPr>
              <w:t>106</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231F20"/>
              </w:rPr>
              <w:t>Item 16</w:t>
            </w: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Form 10-K Summary</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231F20"/>
              </w:rPr>
              <w:t>109</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Signatures</w:t>
            </w:r>
          </w:p>
        </w:tc>
        <w:tc>
          <w:tcPr>
            <w:tcW w:w="7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231F20"/>
              </w:rPr>
              <w:t>110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420"/>
          </w:cols>
          <w:pgMar w:left="1020" w:top="84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231F20"/>
        </w:rPr>
        <w:t>2</w:t>
      </w:r>
    </w:p>
    <w:p>
      <w:pPr>
        <w:sectPr>
          <w:pgSz w:w="11880" w:h="15480" w:orient="portrait"/>
          <w:cols w:equalWidth="0" w:num="1">
            <w:col w:w="9420"/>
          </w:cols>
          <w:pgMar w:left="1020" w:top="845"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7"/>
          <w:szCs w:val="27"/>
          <w:color w:val="231F20"/>
        </w:rPr>
        <w:t>PART I</w:t>
      </w:r>
    </w:p>
    <w:p>
      <w:pPr>
        <w:spacing w:after="0" w:line="155" w:lineRule="exact"/>
        <w:rPr>
          <w:sz w:val="20"/>
          <w:szCs w:val="20"/>
          <w:color w:val="auto"/>
        </w:rPr>
      </w:pPr>
    </w:p>
    <w:p>
      <w:pPr>
        <w:ind w:right="20" w:firstLine="349"/>
        <w:spacing w:after="0" w:line="257" w:lineRule="auto"/>
        <w:rPr>
          <w:sz w:val="20"/>
          <w:szCs w:val="20"/>
          <w:color w:val="auto"/>
        </w:rPr>
      </w:pPr>
      <w:r>
        <w:rPr>
          <w:rFonts w:ascii="Times New Roman" w:cs="Times New Roman" w:eastAsia="Times New Roman" w:hAnsi="Times New Roman"/>
          <w:sz w:val="19"/>
          <w:szCs w:val="19"/>
          <w:color w:val="231F20"/>
        </w:rPr>
        <w:t>Throughout this Annual Report, STERIS plc and its subsidiaries together are called "STERIS," "the Company," "we," "us," or "our," unless otherwise noted. References in this Annual Report to a particular "year," "fiscal," "fiscal year," or "year-end" mean our fiscal year, which ends on March 31. For example, fiscal year 2026 ended on March 31, 2026.</w:t>
      </w:r>
    </w:p>
    <w:p>
      <w:pPr>
        <w:spacing w:after="0" w:line="43"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7"/>
          <w:szCs w:val="27"/>
          <w:color w:val="231F20"/>
        </w:rPr>
        <w:t>ITEM 1.</w:t>
      </w:r>
      <w:r>
        <w:rPr>
          <w:sz w:val="20"/>
          <w:szCs w:val="20"/>
          <w:color w:val="auto"/>
        </w:rPr>
        <w:tab/>
      </w:r>
      <w:r>
        <w:rPr>
          <w:rFonts w:ascii="Times New Roman" w:cs="Times New Roman" w:eastAsia="Times New Roman" w:hAnsi="Times New Roman"/>
          <w:sz w:val="27"/>
          <w:szCs w:val="27"/>
          <w:color w:val="231F20"/>
        </w:rPr>
        <w:t>BUSINESS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INTRODUCTION</w:t>
      </w:r>
    </w:p>
    <w:p>
      <w:pPr>
        <w:spacing w:after="0" w:line="138" w:lineRule="exact"/>
        <w:rPr>
          <w:sz w:val="20"/>
          <w:szCs w:val="20"/>
          <w:color w:val="auto"/>
        </w:rPr>
      </w:pPr>
    </w:p>
    <w:p>
      <w:pPr>
        <w:ind w:firstLine="349"/>
        <w:spacing w:after="0" w:line="245" w:lineRule="auto"/>
        <w:rPr>
          <w:sz w:val="20"/>
          <w:szCs w:val="20"/>
          <w:color w:val="auto"/>
        </w:rPr>
      </w:pPr>
      <w:r>
        <w:rPr>
          <w:rFonts w:ascii="Times New Roman" w:cs="Times New Roman" w:eastAsia="Times New Roman" w:hAnsi="Times New Roman"/>
          <w:sz w:val="19"/>
          <w:szCs w:val="19"/>
          <w:color w:val="231F20"/>
        </w:rPr>
        <w:t>STERIS is a leading global provider of products and services that support patient care with an emphasis on infection prevention. WE HELP OUR CUSTOMERS CREATE A HEALTHIER AND SAFER WORLD by providing innovative healthcare and life science products and services around the globe. We offer our Customers a unique mix of innovative products and services. These include: consumable products, such as detergents, endoscopy accessories, barrier products, instruments and tools; services, including equipment installation and maintenance, microbial reduction of medical devices, instrument and scope repair, laboratory testing, and outsourced reprocessing; capital equipment, such as sterilizers, surgical tables, and automated endoscope reprocessors; and connectivity solutions such as operating room (“OR”) integration.</w:t>
      </w:r>
    </w:p>
    <w:p>
      <w:pPr>
        <w:spacing w:after="0" w:line="77" w:lineRule="exact"/>
        <w:rPr>
          <w:sz w:val="20"/>
          <w:szCs w:val="20"/>
          <w:color w:val="auto"/>
        </w:rPr>
      </w:pPr>
    </w:p>
    <w:p>
      <w:pPr>
        <w:ind w:right="140" w:firstLine="349"/>
        <w:spacing w:after="0" w:line="264" w:lineRule="auto"/>
        <w:rPr>
          <w:sz w:val="20"/>
          <w:szCs w:val="20"/>
          <w:color w:val="auto"/>
        </w:rPr>
      </w:pPr>
      <w:r>
        <w:rPr>
          <w:rFonts w:ascii="Times New Roman" w:cs="Times New Roman" w:eastAsia="Times New Roman" w:hAnsi="Times New Roman"/>
          <w:sz w:val="19"/>
          <w:szCs w:val="19"/>
          <w:color w:val="231F20"/>
        </w:rPr>
        <w:t>We operate and report our financial information in three reportable business segments: Healthcare, Applied Sterilization Technologies ("AST"), and Life Sciences. Previously, we had four reportable business segments; however, as a result of the fiscal 2025 divestiture of our Dental segment, Dental is presented as discontinued operations. Historical information has been retrospectively adjusted to exclude discontinued operations for comparability, as required. For more information, refer to Note 4 to our consolidated financial statements titled, "Discontinued Operations." Non-allocated operating costs that support the entire Company and items not indicative of operating trends are excluded from segment operating income. We describe our business segments in the section that follows, titled "Information Related to Business Segments" and Note 13 to our consolidated financial statements titled, "Business Segment Information."</w:t>
      </w:r>
    </w:p>
    <w:p>
      <w:pPr>
        <w:spacing w:after="0" w:line="80" w:lineRule="exact"/>
        <w:rPr>
          <w:sz w:val="20"/>
          <w:szCs w:val="20"/>
          <w:color w:val="auto"/>
        </w:rPr>
      </w:pPr>
    </w:p>
    <w:p>
      <w:pPr>
        <w:ind w:right="120" w:firstLine="349"/>
        <w:spacing w:after="0" w:line="268" w:lineRule="auto"/>
        <w:rPr>
          <w:sz w:val="20"/>
          <w:szCs w:val="20"/>
          <w:color w:val="auto"/>
        </w:rPr>
      </w:pPr>
      <w:r>
        <w:rPr>
          <w:rFonts w:ascii="Times New Roman" w:cs="Times New Roman" w:eastAsia="Times New Roman" w:hAnsi="Times New Roman"/>
          <w:sz w:val="19"/>
          <w:szCs w:val="19"/>
          <w:color w:val="231F20"/>
        </w:rPr>
        <w:t>The bulk of our revenues are derived from healthcare, medical device and pharmaceutical Customers. Much of the growth in these industries is driven by the aging of the population throughout the world, as an increasing number of individuals are entering their prime healthcare consumption years, and is dependent upon advancement in healthcare delivery, acceptance of new technologies, government policies, and general economic conditions.</w:t>
      </w:r>
    </w:p>
    <w:p>
      <w:pPr>
        <w:spacing w:after="0" w:line="72" w:lineRule="exact"/>
        <w:rPr>
          <w:sz w:val="20"/>
          <w:szCs w:val="20"/>
          <w:color w:val="auto"/>
        </w:rPr>
      </w:pPr>
    </w:p>
    <w:p>
      <w:pPr>
        <w:ind w:right="180" w:firstLine="349"/>
        <w:spacing w:after="0" w:line="274" w:lineRule="auto"/>
        <w:rPr>
          <w:sz w:val="20"/>
          <w:szCs w:val="20"/>
          <w:color w:val="auto"/>
        </w:rPr>
      </w:pPr>
      <w:r>
        <w:rPr>
          <w:rFonts w:ascii="Times New Roman" w:cs="Times New Roman" w:eastAsia="Times New Roman" w:hAnsi="Times New Roman"/>
          <w:sz w:val="19"/>
          <w:szCs w:val="19"/>
          <w:color w:val="231F20"/>
        </w:rPr>
        <w:t>In addition, there is increased demand for medical procedures, including preventive screenings such as endoscopies and colonoscopies; and a desire by our Customers to operate more efficiently, all of which are driving increased demand for many of our products and services.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INFORMATION RELATED TO BUSINESS SEGMENTS</w:t>
      </w:r>
    </w:p>
    <w:p>
      <w:pPr>
        <w:spacing w:after="0" w:line="138" w:lineRule="exact"/>
        <w:rPr>
          <w:sz w:val="20"/>
          <w:szCs w:val="20"/>
          <w:color w:val="auto"/>
        </w:rPr>
      </w:pPr>
    </w:p>
    <w:p>
      <w:pPr>
        <w:ind w:right="400" w:firstLine="349"/>
        <w:spacing w:after="0" w:line="265" w:lineRule="auto"/>
        <w:rPr>
          <w:sz w:val="20"/>
          <w:szCs w:val="20"/>
          <w:color w:val="auto"/>
        </w:rPr>
      </w:pPr>
      <w:r>
        <w:rPr>
          <w:rFonts w:ascii="Times New Roman" w:cs="Times New Roman" w:eastAsia="Times New Roman" w:hAnsi="Times New Roman"/>
          <w:sz w:val="19"/>
          <w:szCs w:val="19"/>
          <w:color w:val="231F20"/>
        </w:rPr>
        <w:t>Our chief operating decision maker is our President and Chief Executive Officer (“CEO”). The CEO is responsible for performance assessment and resource allocation. The CEO regularly receives discrete financial information about each reportable segment and uses this information to assess performance and allocate resources. The accounting policies of the reportable segments are the same as those described in Note 1 to our consolidated financial statements titled, “Nature of Operations and Summary of Significant Accounting Policies,” of this Annual Report.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HEALTHCARE SEGMENT</w:t>
      </w:r>
    </w:p>
    <w:p>
      <w:pPr>
        <w:spacing w:after="0" w:line="134"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9"/>
          <w:szCs w:val="19"/>
          <w:b w:val="1"/>
          <w:bCs w:val="1"/>
          <w:color w:val="231F20"/>
        </w:rPr>
        <w:t xml:space="preserve">Description of Business. </w:t>
      </w:r>
      <w:r>
        <w:rPr>
          <w:rFonts w:ascii="Times New Roman" w:cs="Times New Roman" w:eastAsia="Times New Roman" w:hAnsi="Times New Roman"/>
          <w:sz w:val="19"/>
          <w:szCs w:val="19"/>
          <w:color w:val="231F20"/>
        </w:rPr>
        <w:t>Our Healthcare segment provides a comprehensive offering for healthcare providers worldwide,</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focused on sterile processing departments and procedural centers, such as operating rooms and endoscopy suites. Our products and services range from infection prevention consumables and capital equipment, as well as services to maintain that equipment, to the repair of re-usable procedural instruments, to outsourced instrument reprocessing services. In addition, our procedural products also include endoscopy accessories, instruments, and capital equipment infrastructure used primarily in operating rooms, ambulatory surgery centers, endoscopy suites, and other procedural areas.</w:t>
      </w:r>
    </w:p>
    <w:p>
      <w:pPr>
        <w:spacing w:after="0" w:line="72"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9"/>
          <w:szCs w:val="19"/>
          <w:b w:val="1"/>
          <w:bCs w:val="1"/>
          <w:color w:val="231F20"/>
        </w:rPr>
        <w:t xml:space="preserve">Products Offered. </w:t>
      </w:r>
      <w:r>
        <w:rPr>
          <w:rFonts w:ascii="Times New Roman" w:cs="Times New Roman" w:eastAsia="Times New Roman" w:hAnsi="Times New Roman"/>
          <w:sz w:val="19"/>
          <w:szCs w:val="19"/>
          <w:color w:val="231F20"/>
        </w:rPr>
        <w:t>Our products include cleaning chemistries and sterility assurance products, automated endoscope</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reprocessing systems and tracking products, endoscopy accessories, instruments, washers, sterilizers and other pieces of capital equipment essential to the operations of a sterile processing department and equipment used directly in the procedure rooms, including surgical tables, lights, equipment management services, and connectivity solutions.</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9"/>
          <w:szCs w:val="19"/>
          <w:b w:val="1"/>
          <w:bCs w:val="1"/>
          <w:color w:val="231F20"/>
        </w:rPr>
        <w:t xml:space="preserve">Services Offered. </w:t>
      </w:r>
      <w:r>
        <w:rPr>
          <w:rFonts w:ascii="Times New Roman" w:cs="Times New Roman" w:eastAsia="Times New Roman" w:hAnsi="Times New Roman"/>
          <w:sz w:val="19"/>
          <w:szCs w:val="19"/>
          <w:color w:val="231F20"/>
        </w:rPr>
        <w:t>Our Healthcare segment service employees install, maintain, upgrade, repair, and troubleshoot capital</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equipment throughout the world. We offer various preventive maintenance programs and repair services to support the effective operation of capital equipment over its lifetime. Our Healthcare segment also provides comprehensive instrument, devices, and endoscope repair and maintenance services (on-site or at one of our dedicated facilities), custom process improvement consulting and outsourced instrument sterile processing (on-site at the hospital and in off-site reprocessing centers).</w:t>
      </w:r>
    </w:p>
    <w:p>
      <w:pPr>
        <w:sectPr>
          <w:pgSz w:w="11880" w:h="15480" w:orient="portrait"/>
          <w:cols w:equalWidth="0" w:num="1">
            <w:col w:w="9960"/>
          </w:cols>
          <w:pgMar w:left="960" w:top="80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231F20"/>
        </w:rPr>
        <w:t>3</w:t>
      </w:r>
    </w:p>
    <w:p>
      <w:pPr>
        <w:sectPr>
          <w:pgSz w:w="11880" w:h="15480" w:orient="portrait"/>
          <w:cols w:equalWidth="0" w:num="1">
            <w:col w:w="9960"/>
          </w:cols>
          <w:pgMar w:left="960" w:top="801" w:right="960" w:bottom="0" w:gutter="0" w:footer="0" w:header="0"/>
          <w:type w:val="continuous"/>
        </w:sectPr>
      </w:pPr>
    </w:p>
    <w:bookmarkStart w:id="4" w:name="page5"/>
    <w:bookmarkEnd w:id="4"/>
    <w:p>
      <w:pPr>
        <w:ind w:right="80"/>
        <w:spacing w:after="0" w:line="276" w:lineRule="auto"/>
        <w:rPr>
          <w:sz w:val="20"/>
          <w:szCs w:val="20"/>
          <w:color w:val="auto"/>
        </w:rPr>
      </w:pPr>
      <w:r>
        <w:rPr>
          <w:rFonts w:ascii="Times New Roman" w:cs="Times New Roman" w:eastAsia="Times New Roman" w:hAnsi="Times New Roman"/>
          <w:sz w:val="19"/>
          <w:szCs w:val="19"/>
          <w:b w:val="1"/>
          <w:bCs w:val="1"/>
          <w:color w:val="231F20"/>
        </w:rPr>
        <w:t xml:space="preserve">Customer Concentration. </w:t>
      </w:r>
      <w:r>
        <w:rPr>
          <w:rFonts w:ascii="Times New Roman" w:cs="Times New Roman" w:eastAsia="Times New Roman" w:hAnsi="Times New Roman"/>
          <w:sz w:val="19"/>
          <w:szCs w:val="19"/>
          <w:color w:val="231F20"/>
        </w:rPr>
        <w:t>Our Healthcare segment sells consumables, services and capital equipment to Customers in many</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countries throughout the world. For the year ended March 31, 2026, no Customer represented more than 10% of the Healthcare segment's total revenues.</w:t>
      </w:r>
    </w:p>
    <w:p>
      <w:pPr>
        <w:spacing w:after="0" w:line="6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9"/>
          <w:szCs w:val="19"/>
          <w:b w:val="1"/>
          <w:bCs w:val="1"/>
          <w:color w:val="231F20"/>
        </w:rPr>
        <w:t xml:space="preserve">Competition. </w:t>
      </w:r>
      <w:r>
        <w:rPr>
          <w:rFonts w:ascii="Times New Roman" w:cs="Times New Roman" w:eastAsia="Times New Roman" w:hAnsi="Times New Roman"/>
          <w:sz w:val="19"/>
          <w:szCs w:val="19"/>
          <w:color w:val="231F20"/>
        </w:rPr>
        <w:t>We compete with a number of large companies that have significant product portfolios and global reach, as well</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as a number of small companies with very limited product offerings and operations in one or a limited number of countries. On a product basis, competitors include 3M, Baxter, Boston Scientific, Belimed, Ecolab, Fortive, Getinge, Karl Storz, Olympus, Ruhof, SteelCo, Stryker, Skytron and Wassenburg. On a service line basis, competitors include BBraun, Crothall, Olympus and Pentax.</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AST SEGMENT</w:t>
      </w:r>
    </w:p>
    <w:p>
      <w:pPr>
        <w:spacing w:after="0" w:line="134"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9"/>
          <w:szCs w:val="19"/>
          <w:b w:val="1"/>
          <w:bCs w:val="1"/>
          <w:color w:val="231F20"/>
        </w:rPr>
        <w:t xml:space="preserve">Description of Business. </w:t>
      </w:r>
      <w:r>
        <w:rPr>
          <w:rFonts w:ascii="Times New Roman" w:cs="Times New Roman" w:eastAsia="Times New Roman" w:hAnsi="Times New Roman"/>
          <w:sz w:val="19"/>
          <w:szCs w:val="19"/>
          <w:color w:val="231F20"/>
        </w:rPr>
        <w:t>Our AST segment supports medical device and pharmaceutical manufacturers through a global</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network of contract sterilization and laboratory testing facilities, and integrated sterilization equipment and control systems. Our technology-neutral offering supports Customers every step of the way, from testing through sterilization.</w:t>
      </w:r>
    </w:p>
    <w:p>
      <w:pPr>
        <w:spacing w:after="0" w:line="6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9"/>
          <w:szCs w:val="19"/>
          <w:b w:val="1"/>
          <w:bCs w:val="1"/>
          <w:color w:val="231F20"/>
        </w:rPr>
        <w:t xml:space="preserve">Services Offered. </w:t>
      </w:r>
      <w:r>
        <w:rPr>
          <w:rFonts w:ascii="Times New Roman" w:cs="Times New Roman" w:eastAsia="Times New Roman" w:hAnsi="Times New Roman"/>
          <w:sz w:val="19"/>
          <w:szCs w:val="19"/>
          <w:color w:val="231F20"/>
        </w:rPr>
        <w:t>We offer a wide range of sterilization modalities and an array of testing services that complement the</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manufacturing of single-use, sterile products. Our facilities are located in regions with a concentration of medical device and pharmaceutical manufacturing throughout the Americas, Europe, and Asia. Our technical professionals support Customers in all phases of product development, materials testing, and process validation. Our AST segment also provides service support to our global installed base of integrated sterilization equipment and control systems, including installation, preventive maintenance, updates, repairs, and troubleshooting.</w:t>
      </w:r>
    </w:p>
    <w:p>
      <w:pPr>
        <w:spacing w:after="0" w:line="72" w:lineRule="exact"/>
        <w:rPr>
          <w:sz w:val="20"/>
          <w:szCs w:val="20"/>
          <w:color w:val="auto"/>
        </w:rPr>
      </w:pPr>
    </w:p>
    <w:p>
      <w:pPr>
        <w:ind w:right="880"/>
        <w:spacing w:after="0" w:line="297" w:lineRule="auto"/>
        <w:rPr>
          <w:sz w:val="20"/>
          <w:szCs w:val="20"/>
          <w:color w:val="auto"/>
        </w:rPr>
      </w:pPr>
      <w:r>
        <w:rPr>
          <w:rFonts w:ascii="Times New Roman" w:cs="Times New Roman" w:eastAsia="Times New Roman" w:hAnsi="Times New Roman"/>
          <w:sz w:val="19"/>
          <w:szCs w:val="19"/>
          <w:b w:val="1"/>
          <w:bCs w:val="1"/>
          <w:color w:val="231F20"/>
        </w:rPr>
        <w:t xml:space="preserve">Products Offered. </w:t>
      </w:r>
      <w:r>
        <w:rPr>
          <w:rFonts w:ascii="Times New Roman" w:cs="Times New Roman" w:eastAsia="Times New Roman" w:hAnsi="Times New Roman"/>
          <w:sz w:val="19"/>
          <w:szCs w:val="19"/>
          <w:color w:val="231F20"/>
        </w:rPr>
        <w:t>We support Customers with process controls and monitoring systems, and integrated sterilization</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equipment, including accelerators, product handling, and automation.</w:t>
      </w:r>
    </w:p>
    <w:p>
      <w:pPr>
        <w:spacing w:after="0" w:line="41" w:lineRule="exact"/>
        <w:rPr>
          <w:sz w:val="20"/>
          <w:szCs w:val="20"/>
          <w:color w:val="auto"/>
        </w:rPr>
      </w:pPr>
    </w:p>
    <w:p>
      <w:pPr>
        <w:ind w:right="320"/>
        <w:spacing w:after="0" w:line="297" w:lineRule="auto"/>
        <w:rPr>
          <w:sz w:val="20"/>
          <w:szCs w:val="20"/>
          <w:color w:val="auto"/>
        </w:rPr>
      </w:pPr>
      <w:r>
        <w:rPr>
          <w:rFonts w:ascii="Times New Roman" w:cs="Times New Roman" w:eastAsia="Times New Roman" w:hAnsi="Times New Roman"/>
          <w:sz w:val="19"/>
          <w:szCs w:val="19"/>
          <w:b w:val="1"/>
          <w:bCs w:val="1"/>
          <w:color w:val="231F20"/>
        </w:rPr>
        <w:t xml:space="preserve">Customer Concentration. </w:t>
      </w:r>
      <w:r>
        <w:rPr>
          <w:rFonts w:ascii="Times New Roman" w:cs="Times New Roman" w:eastAsia="Times New Roman" w:hAnsi="Times New Roman"/>
          <w:sz w:val="19"/>
          <w:szCs w:val="19"/>
          <w:color w:val="231F20"/>
        </w:rPr>
        <w:t>Our AST segment’s services are offered to Customers throughout the world. For the year ended</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March 31, 2026, no Customer represented more than 10% of the segment’s revenues.</w:t>
      </w:r>
    </w:p>
    <w:p>
      <w:pPr>
        <w:spacing w:after="0" w:line="41" w:lineRule="exact"/>
        <w:rPr>
          <w:sz w:val="20"/>
          <w:szCs w:val="20"/>
          <w:color w:val="auto"/>
        </w:rPr>
      </w:pPr>
    </w:p>
    <w:p>
      <w:pPr>
        <w:jc w:val="both"/>
        <w:ind w:right="260"/>
        <w:spacing w:after="0" w:line="276" w:lineRule="auto"/>
        <w:rPr>
          <w:sz w:val="20"/>
          <w:szCs w:val="20"/>
          <w:color w:val="auto"/>
        </w:rPr>
      </w:pPr>
      <w:r>
        <w:rPr>
          <w:rFonts w:ascii="Times New Roman" w:cs="Times New Roman" w:eastAsia="Times New Roman" w:hAnsi="Times New Roman"/>
          <w:sz w:val="19"/>
          <w:szCs w:val="19"/>
          <w:b w:val="1"/>
          <w:bCs w:val="1"/>
          <w:color w:val="231F20"/>
        </w:rPr>
        <w:t xml:space="preserve">Competition. </w:t>
      </w:r>
      <w:r>
        <w:rPr>
          <w:rFonts w:ascii="Times New Roman" w:cs="Times New Roman" w:eastAsia="Times New Roman" w:hAnsi="Times New Roman"/>
          <w:sz w:val="19"/>
          <w:szCs w:val="19"/>
          <w:color w:val="231F20"/>
        </w:rPr>
        <w:t>AST operates in a highly regulated industry and competes with Sterigenics, other smaller contract sterilization</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companies, other manufacturers of sterilization equipment and control systems, and manufacturers that sterilize products in-house.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LIFE SCIENCES SEGMENT</w:t>
      </w:r>
    </w:p>
    <w:p>
      <w:pPr>
        <w:spacing w:after="0" w:line="134" w:lineRule="exact"/>
        <w:rPr>
          <w:sz w:val="20"/>
          <w:szCs w:val="20"/>
          <w:color w:val="auto"/>
        </w:rPr>
      </w:pPr>
    </w:p>
    <w:p>
      <w:pPr>
        <w:jc w:val="both"/>
        <w:ind w:right="180"/>
        <w:spacing w:after="0" w:line="276" w:lineRule="auto"/>
        <w:rPr>
          <w:sz w:val="20"/>
          <w:szCs w:val="20"/>
          <w:color w:val="auto"/>
        </w:rPr>
      </w:pPr>
      <w:r>
        <w:rPr>
          <w:rFonts w:ascii="Times New Roman" w:cs="Times New Roman" w:eastAsia="Times New Roman" w:hAnsi="Times New Roman"/>
          <w:sz w:val="19"/>
          <w:szCs w:val="19"/>
          <w:b w:val="1"/>
          <w:bCs w:val="1"/>
          <w:color w:val="231F20"/>
        </w:rPr>
        <w:t xml:space="preserve">Description of Business. </w:t>
      </w:r>
      <w:r>
        <w:rPr>
          <w:rFonts w:ascii="Times New Roman" w:cs="Times New Roman" w:eastAsia="Times New Roman" w:hAnsi="Times New Roman"/>
          <w:sz w:val="19"/>
          <w:szCs w:val="19"/>
          <w:color w:val="231F20"/>
        </w:rPr>
        <w:t>Our Life Sciences segment provides a comprehensive offering of products and services designed to</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support biopharmaceutical and medical device manufacturing facilities, in particular those focused on aseptic manufacturing. Our portfolio includes a full suite of consumable products, equipment maintenance, specialty services, and capital equipment.</w:t>
      </w:r>
    </w:p>
    <w:p>
      <w:pPr>
        <w:spacing w:after="0" w:line="61" w:lineRule="exact"/>
        <w:rPr>
          <w:sz w:val="20"/>
          <w:szCs w:val="20"/>
          <w:color w:val="auto"/>
        </w:rPr>
      </w:pPr>
    </w:p>
    <w:p>
      <w:pPr>
        <w:jc w:val="both"/>
        <w:ind w:right="300"/>
        <w:spacing w:after="0" w:line="276" w:lineRule="auto"/>
        <w:rPr>
          <w:sz w:val="20"/>
          <w:szCs w:val="20"/>
          <w:color w:val="auto"/>
        </w:rPr>
      </w:pPr>
      <w:r>
        <w:rPr>
          <w:rFonts w:ascii="Times New Roman" w:cs="Times New Roman" w:eastAsia="Times New Roman" w:hAnsi="Times New Roman"/>
          <w:sz w:val="19"/>
          <w:szCs w:val="19"/>
          <w:b w:val="1"/>
          <w:bCs w:val="1"/>
          <w:color w:val="231F20"/>
        </w:rPr>
        <w:t xml:space="preserve">Products Offered. </w:t>
      </w:r>
      <w:r>
        <w:rPr>
          <w:rFonts w:ascii="Times New Roman" w:cs="Times New Roman" w:eastAsia="Times New Roman" w:hAnsi="Times New Roman"/>
          <w:sz w:val="19"/>
          <w:szCs w:val="19"/>
          <w:color w:val="231F20"/>
        </w:rPr>
        <w:t>Our products include pharmaceutical detergents, cleanroom disinfectants and sterilants, pharmaceutical</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grade and research sterilizers and washers, sterility assurance and maintenance products, vaporized hydrogen peroxide room decontamination systems and sterilizers, and high purity water and pure steam generators.</w:t>
      </w:r>
    </w:p>
    <w:p>
      <w:pPr>
        <w:spacing w:after="0" w:line="61" w:lineRule="exact"/>
        <w:rPr>
          <w:sz w:val="20"/>
          <w:szCs w:val="20"/>
          <w:color w:val="auto"/>
        </w:rPr>
      </w:pPr>
    </w:p>
    <w:p>
      <w:pPr>
        <w:jc w:val="both"/>
        <w:ind w:right="40"/>
        <w:spacing w:after="0" w:line="276" w:lineRule="auto"/>
        <w:rPr>
          <w:sz w:val="20"/>
          <w:szCs w:val="20"/>
          <w:color w:val="auto"/>
        </w:rPr>
      </w:pPr>
      <w:r>
        <w:rPr>
          <w:rFonts w:ascii="Times New Roman" w:cs="Times New Roman" w:eastAsia="Times New Roman" w:hAnsi="Times New Roman"/>
          <w:sz w:val="19"/>
          <w:szCs w:val="19"/>
          <w:b w:val="1"/>
          <w:bCs w:val="1"/>
          <w:color w:val="231F20"/>
        </w:rPr>
        <w:t xml:space="preserve">Services Offered. </w:t>
      </w:r>
      <w:r>
        <w:rPr>
          <w:rFonts w:ascii="Times New Roman" w:cs="Times New Roman" w:eastAsia="Times New Roman" w:hAnsi="Times New Roman"/>
          <w:sz w:val="19"/>
          <w:szCs w:val="19"/>
          <w:color w:val="231F20"/>
        </w:rPr>
        <w:t>Our Life Sciences segment service employees install, maintain, upgrade, repair, and troubleshoot equipment</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throughout the world. We offer various preventive maintenance programs and repair services to support the effective operation of capital equipment over its lifetime.</w:t>
      </w:r>
    </w:p>
    <w:p>
      <w:pPr>
        <w:spacing w:after="0" w:line="61" w:lineRule="exact"/>
        <w:rPr>
          <w:sz w:val="20"/>
          <w:szCs w:val="20"/>
          <w:color w:val="auto"/>
        </w:rPr>
      </w:pPr>
    </w:p>
    <w:p>
      <w:pPr>
        <w:ind w:right="400"/>
        <w:spacing w:after="0" w:line="276" w:lineRule="auto"/>
        <w:rPr>
          <w:sz w:val="20"/>
          <w:szCs w:val="20"/>
          <w:color w:val="auto"/>
        </w:rPr>
      </w:pPr>
      <w:r>
        <w:rPr>
          <w:rFonts w:ascii="Times New Roman" w:cs="Times New Roman" w:eastAsia="Times New Roman" w:hAnsi="Times New Roman"/>
          <w:sz w:val="19"/>
          <w:szCs w:val="19"/>
          <w:b w:val="1"/>
          <w:bCs w:val="1"/>
          <w:color w:val="231F20"/>
        </w:rPr>
        <w:t xml:space="preserve">Customer Concentration. </w:t>
      </w:r>
      <w:r>
        <w:rPr>
          <w:rFonts w:ascii="Times New Roman" w:cs="Times New Roman" w:eastAsia="Times New Roman" w:hAnsi="Times New Roman"/>
          <w:sz w:val="19"/>
          <w:szCs w:val="19"/>
          <w:color w:val="231F20"/>
        </w:rPr>
        <w:t>Our Life Sciences segment sells consumables, services and capital equipment to Customers</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globally. For the year ended March 31, 2026, no Customer represented more than 10% of the Life Sciences segment’s total revenues.</w:t>
      </w:r>
    </w:p>
    <w:p>
      <w:pPr>
        <w:spacing w:after="0" w:line="6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9"/>
          <w:szCs w:val="19"/>
          <w:b w:val="1"/>
          <w:bCs w:val="1"/>
          <w:color w:val="231F20"/>
        </w:rPr>
        <w:t xml:space="preserve">Competition. </w:t>
      </w:r>
      <w:r>
        <w:rPr>
          <w:rFonts w:ascii="Times New Roman" w:cs="Times New Roman" w:eastAsia="Times New Roman" w:hAnsi="Times New Roman"/>
          <w:sz w:val="19"/>
          <w:szCs w:val="19"/>
          <w:color w:val="231F20"/>
        </w:rPr>
        <w:t>Our Life Sciences segment operates in highly regulated environments where the most intense competition results</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from technological innovations, product performance, convenience and ease of use, and overall cost-effectiveness. We compete for pharmaceutical Customers with a number of large companies that have significant product portfolios and global reach, as well as a number of small companies with very limited product offerings and operations in one or a limited number of countries. Competitors include Belimed, Contec, Ecolab, Fedegari, Getinge, and Stilmas.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INFORMATION WITH RESPECT TO OUR BUSINESS IN GENERAL</w:t>
      </w:r>
    </w:p>
    <w:p>
      <w:pPr>
        <w:spacing w:after="0" w:line="13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9"/>
          <w:szCs w:val="19"/>
          <w:b w:val="1"/>
          <w:bCs w:val="1"/>
          <w:color w:val="231F20"/>
        </w:rPr>
        <w:t xml:space="preserve">Sources and Availability of Raw Materials. </w:t>
      </w:r>
      <w:r>
        <w:rPr>
          <w:rFonts w:ascii="Times New Roman" w:cs="Times New Roman" w:eastAsia="Times New Roman" w:hAnsi="Times New Roman"/>
          <w:sz w:val="19"/>
          <w:szCs w:val="19"/>
          <w:color w:val="231F20"/>
        </w:rPr>
        <w:t>We purchase raw materials, sub-assemblies, components, and other supplies</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needed in our operations from numerous suppliers in the United States and internationally. These raw materials and supplies are generally available from several suppliers and in sufficient quantities. We have long-term supply contracts for certain materials for which there are few suppliers, or those that are single-sourced in certain regions of the world, such as ethylene oxide ("EO") and radioisotope cobalt-60 ("cobalt-60"), which are necessary to our AST operations. In addition, we continue to expand our irradiation processing capacity with accelerator-based technologies, in order to help mitigate the potential cobalt-60 supply risk.</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231F20"/>
        </w:rPr>
        <w:t>4</w:t>
      </w:r>
    </w:p>
    <w:p>
      <w:pPr>
        <w:sectPr>
          <w:pgSz w:w="11880" w:h="15480" w:orient="portrait"/>
          <w:cols w:equalWidth="0" w:num="1">
            <w:col w:w="9960"/>
          </w:cols>
          <w:pgMar w:left="960" w:top="821" w:right="960" w:bottom="0" w:gutter="0" w:footer="0" w:header="0"/>
          <w:type w:val="continuous"/>
        </w:sectPr>
      </w:pPr>
    </w:p>
    <w:bookmarkStart w:id="5" w:name="page6"/>
    <w:bookmarkEnd w:id="5"/>
    <w:p>
      <w:pPr>
        <w:ind w:right="220"/>
        <w:spacing w:after="0" w:line="255" w:lineRule="auto"/>
        <w:rPr>
          <w:sz w:val="20"/>
          <w:szCs w:val="20"/>
          <w:color w:val="auto"/>
        </w:rPr>
      </w:pPr>
      <w:r>
        <w:rPr>
          <w:rFonts w:ascii="Times New Roman" w:cs="Times New Roman" w:eastAsia="Times New Roman" w:hAnsi="Times New Roman"/>
          <w:sz w:val="19"/>
          <w:szCs w:val="19"/>
          <w:b w:val="1"/>
          <w:bCs w:val="1"/>
          <w:color w:val="231F20"/>
        </w:rPr>
        <w:t xml:space="preserve">Intellectual Property. </w:t>
      </w:r>
      <w:r>
        <w:rPr>
          <w:rFonts w:ascii="Times New Roman" w:cs="Times New Roman" w:eastAsia="Times New Roman" w:hAnsi="Times New Roman"/>
          <w:sz w:val="19"/>
          <w:szCs w:val="19"/>
          <w:color w:val="231F20"/>
        </w:rPr>
        <w:t>We protect our technology and products by, among other means, obtaining United States and foreign</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patents. There can be no assurance, however, that any patent will provide adequate protection for the technology, system, product, service, or process it covers. In addition, the process of obtaining and protecting patents can be long and expensive. We also rely upon trade secrets, technical know-how, and continuing technological innovation to develop and maintain our competitive position.</w:t>
      </w:r>
    </w:p>
    <w:p>
      <w:pPr>
        <w:spacing w:after="0" w:line="76" w:lineRule="exact"/>
        <w:rPr>
          <w:sz w:val="20"/>
          <w:szCs w:val="20"/>
          <w:color w:val="auto"/>
        </w:rPr>
      </w:pPr>
    </w:p>
    <w:p>
      <w:pPr>
        <w:ind w:firstLine="349"/>
        <w:spacing w:after="0" w:line="265" w:lineRule="auto"/>
        <w:rPr>
          <w:sz w:val="20"/>
          <w:szCs w:val="20"/>
          <w:color w:val="auto"/>
        </w:rPr>
      </w:pPr>
      <w:r>
        <w:rPr>
          <w:rFonts w:ascii="Times New Roman" w:cs="Times New Roman" w:eastAsia="Times New Roman" w:hAnsi="Times New Roman"/>
          <w:sz w:val="19"/>
          <w:szCs w:val="19"/>
          <w:color w:val="231F20"/>
        </w:rPr>
        <w:t>As of March 31, 2026, we held 606 United States patents and 2,402 patents in other jurisdictions and had 94 United States patent applications and 235 patent applications pending in other jurisdictions. Patents for individual products extend for varying periods according to the date of filing or grant and legal term of patents in various countries where a patent is obtained. The actual protection a patent provides varies from country to country and depends in part upon the type of patent, the scope of its coverage, and the availability of legal remedies in each country.</w:t>
      </w:r>
    </w:p>
    <w:p>
      <w:pPr>
        <w:spacing w:after="0" w:line="74" w:lineRule="exact"/>
        <w:rPr>
          <w:sz w:val="20"/>
          <w:szCs w:val="20"/>
          <w:color w:val="auto"/>
        </w:rPr>
      </w:pPr>
    </w:p>
    <w:p>
      <w:pPr>
        <w:ind w:right="400" w:firstLine="349"/>
        <w:spacing w:after="0" w:line="274" w:lineRule="auto"/>
        <w:rPr>
          <w:sz w:val="20"/>
          <w:szCs w:val="20"/>
          <w:color w:val="auto"/>
        </w:rPr>
      </w:pPr>
      <w:r>
        <w:rPr>
          <w:rFonts w:ascii="Times New Roman" w:cs="Times New Roman" w:eastAsia="Times New Roman" w:hAnsi="Times New Roman"/>
          <w:sz w:val="19"/>
          <w:szCs w:val="19"/>
          <w:color w:val="231F20"/>
        </w:rPr>
        <w:t>Our products are sold around the world under various brand names and trademarks. We consider our brand names and trademarks to be valuable in the marketing of our products. As of March 31, 2026, we had a total of approximately 2,079 trademark registrations worldwide.</w:t>
      </w:r>
    </w:p>
    <w:p>
      <w:pPr>
        <w:spacing w:after="0" w:line="6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9"/>
          <w:szCs w:val="19"/>
          <w:b w:val="1"/>
          <w:bCs w:val="1"/>
          <w:color w:val="231F20"/>
        </w:rPr>
        <w:t xml:space="preserve">Quality Assurance. </w:t>
      </w:r>
      <w:r>
        <w:rPr>
          <w:rFonts w:ascii="Times New Roman" w:cs="Times New Roman" w:eastAsia="Times New Roman" w:hAnsi="Times New Roman"/>
          <w:sz w:val="19"/>
          <w:szCs w:val="19"/>
          <w:color w:val="231F20"/>
        </w:rPr>
        <w:t>We manufacture, assemble, and package products in several countries. Each of our production facilities is</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dedicated to particular processes and products. Our success depends upon Customer confidence in the quality of our production process and the integrity of the data that supports our product safety and effectiveness. We have implemented a harmonized, global Quality Management System to support the quality and integrity of scientific information and production processes.</w:t>
      </w:r>
    </w:p>
    <w:p>
      <w:pPr>
        <w:spacing w:after="0" w:line="72" w:lineRule="exact"/>
        <w:rPr>
          <w:sz w:val="20"/>
          <w:szCs w:val="20"/>
          <w:color w:val="auto"/>
        </w:rPr>
      </w:pPr>
    </w:p>
    <w:p>
      <w:pPr>
        <w:ind w:right="60" w:firstLine="349"/>
        <w:spacing w:after="0" w:line="260" w:lineRule="auto"/>
        <w:rPr>
          <w:sz w:val="20"/>
          <w:szCs w:val="20"/>
          <w:color w:val="auto"/>
        </w:rPr>
      </w:pPr>
      <w:r>
        <w:rPr>
          <w:rFonts w:ascii="Times New Roman" w:cs="Times New Roman" w:eastAsia="Times New Roman" w:hAnsi="Times New Roman"/>
          <w:sz w:val="19"/>
          <w:szCs w:val="19"/>
          <w:color w:val="231F20"/>
        </w:rPr>
        <w:t>We are subject to strict regulatory compliance and quality standards to ensure the safety and supply of our products and services. The STERIS quality system is scoped and designed to achieve quality from incoming materials through the design, development, manufacture, storage, handling and distribution of our products and delivery of services. To monitor compliance with these standards, internal and third-party assessments of our quality and regulatory systems are conducted. FDA and Regulatory Authorities worldwide periodically conduct inspections of our manufacturing and contract sterilization facilities to confirm compliance. In connection with an inspection, the FDA may initiate enforcement actions, e.g., warning letters, consent decrees, sanctions, injunctions, etc., beyond inspectional findings. In fiscal 2026, STERIS was not the subject of any FDA or Regulatory Authority enforcement actions. Additionally, STERIS had zero products listed in the FDA’s MedWatch Safety Alerts for Human Medical Products database.</w:t>
      </w:r>
    </w:p>
    <w:p>
      <w:pPr>
        <w:spacing w:after="0" w:line="82" w:lineRule="exact"/>
        <w:rPr>
          <w:sz w:val="20"/>
          <w:szCs w:val="20"/>
          <w:color w:val="auto"/>
        </w:rPr>
      </w:pPr>
    </w:p>
    <w:p>
      <w:pPr>
        <w:ind w:right="100" w:firstLine="349"/>
        <w:spacing w:after="0" w:line="269" w:lineRule="auto"/>
        <w:rPr>
          <w:sz w:val="20"/>
          <w:szCs w:val="20"/>
          <w:color w:val="auto"/>
        </w:rPr>
      </w:pPr>
      <w:r>
        <w:rPr>
          <w:rFonts w:ascii="Times New Roman" w:cs="Times New Roman" w:eastAsia="Times New Roman" w:hAnsi="Times New Roman"/>
          <w:sz w:val="19"/>
          <w:szCs w:val="19"/>
          <w:color w:val="231F20"/>
        </w:rPr>
        <w:t>We have in place processes to monitor and support compliance with product and service regulations worldwide, including design controls, product changes, labeling and advertising, marketing materials, good manufacturing practices, and adverse event reporting requirements. We take prompt action whenever we are alerted to regulatory or field-safety issues with a STERIS product. Following immediate assessment, we take corrective action, including voluntary product recalls, when needed. We examine underlying issues and root cause and work to resolve these to avoid recurrence. STERIS had no Class I recalls in fiscal 2026, 2025 or 2024.</w:t>
      </w:r>
    </w:p>
    <w:p>
      <w:pPr>
        <w:spacing w:after="0" w:line="8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b w:val="1"/>
          <w:bCs w:val="1"/>
          <w:color w:val="231F20"/>
        </w:rPr>
        <w:t xml:space="preserve">Continuous Improvement. </w:t>
      </w:r>
      <w:r>
        <w:rPr>
          <w:rFonts w:ascii="Times New Roman" w:cs="Times New Roman" w:eastAsia="Times New Roman" w:hAnsi="Times New Roman"/>
          <w:sz w:val="19"/>
          <w:szCs w:val="19"/>
          <w:color w:val="231F20"/>
        </w:rPr>
        <w:t>Continuous improvement is fundamental to how we operate at STERIS. We apply Lean principles</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across manufacturing, service operations, back office, and support functions through our Improvement framework. Our Improvement framework establishes a consistent foundation for problem solving, standard work, and performance management while enabling local ownership, creativity, and innovation. We assess system maturity and opportunity for improvement across core dimensions—including culture, training and development, routine management and strategic alignment, 5S, value stream mapping, kaizen management, integration with new product development ("NPD"), and key performance indicators.</w:t>
      </w:r>
    </w:p>
    <w:p>
      <w:pPr>
        <w:spacing w:after="0" w:line="7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9"/>
          <w:szCs w:val="19"/>
          <w:color w:val="231F20"/>
        </w:rPr>
        <w:t>Our efforts are designed to deliver better outcomes for Customers, Shareholders, and Associates. By targeting key areas, we strengthen performance, agility, and value. In manufacturing and service operations, we apply flow and cellular production concepts and cross-train Associates to increase flexibility and throughput. We also assess opportunities to in-source, outsource, or adopt technology to drive value.</w:t>
      </w:r>
    </w:p>
    <w:p>
      <w:pPr>
        <w:spacing w:after="0" w:line="72"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19"/>
          <w:szCs w:val="19"/>
          <w:color w:val="231F20"/>
        </w:rPr>
        <w:t>We extend these principles to back office and support functions where Improvement tools streamline workflows, reduce waste, and improve service delivery.</w:t>
      </w:r>
    </w:p>
    <w:p>
      <w:pPr>
        <w:spacing w:after="0" w:line="49"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9"/>
          <w:szCs w:val="19"/>
          <w:color w:val="231F20"/>
        </w:rPr>
        <w:t>A dedicated Continuous Improvement team partners with the business to coach, build capability, and accelerate results. Through kaizen events, tiered daily management, and natural work team initiatives, we foster a culture where Associates are empowered to drive change. This mindset is supported at all levels of the Company, reinforcing alignment, engagement, and sustainable long-term performance.</w:t>
      </w:r>
    </w:p>
    <w:p>
      <w:pPr>
        <w:sectPr>
          <w:pgSz w:w="11880" w:h="15480" w:orient="portrait"/>
          <w:cols w:equalWidth="0" w:num="1">
            <w:col w:w="9920"/>
          </w:cols>
          <w:pgMar w:left="960" w:top="82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231F20"/>
        </w:rPr>
        <w:t>5</w:t>
      </w:r>
    </w:p>
    <w:p>
      <w:pPr>
        <w:sectPr>
          <w:pgSz w:w="11880" w:h="15480" w:orient="portrait"/>
          <w:cols w:equalWidth="0" w:num="1">
            <w:col w:w="9920"/>
          </w:cols>
          <w:pgMar w:left="960" w:top="821" w:right="1000" w:bottom="0" w:gutter="0" w:footer="0" w:header="0"/>
          <w:type w:val="continuous"/>
        </w:sectPr>
      </w:pPr>
    </w:p>
    <w:bookmarkStart w:id="6" w:name="page7"/>
    <w:bookmarkEnd w:id="6"/>
    <w:p>
      <w:pPr>
        <w:ind w:right="80"/>
        <w:spacing w:after="0" w:line="261" w:lineRule="auto"/>
        <w:rPr>
          <w:sz w:val="20"/>
          <w:szCs w:val="20"/>
          <w:color w:val="auto"/>
        </w:rPr>
      </w:pPr>
      <w:r>
        <w:rPr>
          <w:rFonts w:ascii="Times New Roman" w:cs="Times New Roman" w:eastAsia="Times New Roman" w:hAnsi="Times New Roman"/>
          <w:sz w:val="19"/>
          <w:szCs w:val="19"/>
          <w:b w:val="1"/>
          <w:bCs w:val="1"/>
          <w:color w:val="231F20"/>
        </w:rPr>
        <w:t xml:space="preserve">Government Regulation. </w:t>
      </w:r>
      <w:r>
        <w:rPr>
          <w:rFonts w:ascii="Times New Roman" w:cs="Times New Roman" w:eastAsia="Times New Roman" w:hAnsi="Times New Roman"/>
          <w:sz w:val="19"/>
          <w:szCs w:val="19"/>
          <w:color w:val="231F20"/>
        </w:rPr>
        <w:t>Our business is subject to various degrees of governmental regulation in the countries in which we</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operate. In the United States, the Food and Drug Administration (“FDA”), the Environmental Protection Agency (“EPA”), the Occupational Safety and Health Administration ("OSHA"), the Nuclear Regulatory Commission ("NRC"), and other governmental authorities regulate the development, manufacture, sale, and distribution of our products and services. Our international operations are subject to a broad range of government regulations across multiple jurisdictions, including country-specific rules and regulations and U.S. regulations applicable to our international operations. Government regulations require detailed inspection of, and controls over, research and development, clinical investigations, product approvals and manufacturing, marketing and promotion, sampling, distribution, record-keeping, storage, and disposal practices.</w:t>
      </w:r>
    </w:p>
    <w:p>
      <w:pPr>
        <w:spacing w:after="0" w:line="82" w:lineRule="exact"/>
        <w:rPr>
          <w:sz w:val="20"/>
          <w:szCs w:val="20"/>
          <w:color w:val="auto"/>
        </w:rPr>
      </w:pPr>
    </w:p>
    <w:p>
      <w:pPr>
        <w:ind w:right="20" w:firstLine="349"/>
        <w:spacing w:after="0" w:line="265" w:lineRule="auto"/>
        <w:rPr>
          <w:sz w:val="20"/>
          <w:szCs w:val="20"/>
          <w:color w:val="auto"/>
        </w:rPr>
      </w:pPr>
      <w:r>
        <w:rPr>
          <w:rFonts w:ascii="Times New Roman" w:cs="Times New Roman" w:eastAsia="Times New Roman" w:hAnsi="Times New Roman"/>
          <w:sz w:val="19"/>
          <w:szCs w:val="19"/>
          <w:color w:val="231F20"/>
        </w:rPr>
        <w:t>Compliance with applicable regulations involves significant ongoing expense. Past, current or future regulations, their interpretation, or their application could have a material adverse impact on our operations. Also, additional governmental regulation may be passed that could prevent, delay, revoke, or result in the rejection of regulatory clearance of our products. We cannot predict the effect on our operations resulting from current or future governmental regulation or the interpretation or application of these regulations.</w:t>
      </w:r>
    </w:p>
    <w:p>
      <w:pPr>
        <w:spacing w:after="0" w:line="75" w:lineRule="exact"/>
        <w:rPr>
          <w:sz w:val="20"/>
          <w:szCs w:val="20"/>
          <w:color w:val="auto"/>
        </w:rPr>
      </w:pPr>
    </w:p>
    <w:p>
      <w:pPr>
        <w:ind w:right="140" w:firstLine="349"/>
        <w:spacing w:after="0" w:line="265" w:lineRule="auto"/>
        <w:rPr>
          <w:sz w:val="20"/>
          <w:szCs w:val="20"/>
          <w:color w:val="auto"/>
        </w:rPr>
      </w:pPr>
      <w:r>
        <w:rPr>
          <w:rFonts w:ascii="Times New Roman" w:cs="Times New Roman" w:eastAsia="Times New Roman" w:hAnsi="Times New Roman"/>
          <w:sz w:val="19"/>
          <w:szCs w:val="19"/>
          <w:color w:val="231F20"/>
        </w:rPr>
        <w:t>If we fail to comply with any applicable regulatory requirements, penalties could be imposed on us. For more information about the risks we face regarding regulatory requirements, see Part I, Item 1A of this Annual Report titled, "Risk Factors." We are subject to extensive regulatory requirements and must receive and maintain regulatory clearance or approval for many products and operations. Failure to receive or maintain, or delays in receiving, clearance or approvals may hurt our revenues, profitability, financial condition, or value.</w:t>
      </w:r>
    </w:p>
    <w:p>
      <w:pPr>
        <w:spacing w:after="0" w:line="74" w:lineRule="exact"/>
        <w:rPr>
          <w:sz w:val="20"/>
          <w:szCs w:val="20"/>
          <w:color w:val="auto"/>
        </w:rPr>
      </w:pPr>
    </w:p>
    <w:p>
      <w:pPr>
        <w:ind w:right="60" w:firstLine="349"/>
        <w:spacing w:after="0" w:line="268" w:lineRule="auto"/>
        <w:rPr>
          <w:sz w:val="20"/>
          <w:szCs w:val="20"/>
          <w:color w:val="auto"/>
        </w:rPr>
      </w:pPr>
      <w:r>
        <w:rPr>
          <w:rFonts w:ascii="Times New Roman" w:cs="Times New Roman" w:eastAsia="Times New Roman" w:hAnsi="Times New Roman"/>
          <w:sz w:val="19"/>
          <w:szCs w:val="19"/>
          <w:color w:val="231F20"/>
        </w:rPr>
        <w:t>In the past, we have received warning letters, paid civil penalties, conducted product recalls and field corrections, and been subject to other regulatory penalties. We believe that we are currently compliant in all material respects with applicable regulatory requirements. However, there can be no assurance that future or current regulatory, governmental, or private action will not have a material adverse effect on us or on our performance, results, or financial condition.</w:t>
      </w:r>
    </w:p>
    <w:p>
      <w:pPr>
        <w:spacing w:after="0" w:line="6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9"/>
          <w:szCs w:val="19"/>
          <w:b w:val="1"/>
          <w:bCs w:val="1"/>
          <w:color w:val="231F20"/>
        </w:rPr>
        <w:t xml:space="preserve">Environmental Matters. </w:t>
      </w:r>
      <w:r>
        <w:rPr>
          <w:rFonts w:ascii="Times New Roman" w:cs="Times New Roman" w:eastAsia="Times New Roman" w:hAnsi="Times New Roman"/>
          <w:sz w:val="19"/>
          <w:szCs w:val="19"/>
          <w:color w:val="231F20"/>
        </w:rPr>
        <w:t>We are subject to various laws and governmental regulations concerning environmental matters and</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employee safety and health in Ireland, the United States and other countries. We have made, and continue to make, significant investments to comply with these laws and regulations. We cannot predict the future capital expenditures or operating costs required to comply with environmental laws and regulations. We believe that we are currently compliant with applicable environmental, health, and safety requirements in all material respects. However, there can be no assurance that future or current regulatory, governmental, or private action will not have a material adverse effect on our performance, results, or financial condition. Please refer to Note 12 to our consolidated financial statements titled, "Commitments and Contingencies" for further information.</w:t>
      </w:r>
    </w:p>
    <w:p>
      <w:pPr>
        <w:spacing w:after="0" w:line="83" w:lineRule="exact"/>
        <w:rPr>
          <w:sz w:val="20"/>
          <w:szCs w:val="20"/>
          <w:color w:val="auto"/>
        </w:rPr>
      </w:pPr>
    </w:p>
    <w:p>
      <w:pPr>
        <w:ind w:firstLine="349"/>
        <w:spacing w:after="0" w:line="262" w:lineRule="auto"/>
        <w:rPr>
          <w:sz w:val="20"/>
          <w:szCs w:val="20"/>
          <w:color w:val="auto"/>
        </w:rPr>
      </w:pPr>
      <w:r>
        <w:rPr>
          <w:rFonts w:ascii="Times New Roman" w:cs="Times New Roman" w:eastAsia="Times New Roman" w:hAnsi="Times New Roman"/>
          <w:sz w:val="19"/>
          <w:szCs w:val="19"/>
          <w:color w:val="231F20"/>
        </w:rPr>
        <w:t>In the future, if a loss contingency related to environmental matters, employee safety, health or conditional asset retirement obligations which is estimable and probable is significantly greater than the current recorded amount, we would record an additional liability for the obligation and it may result in a material impact on net income for the annual or interim period during which the liability is recorded. The investigation and remediation of environmental obligations generally occur over an extended period of time, and therefore we do not know if these events would have a material adverse effect on our financial condition, liquidity, or cash flow, nor can there be any assurance that such liabilities would not have a material adverse effect on our performance, results, or financial condition.</w:t>
      </w:r>
    </w:p>
    <w:p>
      <w:pPr>
        <w:spacing w:after="0" w:line="73"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9"/>
          <w:szCs w:val="19"/>
          <w:b w:val="1"/>
          <w:bCs w:val="1"/>
          <w:color w:val="231F20"/>
        </w:rPr>
        <w:t xml:space="preserve">Competition. </w:t>
      </w:r>
      <w:r>
        <w:rPr>
          <w:rFonts w:ascii="Times New Roman" w:cs="Times New Roman" w:eastAsia="Times New Roman" w:hAnsi="Times New Roman"/>
          <w:sz w:val="19"/>
          <w:szCs w:val="19"/>
          <w:color w:val="231F20"/>
        </w:rPr>
        <w:t>The markets in which we operate are highly competitive and generally highly regulated. Competition is intense</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in all of our business segments and includes many large and small competitors. Brand, design, quality, safety, ease of use, serviceability, price, product features, warranty, delivery, service, and technical support are important competitive factors to us. We expect to face continued competition in the future as new infection prevention, sterile processing, contamination control, gastrointestinal and surgical support products and services enter the market. We believe many organizations are working with a variety of technologies and sterilizing agents.</w:t>
      </w:r>
    </w:p>
    <w:p>
      <w:pPr>
        <w:spacing w:after="0" w:line="76" w:lineRule="exact"/>
        <w:rPr>
          <w:sz w:val="20"/>
          <w:szCs w:val="20"/>
          <w:color w:val="auto"/>
        </w:rPr>
      </w:pPr>
    </w:p>
    <w:p>
      <w:pPr>
        <w:ind w:right="220" w:firstLine="349"/>
        <w:spacing w:after="0" w:line="265" w:lineRule="auto"/>
        <w:rPr>
          <w:sz w:val="20"/>
          <w:szCs w:val="20"/>
          <w:color w:val="auto"/>
        </w:rPr>
      </w:pPr>
      <w:r>
        <w:rPr>
          <w:rFonts w:ascii="Times New Roman" w:cs="Times New Roman" w:eastAsia="Times New Roman" w:hAnsi="Times New Roman"/>
          <w:sz w:val="19"/>
          <w:szCs w:val="19"/>
          <w:color w:val="231F20"/>
        </w:rPr>
        <w:t>We believe that our long-term competitive position depends on our success in discovering, developing, and marketing innovative, cost-effective products and services. We devote significant resources to research and development efforts, and we believe STERIS is positioned as a global competitor in the search for technological innovations. In addition to research and development, we invest in quality control, Customer training programs, distribution systems, technical services, and other information services. In addition to organic opportunities, acquisitions are a key part of our long-term strategy for growth.</w:t>
      </w:r>
    </w:p>
    <w:p>
      <w:pPr>
        <w:spacing w:after="0" w:line="75" w:lineRule="exact"/>
        <w:rPr>
          <w:sz w:val="20"/>
          <w:szCs w:val="20"/>
          <w:color w:val="auto"/>
        </w:rPr>
      </w:pPr>
    </w:p>
    <w:p>
      <w:pPr>
        <w:ind w:right="40" w:firstLine="349"/>
        <w:spacing w:after="0" w:line="264" w:lineRule="auto"/>
        <w:rPr>
          <w:sz w:val="20"/>
          <w:szCs w:val="20"/>
          <w:color w:val="auto"/>
        </w:rPr>
      </w:pPr>
      <w:r>
        <w:rPr>
          <w:rFonts w:ascii="Times New Roman" w:cs="Times New Roman" w:eastAsia="Times New Roman" w:hAnsi="Times New Roman"/>
          <w:sz w:val="19"/>
          <w:szCs w:val="19"/>
          <w:color w:val="231F20"/>
        </w:rPr>
        <w:t>There can be no assurance that we will develop significant new products or services, or that the new products or services we provide or develop in the future will be more commercially successful than those provided or developed by our competitors. In addition, some of our existing or potential competitors may have greater resources than us. Therefore, a competitor may succeed in developing and commercializing products more rapidly than we do. Competition, as it relates to our business segments and product categories, is discussed in more detail in the section above titled, “Information Related to Business Segments.”</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231F20"/>
        </w:rPr>
        <w:t>6</w:t>
      </w:r>
    </w:p>
    <w:p>
      <w:pPr>
        <w:sectPr>
          <w:pgSz w:w="11880" w:h="15480" w:orient="portrait"/>
          <w:cols w:equalWidth="0" w:num="1">
            <w:col w:w="9960"/>
          </w:cols>
          <w:pgMar w:left="960" w:top="821" w:right="960" w:bottom="0" w:gutter="0" w:footer="0" w:header="0"/>
          <w:type w:val="continuous"/>
        </w:sectPr>
      </w:pPr>
    </w:p>
    <w:bookmarkStart w:id="7" w:name="page8"/>
    <w:bookmarkEnd w:id="7"/>
    <w:p>
      <w:pPr>
        <w:ind w:right="240"/>
        <w:spacing w:after="0" w:line="276" w:lineRule="auto"/>
        <w:rPr>
          <w:sz w:val="20"/>
          <w:szCs w:val="20"/>
          <w:color w:val="auto"/>
        </w:rPr>
      </w:pPr>
      <w:r>
        <w:rPr>
          <w:rFonts w:ascii="Times New Roman" w:cs="Times New Roman" w:eastAsia="Times New Roman" w:hAnsi="Times New Roman"/>
          <w:sz w:val="19"/>
          <w:szCs w:val="19"/>
          <w:b w:val="1"/>
          <w:bCs w:val="1"/>
          <w:color w:val="231F20"/>
        </w:rPr>
        <w:t xml:space="preserve">Methods of Distribution. </w:t>
      </w:r>
      <w:r>
        <w:rPr>
          <w:rFonts w:ascii="Times New Roman" w:cs="Times New Roman" w:eastAsia="Times New Roman" w:hAnsi="Times New Roman"/>
          <w:sz w:val="19"/>
          <w:szCs w:val="19"/>
          <w:color w:val="231F20"/>
        </w:rPr>
        <w:t>Sales and service activities are supported by a staff of regionally based clinical specialists, system</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planners, corporate account managers, and in-house Customer service and field support departments. We also contract with distributors and dealers.</w:t>
      </w:r>
    </w:p>
    <w:p>
      <w:pPr>
        <w:spacing w:after="0" w:line="65" w:lineRule="exact"/>
        <w:rPr>
          <w:sz w:val="20"/>
          <w:szCs w:val="20"/>
          <w:color w:val="auto"/>
        </w:rPr>
      </w:pPr>
    </w:p>
    <w:p>
      <w:pPr>
        <w:ind w:right="180" w:firstLine="349"/>
        <w:spacing w:after="0" w:line="268" w:lineRule="auto"/>
        <w:rPr>
          <w:sz w:val="20"/>
          <w:szCs w:val="20"/>
          <w:color w:val="auto"/>
        </w:rPr>
      </w:pPr>
      <w:r>
        <w:rPr>
          <w:rFonts w:ascii="Times New Roman" w:cs="Times New Roman" w:eastAsia="Times New Roman" w:hAnsi="Times New Roman"/>
          <w:sz w:val="19"/>
          <w:szCs w:val="19"/>
          <w:color w:val="231F20"/>
        </w:rPr>
        <w:t>Customer training is important to our business. We provide a variety of courses at Customer locations, at our training and education centers, and over the internet. Our training programs help Customers understand the science, technology, and operation of our products and services. Many of our operator training programs are approved by professional certifying organizations and offer continuing education credits to eligible course participants.</w:t>
      </w:r>
    </w:p>
    <w:p>
      <w:pPr>
        <w:spacing w:after="0" w:line="68" w:lineRule="exact"/>
        <w:rPr>
          <w:sz w:val="20"/>
          <w:szCs w:val="20"/>
          <w:color w:val="auto"/>
        </w:rPr>
      </w:pPr>
    </w:p>
    <w:p>
      <w:pPr>
        <w:ind w:right="440"/>
        <w:spacing w:after="0" w:line="276" w:lineRule="auto"/>
        <w:rPr>
          <w:sz w:val="20"/>
          <w:szCs w:val="20"/>
          <w:color w:val="auto"/>
        </w:rPr>
      </w:pPr>
      <w:r>
        <w:rPr>
          <w:rFonts w:ascii="Times New Roman" w:cs="Times New Roman" w:eastAsia="Times New Roman" w:hAnsi="Times New Roman"/>
          <w:sz w:val="19"/>
          <w:szCs w:val="19"/>
          <w:b w:val="1"/>
          <w:bCs w:val="1"/>
          <w:color w:val="231F20"/>
        </w:rPr>
        <w:t xml:space="preserve">Seasonality. </w:t>
      </w:r>
      <w:r>
        <w:rPr>
          <w:rFonts w:ascii="Times New Roman" w:cs="Times New Roman" w:eastAsia="Times New Roman" w:hAnsi="Times New Roman"/>
          <w:sz w:val="19"/>
          <w:szCs w:val="19"/>
          <w:color w:val="231F20"/>
        </w:rPr>
        <w:t>Our financial results have, from time to time, exhibited seasonal patterns. In particular, capital equipment</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revenues within our Healthcare segment have historically been higher in the fourth quarter of our fiscal year. However, we cannot guarantee that these patterns will persist.</w:t>
      </w:r>
    </w:p>
    <w:p>
      <w:pPr>
        <w:spacing w:after="0" w:line="6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b w:val="1"/>
          <w:bCs w:val="1"/>
          <w:color w:val="231F20"/>
        </w:rPr>
        <w:t xml:space="preserve">Backlog. </w:t>
      </w:r>
      <w:r>
        <w:rPr>
          <w:rFonts w:ascii="Times New Roman" w:cs="Times New Roman" w:eastAsia="Times New Roman" w:hAnsi="Times New Roman"/>
          <w:sz w:val="19"/>
          <w:szCs w:val="19"/>
          <w:color w:val="231F20"/>
        </w:rPr>
        <w:t>We define backlog as the amount of unfilled capital equipment purchase orders at a point in time. At March 31, 2026,</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we had a backlog of $490.7 million. Of this amount, $392.1 million and $98.7 million related to our Healthcare and Life Sciences segments, respectively. At March 31, 2025, we had backlog orders of $452.9 million. Of this amount, $369.2 million and $83.7 million related to our Healthcare and Life Sciences segments, respectively. Backlog increased in fiscal 2026 due to the timing of shipments and the benefit of acquisitions.</w:t>
      </w:r>
    </w:p>
    <w:p>
      <w:pPr>
        <w:spacing w:after="0" w:line="70"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9"/>
          <w:szCs w:val="19"/>
          <w:b w:val="1"/>
          <w:bCs w:val="1"/>
          <w:color w:val="231F20"/>
        </w:rPr>
        <w:t xml:space="preserve">Availability of Securities and Exchange Commission Filings. </w:t>
      </w:r>
      <w:r>
        <w:rPr>
          <w:rFonts w:ascii="Times New Roman" w:cs="Times New Roman" w:eastAsia="Times New Roman" w:hAnsi="Times New Roman"/>
          <w:sz w:val="19"/>
          <w:szCs w:val="19"/>
          <w:color w:val="231F20"/>
        </w:rPr>
        <w:t>We make available free of charge on or through our website</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 xml:space="preserve">our Annual Reports on Form 10-K, Quarterly Reports on Form 10-Q, and Current Reports on Form 8-K, and amendments to these reports, as soon as reasonably practicable after we electronically file such material with, or furnish such material to, the Securities and Exchange Commission (“SEC”). You may access these documents, as well as other SEC filings related to the Company, on the Investor Relations page of our website at </w:t>
      </w:r>
      <w:r>
        <w:rPr>
          <w:rFonts w:ascii="Times New Roman" w:cs="Times New Roman" w:eastAsia="Times New Roman" w:hAnsi="Times New Roman"/>
          <w:sz w:val="19"/>
          <w:szCs w:val="19"/>
          <w:u w:val="single" w:color="auto"/>
          <w:color w:val="231F20"/>
        </w:rPr>
        <w:t>http://www.steris-ir.com</w:t>
      </w:r>
      <w:r>
        <w:rPr>
          <w:rFonts w:ascii="Times New Roman" w:cs="Times New Roman" w:eastAsia="Times New Roman" w:hAnsi="Times New Roman"/>
          <w:sz w:val="19"/>
          <w:szCs w:val="19"/>
          <w:color w:val="231F20"/>
        </w:rPr>
        <w:t xml:space="preserve">. You may also obtain copies of these documents by accessing the SEC’s website at </w:t>
      </w:r>
      <w:r>
        <w:rPr>
          <w:rFonts w:ascii="Times New Roman" w:cs="Times New Roman" w:eastAsia="Times New Roman" w:hAnsi="Times New Roman"/>
          <w:sz w:val="19"/>
          <w:szCs w:val="19"/>
          <w:u w:val="single" w:color="auto"/>
          <w:color w:val="231F20"/>
        </w:rPr>
        <w:t>http://www.sec.gov</w:t>
      </w:r>
      <w:r>
        <w:rPr>
          <w:rFonts w:ascii="Times New Roman" w:cs="Times New Roman" w:eastAsia="Times New Roman" w:hAnsi="Times New Roman"/>
          <w:sz w:val="19"/>
          <w:szCs w:val="19"/>
          <w:color w:val="231F20"/>
        </w:rPr>
        <w:t>. The content on or accessible through any website referred to in this Annual Report on Form 10-K is not incorporated by reference into this Form 10-K unless expressly noted.</w:t>
      </w:r>
    </w:p>
    <w:p>
      <w:pPr>
        <w:spacing w:after="0" w:line="81" w:lineRule="exact"/>
        <w:rPr>
          <w:sz w:val="20"/>
          <w:szCs w:val="20"/>
          <w:color w:val="auto"/>
        </w:rPr>
      </w:pPr>
    </w:p>
    <w:p>
      <w:pPr>
        <w:ind w:right="120" w:firstLine="349"/>
        <w:spacing w:after="0" w:line="268" w:lineRule="auto"/>
        <w:rPr>
          <w:sz w:val="20"/>
          <w:szCs w:val="20"/>
          <w:color w:val="auto"/>
        </w:rPr>
      </w:pPr>
      <w:r>
        <w:rPr>
          <w:rFonts w:ascii="Times New Roman" w:cs="Times New Roman" w:eastAsia="Times New Roman" w:hAnsi="Times New Roman"/>
          <w:sz w:val="19"/>
          <w:szCs w:val="19"/>
          <w:color w:val="231F20"/>
        </w:rPr>
        <w:t>We also make available free of charge on our website our Corporate Governance Guidelines, our Director Code of Ethics, and our Code of Business Conduct, as well as the Charters of the Audit Committee, the Compensation and Organization Development Committee, the Nominating and Governance Committee, and the Compliance and Technology Committee of the Company’s Board of Directors.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CORPORATE RESPONSIBILITY</w:t>
      </w:r>
    </w:p>
    <w:p>
      <w:pPr>
        <w:spacing w:after="0" w:line="80" w:lineRule="exact"/>
        <w:rPr>
          <w:sz w:val="20"/>
          <w:szCs w:val="20"/>
          <w:color w:val="auto"/>
        </w:rPr>
      </w:pPr>
    </w:p>
    <w:p>
      <w:pPr>
        <w:ind w:right="40" w:firstLine="354"/>
        <w:spacing w:after="0" w:line="260" w:lineRule="auto"/>
        <w:rPr>
          <w:sz w:val="20"/>
          <w:szCs w:val="20"/>
          <w:color w:val="auto"/>
        </w:rPr>
      </w:pPr>
      <w:r>
        <w:rPr>
          <w:rFonts w:ascii="Times New Roman" w:cs="Times New Roman" w:eastAsia="Times New Roman" w:hAnsi="Times New Roman"/>
          <w:sz w:val="19"/>
          <w:szCs w:val="19"/>
          <w:color w:val="231F20"/>
        </w:rPr>
        <w:t>Our Corporate Responsibility function is led by the Vice President of Corporate Responsibility &amp; Safety. The Corporate Responsibility function, with support from our CEO, General Counsel and other senior executives, works to actively develop and refine our Environmental, Social and Governance ("ESG") strategies, programs, and policies. The Corporate Responsibility function works closely with our Global Sustainability Steering Committee to build ESG values and implement strategies, programs, and policies across the Company. The Global Sustainability Steering Committee is a cross-functional team of senior leadership, subcommittee chairs, and subject matter experts spanning our businesses and Legal, Investor Relations, Continuous Improvement, Compliance, Facilities, and Health, Safety and Environment functions. The Corporate Responsibility team regularly updates the Nominating and Governance Committee of our Board of Directors regarding its activities, including evaluating carbon emissions, preparing for regulatory requirements, reporting ESG metrics, and reviewing ESG ratings.</w:t>
      </w:r>
    </w:p>
    <w:p>
      <w:pPr>
        <w:spacing w:after="0" w:line="24" w:lineRule="exact"/>
        <w:rPr>
          <w:sz w:val="20"/>
          <w:szCs w:val="20"/>
          <w:color w:val="auto"/>
        </w:rPr>
      </w:pPr>
    </w:p>
    <w:p>
      <w:pPr>
        <w:ind w:right="100" w:firstLine="349"/>
        <w:spacing w:after="0" w:line="262" w:lineRule="auto"/>
        <w:rPr>
          <w:sz w:val="20"/>
          <w:szCs w:val="20"/>
          <w:color w:val="auto"/>
        </w:rPr>
      </w:pPr>
      <w:r>
        <w:rPr>
          <w:rFonts w:ascii="Times New Roman" w:cs="Times New Roman" w:eastAsia="Times New Roman" w:hAnsi="Times New Roman"/>
          <w:sz w:val="19"/>
          <w:szCs w:val="19"/>
          <w:color w:val="231F20"/>
        </w:rPr>
        <w:t>Key performance indicators and metrics have been established for those areas we believe to be relevant and potentially significant to our business. Certain of these disclosures relate to Sustainability Accounting Standards Board ("SASB") Standards for Medical Equipment &amp; Supplies that we have identified to be closely aligned with our business. Our reporting against the SASB Standards is a voluntary disclosure aligned with our focus on financial materiality. We seek to provide investors with useful, relevant and meaningful sustainability information and have selected metrics under the SASB Standards. We describe below how we continuously monitor and track our policies and activities in the areas of ethical business practices, energy and environmental conservation, employees and human capital management, and quality.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ETHICAL BUSINESS PRACTICES</w:t>
      </w:r>
    </w:p>
    <w:p>
      <w:pPr>
        <w:spacing w:after="0" w:line="96"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9"/>
          <w:szCs w:val="19"/>
          <w:b w:val="1"/>
          <w:bCs w:val="1"/>
          <w:color w:val="231F20"/>
        </w:rPr>
        <w:t xml:space="preserve">Code of Business Conduct. </w:t>
      </w:r>
      <w:r>
        <w:rPr>
          <w:rFonts w:ascii="Times New Roman" w:cs="Times New Roman" w:eastAsia="Times New Roman" w:hAnsi="Times New Roman"/>
          <w:sz w:val="19"/>
          <w:szCs w:val="19"/>
          <w:color w:val="231F20"/>
        </w:rPr>
        <w:t>Our Code of Business Conduct sets the standard for legal and ethical behavior, addressing topics</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such as bribery and corruption, supply chain transparency, proper behavior in the workplace, and avoiding conflicts of interest.</w:t>
      </w:r>
    </w:p>
    <w:p>
      <w:pPr>
        <w:spacing w:after="0" w:line="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9"/>
          <w:szCs w:val="19"/>
          <w:b w:val="1"/>
          <w:bCs w:val="1"/>
          <w:color w:val="231F20"/>
        </w:rPr>
        <w:t xml:space="preserve">Anti-Bribery and Anti-Corruption. </w:t>
      </w:r>
      <w:r>
        <w:rPr>
          <w:rFonts w:ascii="Times New Roman" w:cs="Times New Roman" w:eastAsia="Times New Roman" w:hAnsi="Times New Roman"/>
          <w:sz w:val="19"/>
          <w:szCs w:val="19"/>
          <w:color w:val="231F20"/>
        </w:rPr>
        <w:t>We are committed to conducting our business fairly, honorably, with integrity and in</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compliance with the law in all jurisdictions where we operate. Our policy prohibits bribery and corruption in any form, and we explain our commitment in our Statement on Anti-Corruption Policies and Procedures. As an ongoing due diligence measure, we have established a program to recognize those sales and marketing intermediaries who demonstrate an elevated commitment to compliance. Through this Commercial Compliance Program, we acknowledge organizations that have not only met STERIS's standard ethical requirements for inclusion in our network but have also taken additional steps, such as adopting their own code of conduct and training their employees on their own firm's ethical values, to ensure compliant behavior. In fiscal 2026, STERIS incurred no monetary losses as a result of legal proceedings associated with bribery or corruption.</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231F20"/>
        </w:rPr>
        <w:t>7</w:t>
      </w:r>
    </w:p>
    <w:p>
      <w:pPr>
        <w:sectPr>
          <w:pgSz w:w="11880" w:h="15480" w:orient="portrait"/>
          <w:cols w:equalWidth="0" w:num="1">
            <w:col w:w="9960"/>
          </w:cols>
          <w:pgMar w:left="960" w:top="821" w:right="960" w:bottom="0" w:gutter="0" w:footer="0" w:header="0"/>
          <w:type w:val="continuous"/>
        </w:sectPr>
      </w:pPr>
    </w:p>
    <w:bookmarkStart w:id="8" w:name="page9"/>
    <w:bookmarkEnd w:id="8"/>
    <w:p>
      <w:pPr>
        <w:ind w:right="20" w:firstLine="349"/>
        <w:spacing w:after="0" w:line="265" w:lineRule="auto"/>
        <w:rPr>
          <w:sz w:val="20"/>
          <w:szCs w:val="20"/>
          <w:color w:val="auto"/>
        </w:rPr>
      </w:pPr>
      <w:r>
        <w:rPr>
          <w:rFonts w:ascii="Times New Roman" w:cs="Times New Roman" w:eastAsia="Times New Roman" w:hAnsi="Times New Roman"/>
          <w:sz w:val="19"/>
          <w:szCs w:val="19"/>
          <w:color w:val="231F20"/>
        </w:rPr>
        <w:t>We regularly assess the risks associated with our business, including the risk of potential corruption or bribery in the environments where we do business, and we have designed our management systems to respond accordingly. As part of our anti-corruption program, our employees and third-party intermediaries are subject to mandatory comprehensive anti-bribery and anti-corruption training online. The training covers the various forms that corruption can take, red flags, and individuals’ roles in our anti-bribery and anti-corruption efforts.</w:t>
      </w:r>
    </w:p>
    <w:p>
      <w:pPr>
        <w:spacing w:after="0" w:line="43" w:lineRule="exact"/>
        <w:rPr>
          <w:sz w:val="20"/>
          <w:szCs w:val="20"/>
          <w:color w:val="auto"/>
        </w:rPr>
      </w:pPr>
    </w:p>
    <w:p>
      <w:pPr>
        <w:ind w:right="20" w:firstLine="408"/>
        <w:spacing w:after="0" w:line="270" w:lineRule="auto"/>
        <w:rPr>
          <w:sz w:val="20"/>
          <w:szCs w:val="20"/>
          <w:color w:val="auto"/>
        </w:rPr>
      </w:pPr>
      <w:r>
        <w:rPr>
          <w:rFonts w:ascii="Times New Roman" w:cs="Times New Roman" w:eastAsia="Times New Roman" w:hAnsi="Times New Roman"/>
          <w:sz w:val="19"/>
          <w:szCs w:val="19"/>
          <w:color w:val="231F20"/>
        </w:rPr>
        <w:t>In accordance with our policy, we engage a third-party due diligence firm to perform background checks, including bribery and corruption, before entering into commercial relationships with sales and marketing intermediaries, and other service providers. We communicate our bribery and corruption policies and expectations to our officers, Directors, employees, and sales and marketing intermediaries. It is the expectation of the Company that all of the aforementioned individuals comply with the requirements set forth in our policy and relevant rules and regulations.</w:t>
      </w:r>
    </w:p>
    <w:p>
      <w:pPr>
        <w:spacing w:after="0" w:line="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9"/>
          <w:szCs w:val="19"/>
          <w:b w:val="1"/>
          <w:bCs w:val="1"/>
          <w:color w:val="231F20"/>
        </w:rPr>
        <w:t xml:space="preserve">Supplier Code of Conduct. </w:t>
      </w:r>
      <w:r>
        <w:rPr>
          <w:rFonts w:ascii="Times New Roman" w:cs="Times New Roman" w:eastAsia="Times New Roman" w:hAnsi="Times New Roman"/>
          <w:sz w:val="19"/>
          <w:szCs w:val="19"/>
          <w:color w:val="231F20"/>
        </w:rPr>
        <w:t>Our expectations for ethical behavior extend beyond STERIS to our Suppliers as well. Our</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Supplier Code of Conduct defines the minimum requirements and expectations for all Suppliers and their subcontractors. Suspicions of supplier non-compliance are promptly investigated and addressed. We believe in conducting business with integrity and honesty and in accordance with all applicable laws and regulations of the countries in which we operate. We expect our suppliers to comply with the laws of the countries in which they operate, including but not limited to the European Union Customs Code, the EU Restriction of Hazardous Substances Directive, the UK Modern Slavery Act, the US Foreign Corrupt Practices Act, the UK Bribery Act, the US Dodd-Frank Conflict Minerals Rules, applicable data privacy laws, and all applicable local labor and employment laws.</w:t>
      </w:r>
    </w:p>
    <w:p>
      <w:pPr>
        <w:spacing w:after="0" w:line="20"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9"/>
          <w:szCs w:val="19"/>
          <w:b w:val="1"/>
          <w:bCs w:val="1"/>
          <w:color w:val="231F20"/>
        </w:rPr>
        <w:t>Conflict Minerals Sourcing Policy</w:t>
      </w:r>
      <w:r>
        <w:rPr>
          <w:rFonts w:ascii="Times New Roman" w:cs="Times New Roman" w:eastAsia="Times New Roman" w:hAnsi="Times New Roman"/>
          <w:sz w:val="19"/>
          <w:szCs w:val="19"/>
          <w:color w:val="231F20"/>
        </w:rPr>
        <w:t>. We file reports with the SEC disclosing our use of tin, tantalum, tungsten, and gold</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("conflict minerals" or "3TG") in products sold anywhere in the world. In accordance with these legal requirements and as a part of the overall commitment to responsible sourcing, we are working with our suppliers to ensure transparency to the smelter/refining source for 3TG materials used in our products. Furthermore, we seek to identify the countries of origin of the 3TG in our products and the smelter/refiners that process the 3TG in our products. We undertake this effort to promote responsible sourcing. Because of our general downstream position in the supply chain, we rely on our suppliers for information. We expect suppliers to respond to our requests for complete transparency about the sources whose 3TG materials are used in our products and to conduct due diligence measures to ensure the information provided is accurate, up-to-date and complete. This Policy applies to all suppliers of products and materials to the Company and to all our affiliates. We will consider taking various progressive actions with respect to suppliers who do not make reasonable efforts to cooperate with our requests for information or requests to take corrective actions to enable us to identify smelters and refiners in our supply chains.</w:t>
      </w:r>
    </w:p>
    <w:p>
      <w:pPr>
        <w:spacing w:after="0" w:line="1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9"/>
          <w:szCs w:val="19"/>
          <w:b w:val="1"/>
          <w:bCs w:val="1"/>
          <w:color w:val="231F20"/>
        </w:rPr>
        <w:t xml:space="preserve">Managing Risk, Compliance and Ethics. </w:t>
      </w:r>
      <w:r>
        <w:rPr>
          <w:rFonts w:ascii="Times New Roman" w:cs="Times New Roman" w:eastAsia="Times New Roman" w:hAnsi="Times New Roman"/>
          <w:sz w:val="19"/>
          <w:szCs w:val="19"/>
          <w:color w:val="231F20"/>
        </w:rPr>
        <w:t>We have an Enterprise Risk Management process ("ERM") to manage risk, which is</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led by our Chief Compliance and Quality Officer. Identifying and managing key risks to our business operations are essential to our future growth, profitability, and successful execution of strategic plans. We are committed to understanding and managing these risks through a consistent approach to risk assessment, monitoring, reporting, and mitigation. Key management sponsors are responsible for participating in the risk assessment process, including a periodic review with the Board of Directors. The objective of ERM is to identify key risks, the potential impacts of control failures with compliance implications, identify key mitigating activities, develop potential improvements for managing the risks, and to ensure execution of oversight activities on a monthly, annual or as needed basis.</w:t>
      </w:r>
    </w:p>
    <w:p>
      <w:pPr>
        <w:spacing w:after="0" w:line="24" w:lineRule="exact"/>
        <w:rPr>
          <w:sz w:val="20"/>
          <w:szCs w:val="20"/>
          <w:color w:val="auto"/>
        </w:rPr>
      </w:pPr>
    </w:p>
    <w:p>
      <w:pPr>
        <w:ind w:right="500" w:firstLine="349"/>
        <w:spacing w:after="0" w:line="287" w:lineRule="auto"/>
        <w:rPr>
          <w:sz w:val="20"/>
          <w:szCs w:val="20"/>
          <w:color w:val="auto"/>
        </w:rPr>
      </w:pPr>
      <w:r>
        <w:rPr>
          <w:rFonts w:ascii="Times New Roman" w:cs="Times New Roman" w:eastAsia="Times New Roman" w:hAnsi="Times New Roman"/>
          <w:sz w:val="19"/>
          <w:szCs w:val="19"/>
          <w:color w:val="231F20"/>
        </w:rPr>
        <w:t>We require all employees to be lawful and ethically responsible in all business practices. We expect all employees to comply with all Company policies, applicable laws, and the principles outlined in our Code of Business Conduct.</w:t>
      </w:r>
    </w:p>
    <w:p>
      <w:pPr>
        <w:spacing w:after="0" w:line="1" w:lineRule="exact"/>
        <w:rPr>
          <w:sz w:val="20"/>
          <w:szCs w:val="20"/>
          <w:color w:val="auto"/>
        </w:rPr>
      </w:pPr>
    </w:p>
    <w:p>
      <w:pPr>
        <w:ind w:firstLine="349"/>
        <w:spacing w:after="0" w:line="254" w:lineRule="auto"/>
        <w:rPr>
          <w:sz w:val="20"/>
          <w:szCs w:val="20"/>
          <w:color w:val="auto"/>
        </w:rPr>
      </w:pPr>
      <w:r>
        <w:rPr>
          <w:rFonts w:ascii="Times New Roman" w:cs="Times New Roman" w:eastAsia="Times New Roman" w:hAnsi="Times New Roman"/>
          <w:sz w:val="19"/>
          <w:szCs w:val="19"/>
          <w:color w:val="231F20"/>
        </w:rPr>
        <w:t>Using the STERIS Integrity Helpline or Webline, employees can anonymously report potential Code of Conduct concerns. A management Ethics Committee meets monthly to monitor and investigate reports of Code of Business Conduct violations and provides quarterly reporting to the Board of Directors' Compliance and Technology Committee. With respect to financial matters, reports are provided to the Board of Directors' Audit Committee. With respect to human resources related matters, reports are provided to the Board of Directors' Compensation and Organization Development Committee.</w:t>
      </w:r>
    </w:p>
    <w:p>
      <w:pPr>
        <w:spacing w:after="0" w:line="18" w:lineRule="exact"/>
        <w:rPr>
          <w:sz w:val="20"/>
          <w:szCs w:val="20"/>
          <w:color w:val="auto"/>
        </w:rPr>
      </w:pPr>
    </w:p>
    <w:p>
      <w:pPr>
        <w:ind w:right="40" w:firstLine="349"/>
        <w:spacing w:after="0" w:line="287" w:lineRule="auto"/>
        <w:rPr>
          <w:sz w:val="20"/>
          <w:szCs w:val="20"/>
          <w:color w:val="auto"/>
        </w:rPr>
      </w:pPr>
      <w:r>
        <w:rPr>
          <w:rFonts w:ascii="Times New Roman" w:cs="Times New Roman" w:eastAsia="Times New Roman" w:hAnsi="Times New Roman"/>
          <w:sz w:val="19"/>
          <w:szCs w:val="19"/>
          <w:color w:val="231F20"/>
        </w:rPr>
        <w:t>The STERIS Code of Business Conduct covers ethical marketing and off-label promotion. In fiscal 2026, STERIS incurred no monetary losses as a result of legal proceedings associated with false marketing claims.</w:t>
      </w:r>
    </w:p>
    <w:p>
      <w:pPr>
        <w:spacing w:after="0" w:line="1" w:lineRule="exact"/>
        <w:rPr>
          <w:sz w:val="20"/>
          <w:szCs w:val="20"/>
          <w:color w:val="auto"/>
        </w:rPr>
      </w:pPr>
    </w:p>
    <w:p>
      <w:pPr>
        <w:ind w:right="100" w:firstLine="349"/>
        <w:spacing w:after="0" w:line="261" w:lineRule="auto"/>
        <w:rPr>
          <w:sz w:val="20"/>
          <w:szCs w:val="20"/>
          <w:color w:val="auto"/>
        </w:rPr>
      </w:pPr>
      <w:r>
        <w:rPr>
          <w:rFonts w:ascii="Times New Roman" w:cs="Times New Roman" w:eastAsia="Times New Roman" w:hAnsi="Times New Roman"/>
          <w:sz w:val="19"/>
          <w:szCs w:val="19"/>
          <w:color w:val="231F20"/>
        </w:rPr>
        <w:t>Senior members of STERIS’s leadership team are involved in numerous industry associations that focus on setting the standards and driving change. We hold seats and actively participate on the boards of AdvaMed and the Medical Device Manufacturers Association ("MDMA"). We are also an active member of the Association for the Advancement of Medical Instrumentation ("AAMI") and MedTech Europe. AdvaMed has over 600 member companies and promotes policies that foster the highest ethical standards, timely patient access to safe and effective products, and economic policies that reward value creation. The AdvaMed Code of Ethics on Interactions with Health Care Professionals ("AdvaMed Code") facilitates ethical interactions between MedTech companies and health care professionals to ensure that medical decisions are based on the best interests of the patient. STERIS has adopted and requires compliance with the AdvaMed Code.</w:t>
      </w:r>
    </w:p>
    <w:p>
      <w:pPr>
        <w:spacing w:after="0" w:line="20" w:lineRule="exact"/>
        <w:rPr>
          <w:sz w:val="20"/>
          <w:szCs w:val="20"/>
          <w:color w:val="auto"/>
        </w:rPr>
      </w:pPr>
    </w:p>
    <w:p>
      <w:pPr>
        <w:ind w:right="220" w:firstLine="349"/>
        <w:spacing w:after="0" w:line="293" w:lineRule="auto"/>
        <w:rPr>
          <w:sz w:val="20"/>
          <w:szCs w:val="20"/>
          <w:color w:val="auto"/>
        </w:rPr>
      </w:pPr>
      <w:r>
        <w:rPr>
          <w:rFonts w:ascii="Times New Roman" w:cs="Times New Roman" w:eastAsia="Times New Roman" w:hAnsi="Times New Roman"/>
          <w:sz w:val="19"/>
          <w:szCs w:val="19"/>
          <w:color w:val="231F20"/>
        </w:rPr>
        <w:t>MDMA is the leading voice representing the interests of innovative and entrepreneurial medical technology companies. MDMA's goal is to provide patients and clinicians with timely access to safe and effective medical technologies that improve</w:t>
      </w:r>
    </w:p>
    <w:p>
      <w:pPr>
        <w:sectPr>
          <w:pgSz w:w="11880" w:h="15480" w:orient="portrait"/>
          <w:cols w:equalWidth="0" w:num="1">
            <w:col w:w="9960"/>
          </w:cols>
          <w:pgMar w:left="960" w:top="825" w:right="960" w:bottom="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231F20"/>
        </w:rPr>
        <w:t>8</w:t>
      </w:r>
    </w:p>
    <w:p>
      <w:pPr>
        <w:sectPr>
          <w:pgSz w:w="11880" w:h="15480" w:orient="portrait"/>
          <w:cols w:equalWidth="0" w:num="1">
            <w:col w:w="9960"/>
          </w:cols>
          <w:pgMar w:left="960" w:top="825" w:right="960" w:bottom="0" w:gutter="0" w:footer="0" w:header="0"/>
          <w:type w:val="continuous"/>
        </w:sectPr>
      </w:pPr>
    </w:p>
    <w:bookmarkStart w:id="9" w:name="page10"/>
    <w:bookmarkEnd w:id="9"/>
    <w:p>
      <w:pPr>
        <w:ind w:right="100"/>
        <w:spacing w:after="0" w:line="260" w:lineRule="auto"/>
        <w:rPr>
          <w:sz w:val="20"/>
          <w:szCs w:val="20"/>
          <w:color w:val="auto"/>
        </w:rPr>
      </w:pPr>
      <w:r>
        <w:rPr>
          <w:rFonts w:ascii="Times New Roman" w:cs="Times New Roman" w:eastAsia="Times New Roman" w:hAnsi="Times New Roman"/>
          <w:sz w:val="19"/>
          <w:szCs w:val="19"/>
          <w:color w:val="231F20"/>
        </w:rPr>
        <w:t>the quality of life. AAMI is a nonprofit organization founded in 1967. It is a diverse community of more than 15,000 professionals united by one important mission-supporting the healthcare community in the development, management, and use of safe and effective healthcare technology. MedTech Europe is the European trade association for the medical technology industry including diagnostics, medical devices and digital health. MedTech Europe’s purpose is to make innovative medical technology available to more people, while helping healthcare systems move towards a more sustainable path. The MedTech Europe Code of Ethical Business Practice regulates all aspects of the industry’s relationship with Healthcare Professionals and Healthcare Organizations, to ensure that all interactions are ethical and professional at all times and to maintain the trust of regulators and patients. STERIS has adopted and requires compliance with the MedTech Europe Code of Ethical Business Practice.</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ENERGY, GHG EMISSIONS AND ENVIRONMENTAL CONSERVATION</w:t>
      </w:r>
    </w:p>
    <w:p>
      <w:pPr>
        <w:spacing w:after="0" w:line="80" w:lineRule="exact"/>
        <w:rPr>
          <w:sz w:val="20"/>
          <w:szCs w:val="20"/>
          <w:color w:val="auto"/>
        </w:rPr>
      </w:pPr>
    </w:p>
    <w:p>
      <w:pPr>
        <w:ind w:firstLine="349"/>
        <w:spacing w:after="0" w:line="263" w:lineRule="auto"/>
        <w:rPr>
          <w:sz w:val="20"/>
          <w:szCs w:val="20"/>
          <w:color w:val="auto"/>
        </w:rPr>
      </w:pPr>
      <w:r>
        <w:rPr>
          <w:rFonts w:ascii="Times New Roman" w:cs="Times New Roman" w:eastAsia="Times New Roman" w:hAnsi="Times New Roman"/>
          <w:sz w:val="19"/>
          <w:szCs w:val="19"/>
          <w:color w:val="231F20"/>
        </w:rPr>
        <w:t>We are subject to various laws and governmental regulations concerning environmental matters and employee safety and health in Ireland, the United States and other countries. We have made, and continue to make, significant investments to comply with these laws and regulations. Our Continuous Improvement objectives include efforts to improve energy and water efficiency and reduce or eliminate certain chemicals used in, and wastes generated from, our operations thereby reducing the impact of our operations on the environment. We actively monitor and take steps to manage the risks associated with environmental matters, none of which we consider material at this time.</w:t>
      </w:r>
    </w:p>
    <w:p>
      <w:pPr>
        <w:spacing w:after="0" w:line="19" w:lineRule="exact"/>
        <w:rPr>
          <w:sz w:val="20"/>
          <w:szCs w:val="20"/>
          <w:color w:val="auto"/>
        </w:rPr>
      </w:pPr>
    </w:p>
    <w:p>
      <w:pPr>
        <w:ind w:right="140" w:firstLine="349"/>
        <w:spacing w:after="0" w:line="262" w:lineRule="auto"/>
        <w:rPr>
          <w:sz w:val="20"/>
          <w:szCs w:val="20"/>
          <w:color w:val="auto"/>
        </w:rPr>
      </w:pPr>
      <w:r>
        <w:rPr>
          <w:rFonts w:ascii="Times New Roman" w:cs="Times New Roman" w:eastAsia="Times New Roman" w:hAnsi="Times New Roman"/>
          <w:sz w:val="19"/>
          <w:szCs w:val="19"/>
          <w:color w:val="231F20"/>
        </w:rPr>
        <w:t>STERIS tracks greenhouse gas ("GHG") emissions, and we complete the annual Carbon Disclosure Project ("CDP") questionnaire. CDP is an internationally recognized nonprofit organization that collects and reports environmental metrics. Currently, we report our direct (Scope 1) and indirect (Scope 2) energy use and emissions. We recognize that a significant portion of our carbon impact is as a result of our value chain, outside of electricity and energy consumption at our global sites. We also report aggregate Scope 3 (upstream and downstream) emissions in our most recent CDP response and on our website. STERIS has committed to set near-term company-wide emission reductions. Our status can be viewed on the Science Based Targets Initiative ("SBTi") website.</w:t>
      </w:r>
    </w:p>
    <w:p>
      <w:pPr>
        <w:spacing w:after="0" w:line="19" w:lineRule="exact"/>
        <w:rPr>
          <w:sz w:val="20"/>
          <w:szCs w:val="20"/>
          <w:color w:val="auto"/>
        </w:rPr>
      </w:pPr>
    </w:p>
    <w:p>
      <w:pPr>
        <w:ind w:right="20" w:firstLine="349"/>
        <w:spacing w:after="0" w:line="267" w:lineRule="auto"/>
        <w:rPr>
          <w:sz w:val="20"/>
          <w:szCs w:val="20"/>
          <w:color w:val="auto"/>
        </w:rPr>
      </w:pPr>
      <w:r>
        <w:rPr>
          <w:rFonts w:ascii="Times New Roman" w:cs="Times New Roman" w:eastAsia="Times New Roman" w:hAnsi="Times New Roman"/>
          <w:sz w:val="19"/>
          <w:szCs w:val="19"/>
          <w:color w:val="231F20"/>
        </w:rPr>
        <w:t>We have a broad and comprehensive portfolio of sterilization and disinfection products that support the procedural spaces within hospitals, endoscopy and surgery centers as well as pharmaceutical and medical device Customers. When we think about new products or next generation products, part of our effort is to reduce the environmental impact of what we do. At STERIS, our commitment to sustainability is integrated with our Responsible Product Design. We create solutions that prioritize human health while reducing waste and climate impact through purposeful innovation. For example, V-PRO Sterilizers and VAPROX HC Sterilant are designed with sustainability at the core, helping hospitals meet their environmental goals without compromising performance or patient safety.</w:t>
      </w:r>
    </w:p>
    <w:p>
      <w:pPr>
        <w:spacing w:after="0" w:line="33" w:lineRule="exact"/>
        <w:rPr>
          <w:sz w:val="20"/>
          <w:szCs w:val="20"/>
          <w:color w:val="auto"/>
        </w:rPr>
      </w:pPr>
    </w:p>
    <w:p>
      <w:pPr>
        <w:ind w:right="60" w:firstLine="349"/>
        <w:spacing w:after="0" w:line="263" w:lineRule="auto"/>
        <w:rPr>
          <w:sz w:val="20"/>
          <w:szCs w:val="20"/>
          <w:color w:val="auto"/>
        </w:rPr>
      </w:pPr>
      <w:r>
        <w:rPr>
          <w:rFonts w:ascii="Times New Roman" w:cs="Times New Roman" w:eastAsia="Times New Roman" w:hAnsi="Times New Roman"/>
          <w:sz w:val="19"/>
          <w:szCs w:val="19"/>
          <w:color w:val="231F20"/>
        </w:rPr>
        <w:t>In Fiscal 2023, the European Commission’s Corporate Sustainability Reporting Directive ("CSRD") became effective. The CSRD expands the number of companies required to publicly report ESG-related information and defines the ESG-related information that companies are required to report in accordance with European Sustainability Reporting Standards ("ESRS"). We are making significant efforts in gathering baseline information, strengthening our internal controls, and evaluating our current ESG data. As part of this project, we continue to evaluate our ability to report in accordance with the Task Force on Climate-Related Financial Disclosures ("TCFD") framework in response to evolving regulatory disclosure requirements.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EMPLOYEES AND HUMAN CAPITAL MANAGEMENT</w:t>
      </w:r>
    </w:p>
    <w:p>
      <w:pPr>
        <w:spacing w:after="0" w:line="93"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9"/>
          <w:szCs w:val="19"/>
          <w:b w:val="1"/>
          <w:bCs w:val="1"/>
          <w:color w:val="231F20"/>
        </w:rPr>
        <w:t xml:space="preserve">Strategy and Overview. </w:t>
      </w:r>
      <w:r>
        <w:rPr>
          <w:rFonts w:ascii="Times New Roman" w:cs="Times New Roman" w:eastAsia="Times New Roman" w:hAnsi="Times New Roman"/>
          <w:sz w:val="19"/>
          <w:szCs w:val="19"/>
          <w:color w:val="231F20"/>
        </w:rPr>
        <w:t>People are the key to our success, which is reflected in our two core values of people and teamwork.</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We are committed to the safety and success of our people. We expect the performance of every person to continually improve with personal initiative and proper support. We expect our people to treat each other with mutual respect. Our ideal business team is engaged, diverse, inclusive and talented, and we create programs and policies in support of these goals.</w:t>
      </w:r>
    </w:p>
    <w:p>
      <w:pPr>
        <w:spacing w:after="0" w:line="5" w:lineRule="exact"/>
        <w:rPr>
          <w:sz w:val="20"/>
          <w:szCs w:val="20"/>
          <w:color w:val="auto"/>
        </w:rPr>
      </w:pPr>
    </w:p>
    <w:p>
      <w:pPr>
        <w:ind w:right="420" w:firstLine="349"/>
        <w:spacing w:after="0" w:line="274" w:lineRule="auto"/>
        <w:rPr>
          <w:sz w:val="20"/>
          <w:szCs w:val="20"/>
          <w:color w:val="auto"/>
        </w:rPr>
      </w:pPr>
      <w:r>
        <w:rPr>
          <w:rFonts w:ascii="Times New Roman" w:cs="Times New Roman" w:eastAsia="Times New Roman" w:hAnsi="Times New Roman"/>
          <w:sz w:val="19"/>
          <w:szCs w:val="19"/>
          <w:color w:val="231F20"/>
        </w:rPr>
        <w:t>We believe unity of purpose and teamwork enables us to do far more together than we could individually. We draw strength from each other and encourage communication with fairness, candor, respect and courage. Our collaboration turns interesting ideas into great products and services for our Customers.</w:t>
      </w:r>
    </w:p>
    <w:p>
      <w:pPr>
        <w:spacing w:after="0" w:line="8" w:lineRule="exact"/>
        <w:rPr>
          <w:sz w:val="20"/>
          <w:szCs w:val="20"/>
          <w:color w:val="auto"/>
        </w:rPr>
      </w:pPr>
    </w:p>
    <w:p>
      <w:pPr>
        <w:ind w:right="320" w:firstLine="349"/>
        <w:spacing w:after="0" w:line="287" w:lineRule="auto"/>
        <w:rPr>
          <w:sz w:val="20"/>
          <w:szCs w:val="20"/>
          <w:color w:val="auto"/>
        </w:rPr>
      </w:pPr>
      <w:r>
        <w:rPr>
          <w:rFonts w:ascii="Times New Roman" w:cs="Times New Roman" w:eastAsia="Times New Roman" w:hAnsi="Times New Roman"/>
          <w:sz w:val="19"/>
          <w:szCs w:val="19"/>
          <w:color w:val="231F20"/>
        </w:rPr>
        <w:t>Our senior management team and Board receive regular updates on our people, including data and metrics on retention, engagement and safety which are used to determine our human resources priorities, programs and training.</w:t>
      </w:r>
    </w:p>
    <w:p>
      <w:pPr>
        <w:spacing w:after="0" w:line="1" w:lineRule="exact"/>
        <w:rPr>
          <w:sz w:val="20"/>
          <w:szCs w:val="20"/>
          <w:color w:val="auto"/>
        </w:rPr>
      </w:pPr>
    </w:p>
    <w:p>
      <w:pPr>
        <w:jc w:val="both"/>
        <w:ind w:right="160" w:firstLine="349"/>
        <w:spacing w:after="0" w:line="274" w:lineRule="auto"/>
        <w:rPr>
          <w:sz w:val="20"/>
          <w:szCs w:val="20"/>
          <w:color w:val="auto"/>
        </w:rPr>
      </w:pPr>
      <w:r>
        <w:rPr>
          <w:rFonts w:ascii="Times New Roman" w:cs="Times New Roman" w:eastAsia="Times New Roman" w:hAnsi="Times New Roman"/>
          <w:sz w:val="19"/>
          <w:szCs w:val="19"/>
          <w:color w:val="231F20"/>
        </w:rPr>
        <w:t>We are committed to upholding human rights in all our operations globally and respect human rights as recognized by the principles of the United Nations Global Compact. We strongly oppose all forms of slavery, servitude, forced labor, child labor and human trafficking.</w:t>
      </w:r>
    </w:p>
    <w:p>
      <w:pPr>
        <w:spacing w:after="0" w:line="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9"/>
          <w:szCs w:val="19"/>
          <w:b w:val="1"/>
          <w:bCs w:val="1"/>
          <w:color w:val="231F20"/>
        </w:rPr>
        <w:t xml:space="preserve">Employees by Segment. </w:t>
      </w:r>
      <w:r>
        <w:rPr>
          <w:rFonts w:ascii="Times New Roman" w:cs="Times New Roman" w:eastAsia="Times New Roman" w:hAnsi="Times New Roman"/>
          <w:sz w:val="19"/>
          <w:szCs w:val="19"/>
          <w:color w:val="231F20"/>
        </w:rPr>
        <w:t>During the course of fiscal 2026, we averaged approximately 18,000 employees throughout the world</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of which less than 12% are represented by work councils or labor unions. We believe we generally have good relations with our employees.</w:t>
      </w:r>
    </w:p>
    <w:p>
      <w:pPr>
        <w:spacing w:after="0" w:line="7" w:lineRule="exact"/>
        <w:rPr>
          <w:sz w:val="20"/>
          <w:szCs w:val="20"/>
          <w:color w:val="auto"/>
        </w:rPr>
      </w:pPr>
    </w:p>
    <w:p>
      <w:pPr>
        <w:ind w:right="80" w:firstLine="349"/>
        <w:spacing w:after="0" w:line="293" w:lineRule="auto"/>
        <w:rPr>
          <w:sz w:val="20"/>
          <w:szCs w:val="20"/>
          <w:color w:val="auto"/>
        </w:rPr>
      </w:pPr>
      <w:r>
        <w:rPr>
          <w:rFonts w:ascii="Times New Roman" w:cs="Times New Roman" w:eastAsia="Times New Roman" w:hAnsi="Times New Roman"/>
          <w:sz w:val="19"/>
          <w:szCs w:val="19"/>
          <w:color w:val="231F20"/>
        </w:rPr>
        <w:t>The average number of persons employed by STERIS plc and its subsidiaries during each of the following fiscal years was as follows:</w:t>
      </w:r>
    </w:p>
    <w:p>
      <w:pPr>
        <w:sectPr>
          <w:pgSz w:w="11880" w:h="15480" w:orient="portrait"/>
          <w:cols w:equalWidth="0" w:num="1">
            <w:col w:w="9960"/>
          </w:cols>
          <w:pgMar w:left="960" w:top="82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231F20"/>
        </w:rPr>
        <w:t>9</w:t>
      </w:r>
    </w:p>
    <w:p>
      <w:pPr>
        <w:sectPr>
          <w:pgSz w:w="11880" w:h="15480" w:orient="portrait"/>
          <w:cols w:equalWidth="0" w:num="1">
            <w:col w:w="9960"/>
          </w:cols>
          <w:pgMar w:left="960" w:top="825" w:right="960" w:bottom="0" w:gutter="0" w:footer="0" w:header="0"/>
          <w:type w:val="continuous"/>
        </w:sectPr>
      </w:pPr>
    </w:p>
    <w:bookmarkStart w:id="10" w:name="page11"/>
    <w:bookmarkEnd w:id="10"/>
    <w:tbl>
      <w:tblPr>
        <w:tblLayout w:type="fixed"/>
        <w:tblInd w:w="60" w:type="dxa"/>
        <w:tblCellMar>
          <w:top w:w="0" w:type="dxa"/>
          <w:left w:w="0" w:type="dxa"/>
          <w:bottom w:w="0" w:type="dxa"/>
          <w:right w:w="0" w:type="dxa"/>
        </w:tblCellMar>
      </w:tblPr>
      <w:tr>
        <w:trPr>
          <w:trHeight w:val="255"/>
        </w:trPr>
        <w:tc>
          <w:tcPr>
            <w:tcW w:w="5940" w:type="dxa"/>
            <w:vAlign w:val="bottom"/>
          </w:tcPr>
          <w:p>
            <w:pPr>
              <w:spacing w:after="0"/>
              <w:rPr>
                <w:sz w:val="22"/>
                <w:szCs w:val="22"/>
                <w:color w:val="auto"/>
              </w:rPr>
            </w:pPr>
          </w:p>
        </w:tc>
        <w:tc>
          <w:tcPr>
            <w:tcW w:w="2200" w:type="dxa"/>
            <w:vAlign w:val="bottom"/>
            <w:tcBorders>
              <w:bottom w:val="single" w:sz="8" w:color="231F20"/>
            </w:tcBorders>
          </w:tcPr>
          <w:p>
            <w:pPr>
              <w:jc w:val="right"/>
              <w:ind w:right="683"/>
              <w:spacing w:after="0"/>
              <w:rPr>
                <w:sz w:val="20"/>
                <w:szCs w:val="20"/>
                <w:color w:val="auto"/>
              </w:rPr>
            </w:pPr>
            <w:r>
              <w:rPr>
                <w:rFonts w:ascii="Times New Roman" w:cs="Times New Roman" w:eastAsia="Times New Roman" w:hAnsi="Times New Roman"/>
                <w:sz w:val="19"/>
                <w:szCs w:val="19"/>
                <w:color w:val="231F20"/>
              </w:rPr>
              <w:t>Fiscal 2026</w:t>
            </w:r>
          </w:p>
        </w:tc>
        <w:tc>
          <w:tcPr>
            <w:tcW w:w="1740" w:type="dxa"/>
            <w:vAlign w:val="bottom"/>
            <w:tcBorders>
              <w:bottom w:val="single" w:sz="8" w:color="231F20"/>
            </w:tcBorders>
          </w:tcPr>
          <w:p>
            <w:pPr>
              <w:jc w:val="right"/>
              <w:ind w:right="423"/>
              <w:spacing w:after="0"/>
              <w:rPr>
                <w:sz w:val="20"/>
                <w:szCs w:val="20"/>
                <w:color w:val="auto"/>
              </w:rPr>
            </w:pPr>
            <w:r>
              <w:rPr>
                <w:rFonts w:ascii="Times New Roman" w:cs="Times New Roman" w:eastAsia="Times New Roman" w:hAnsi="Times New Roman"/>
                <w:sz w:val="19"/>
                <w:szCs w:val="19"/>
                <w:color w:val="231F20"/>
              </w:rPr>
              <w:t>Fiscal 2025</w:t>
            </w:r>
          </w:p>
        </w:tc>
      </w:tr>
      <w:tr>
        <w:trPr>
          <w:trHeight w:val="269"/>
        </w:trPr>
        <w:tc>
          <w:tcPr>
            <w:tcW w:w="5940" w:type="dxa"/>
            <w:vAlign w:val="bottom"/>
          </w:tcPr>
          <w:p>
            <w:pPr>
              <w:spacing w:after="0"/>
              <w:rPr>
                <w:sz w:val="20"/>
                <w:szCs w:val="20"/>
                <w:color w:val="auto"/>
              </w:rPr>
            </w:pPr>
            <w:r>
              <w:rPr>
                <w:rFonts w:ascii="Times New Roman" w:cs="Times New Roman" w:eastAsia="Times New Roman" w:hAnsi="Times New Roman"/>
                <w:sz w:val="19"/>
                <w:szCs w:val="19"/>
                <w:color w:val="231F20"/>
              </w:rPr>
              <w:t>Healthcare</w:t>
            </w:r>
          </w:p>
        </w:tc>
        <w:tc>
          <w:tcPr>
            <w:tcW w:w="2200" w:type="dxa"/>
            <w:vAlign w:val="bottom"/>
          </w:tcPr>
          <w:p>
            <w:pPr>
              <w:jc w:val="right"/>
              <w:ind w:right="243"/>
              <w:spacing w:after="0"/>
              <w:rPr>
                <w:sz w:val="20"/>
                <w:szCs w:val="20"/>
                <w:color w:val="auto"/>
              </w:rPr>
            </w:pPr>
            <w:r>
              <w:rPr>
                <w:rFonts w:ascii="Times New Roman" w:cs="Times New Roman" w:eastAsia="Times New Roman" w:hAnsi="Times New Roman"/>
                <w:sz w:val="19"/>
                <w:szCs w:val="19"/>
                <w:color w:val="231F20"/>
              </w:rPr>
              <w:t>12,496</w:t>
            </w:r>
          </w:p>
        </w:tc>
        <w:tc>
          <w:tcPr>
            <w:tcW w:w="17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12,341</w:t>
            </w:r>
          </w:p>
        </w:tc>
      </w:tr>
      <w:tr>
        <w:trPr>
          <w:trHeight w:val="291"/>
        </w:trPr>
        <w:tc>
          <w:tcPr>
            <w:tcW w:w="5940" w:type="dxa"/>
            <w:vAlign w:val="bottom"/>
          </w:tcPr>
          <w:p>
            <w:pPr>
              <w:spacing w:after="0"/>
              <w:rPr>
                <w:sz w:val="20"/>
                <w:szCs w:val="20"/>
                <w:color w:val="auto"/>
              </w:rPr>
            </w:pPr>
            <w:r>
              <w:rPr>
                <w:rFonts w:ascii="Times New Roman" w:cs="Times New Roman" w:eastAsia="Times New Roman" w:hAnsi="Times New Roman"/>
                <w:sz w:val="19"/>
                <w:szCs w:val="19"/>
                <w:color w:val="231F20"/>
              </w:rPr>
              <w:t>AST</w:t>
            </w:r>
          </w:p>
        </w:tc>
        <w:tc>
          <w:tcPr>
            <w:tcW w:w="2200" w:type="dxa"/>
            <w:vAlign w:val="bottom"/>
          </w:tcPr>
          <w:p>
            <w:pPr>
              <w:jc w:val="right"/>
              <w:ind w:right="243"/>
              <w:spacing w:after="0"/>
              <w:rPr>
                <w:sz w:val="20"/>
                <w:szCs w:val="20"/>
                <w:color w:val="auto"/>
              </w:rPr>
            </w:pPr>
            <w:r>
              <w:rPr>
                <w:rFonts w:ascii="Times New Roman" w:cs="Times New Roman" w:eastAsia="Times New Roman" w:hAnsi="Times New Roman"/>
                <w:sz w:val="19"/>
                <w:szCs w:val="19"/>
                <w:color w:val="231F20"/>
              </w:rPr>
              <w:t>3,489</w:t>
            </w:r>
          </w:p>
        </w:tc>
        <w:tc>
          <w:tcPr>
            <w:tcW w:w="17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3,502</w:t>
            </w:r>
          </w:p>
        </w:tc>
      </w:tr>
      <w:tr>
        <w:trPr>
          <w:trHeight w:val="291"/>
        </w:trPr>
        <w:tc>
          <w:tcPr>
            <w:tcW w:w="5940" w:type="dxa"/>
            <w:vAlign w:val="bottom"/>
          </w:tcPr>
          <w:p>
            <w:pPr>
              <w:spacing w:after="0"/>
              <w:rPr>
                <w:sz w:val="20"/>
                <w:szCs w:val="20"/>
                <w:color w:val="auto"/>
              </w:rPr>
            </w:pPr>
            <w:r>
              <w:rPr>
                <w:rFonts w:ascii="Times New Roman" w:cs="Times New Roman" w:eastAsia="Times New Roman" w:hAnsi="Times New Roman"/>
                <w:sz w:val="19"/>
                <w:szCs w:val="19"/>
                <w:color w:val="231F20"/>
              </w:rPr>
              <w:t>Life Sciences</w:t>
            </w:r>
          </w:p>
        </w:tc>
        <w:tc>
          <w:tcPr>
            <w:tcW w:w="2200" w:type="dxa"/>
            <w:vAlign w:val="bottom"/>
          </w:tcPr>
          <w:p>
            <w:pPr>
              <w:jc w:val="right"/>
              <w:ind w:right="243"/>
              <w:spacing w:after="0"/>
              <w:rPr>
                <w:sz w:val="20"/>
                <w:szCs w:val="20"/>
                <w:color w:val="auto"/>
              </w:rPr>
            </w:pPr>
            <w:r>
              <w:rPr>
                <w:rFonts w:ascii="Times New Roman" w:cs="Times New Roman" w:eastAsia="Times New Roman" w:hAnsi="Times New Roman"/>
                <w:sz w:val="19"/>
                <w:szCs w:val="19"/>
                <w:color w:val="231F20"/>
              </w:rPr>
              <w:t>837</w:t>
            </w:r>
          </w:p>
        </w:tc>
        <w:tc>
          <w:tcPr>
            <w:tcW w:w="17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834</w:t>
            </w:r>
          </w:p>
        </w:tc>
      </w:tr>
      <w:tr>
        <w:trPr>
          <w:trHeight w:val="294"/>
        </w:trPr>
        <w:tc>
          <w:tcPr>
            <w:tcW w:w="5940" w:type="dxa"/>
            <w:vAlign w:val="bottom"/>
          </w:tcPr>
          <w:p>
            <w:pPr>
              <w:spacing w:after="0"/>
              <w:rPr>
                <w:sz w:val="20"/>
                <w:szCs w:val="20"/>
                <w:color w:val="auto"/>
              </w:rPr>
            </w:pPr>
            <w:r>
              <w:rPr>
                <w:rFonts w:ascii="Times New Roman" w:cs="Times New Roman" w:eastAsia="Times New Roman" w:hAnsi="Times New Roman"/>
                <w:sz w:val="19"/>
                <w:szCs w:val="19"/>
                <w:color w:val="231F20"/>
              </w:rPr>
              <w:t>Corporate</w:t>
            </w:r>
          </w:p>
        </w:tc>
        <w:tc>
          <w:tcPr>
            <w:tcW w:w="2200" w:type="dxa"/>
            <w:vAlign w:val="bottom"/>
            <w:tcBorders>
              <w:bottom w:val="single" w:sz="8" w:color="231F20"/>
            </w:tcBorders>
          </w:tcPr>
          <w:p>
            <w:pPr>
              <w:jc w:val="right"/>
              <w:ind w:right="243"/>
              <w:spacing w:after="0"/>
              <w:rPr>
                <w:sz w:val="20"/>
                <w:szCs w:val="20"/>
                <w:color w:val="auto"/>
              </w:rPr>
            </w:pPr>
            <w:r>
              <w:rPr>
                <w:rFonts w:ascii="Times New Roman" w:cs="Times New Roman" w:eastAsia="Times New Roman" w:hAnsi="Times New Roman"/>
                <w:sz w:val="19"/>
                <w:szCs w:val="19"/>
                <w:color w:val="231F20"/>
              </w:rPr>
              <w:t>1,115</w:t>
            </w:r>
          </w:p>
        </w:tc>
        <w:tc>
          <w:tcPr>
            <w:tcW w:w="1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1,110</w:t>
            </w:r>
          </w:p>
        </w:tc>
      </w:tr>
      <w:tr>
        <w:trPr>
          <w:trHeight w:val="281"/>
        </w:trPr>
        <w:tc>
          <w:tcPr>
            <w:tcW w:w="5940" w:type="dxa"/>
            <w:vAlign w:val="bottom"/>
          </w:tcPr>
          <w:p>
            <w:pPr>
              <w:spacing w:after="0"/>
              <w:rPr>
                <w:sz w:val="20"/>
                <w:szCs w:val="20"/>
                <w:color w:val="auto"/>
              </w:rPr>
            </w:pPr>
            <w:r>
              <w:rPr>
                <w:rFonts w:ascii="Times New Roman" w:cs="Times New Roman" w:eastAsia="Times New Roman" w:hAnsi="Times New Roman"/>
                <w:sz w:val="19"/>
                <w:szCs w:val="19"/>
                <w:b w:val="1"/>
                <w:bCs w:val="1"/>
                <w:color w:val="231F20"/>
              </w:rPr>
              <w:t>Total employees</w:t>
            </w:r>
          </w:p>
        </w:tc>
        <w:tc>
          <w:tcPr>
            <w:tcW w:w="2200" w:type="dxa"/>
            <w:vAlign w:val="bottom"/>
            <w:tcBorders>
              <w:bottom w:val="single" w:sz="8" w:color="231F20"/>
            </w:tcBorders>
          </w:tcPr>
          <w:p>
            <w:pPr>
              <w:jc w:val="right"/>
              <w:ind w:right="243"/>
              <w:spacing w:after="0"/>
              <w:rPr>
                <w:sz w:val="20"/>
                <w:szCs w:val="20"/>
                <w:color w:val="auto"/>
              </w:rPr>
            </w:pPr>
            <w:r>
              <w:rPr>
                <w:rFonts w:ascii="Times New Roman" w:cs="Times New Roman" w:eastAsia="Times New Roman" w:hAnsi="Times New Roman"/>
                <w:sz w:val="19"/>
                <w:szCs w:val="19"/>
                <w:color w:val="231F20"/>
              </w:rPr>
              <w:t>17,937</w:t>
            </w:r>
          </w:p>
        </w:tc>
        <w:tc>
          <w:tcPr>
            <w:tcW w:w="1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17,787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5071745</wp:posOffset>
            </wp:positionH>
            <wp:positionV relativeFrom="paragraph">
              <wp:posOffset>-948690</wp:posOffset>
            </wp:positionV>
            <wp:extent cx="125476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54760" cy="25400"/>
                    </a:xfrm>
                    <a:prstGeom prst="rect">
                      <a:avLst/>
                    </a:prstGeom>
                    <a:noFill/>
                  </pic:spPr>
                </pic:pic>
              </a:graphicData>
            </a:graphic>
          </wp:anchor>
        </w:drawing>
      </w:r>
    </w:p>
    <w:p>
      <w:pPr>
        <w:spacing w:after="0" w:line="269" w:lineRule="exact"/>
        <w:rPr>
          <w:sz w:val="20"/>
          <w:szCs w:val="20"/>
          <w:color w:val="auto"/>
        </w:rPr>
      </w:pPr>
    </w:p>
    <w:p>
      <w:pPr>
        <w:ind w:right="160" w:firstLine="349"/>
        <w:spacing w:after="0" w:line="268" w:lineRule="auto"/>
        <w:rPr>
          <w:sz w:val="20"/>
          <w:szCs w:val="20"/>
          <w:color w:val="auto"/>
        </w:rPr>
      </w:pPr>
      <w:r>
        <w:rPr>
          <w:rFonts w:ascii="Times New Roman" w:cs="Times New Roman" w:eastAsia="Times New Roman" w:hAnsi="Times New Roman"/>
          <w:sz w:val="19"/>
          <w:szCs w:val="19"/>
          <w:color w:val="231F20"/>
        </w:rPr>
        <w:t>We strive to recruit the best available people who are aligned with and embody our core values. We are committed to equality and assessing candidates based on qualifications. We believe that our success is dependent on attracting and retaining people from a cross-section of our communities who understand their markets, and in doing so we continue to create a competitive advantage for STERIS.</w:t>
      </w:r>
    </w:p>
    <w:p>
      <w:pPr>
        <w:spacing w:after="0" w:line="14" w:lineRule="exact"/>
        <w:rPr>
          <w:sz w:val="20"/>
          <w:szCs w:val="20"/>
          <w:color w:val="auto"/>
        </w:rPr>
      </w:pPr>
    </w:p>
    <w:p>
      <w:pPr>
        <w:ind w:right="220" w:firstLine="349"/>
        <w:spacing w:after="0" w:line="265" w:lineRule="auto"/>
        <w:rPr>
          <w:sz w:val="20"/>
          <w:szCs w:val="20"/>
          <w:color w:val="auto"/>
        </w:rPr>
      </w:pPr>
      <w:r>
        <w:rPr>
          <w:rFonts w:ascii="Times New Roman" w:cs="Times New Roman" w:eastAsia="Times New Roman" w:hAnsi="Times New Roman"/>
          <w:sz w:val="19"/>
          <w:szCs w:val="19"/>
          <w:color w:val="231F20"/>
        </w:rPr>
        <w:t>As we hire Associates, we do so without regard to race, color, social or economic status, religion, national origin, marital status, age, veteran status, sexual orientation, gender identity, or any protected status. It is the policy of the Company to make all decisions regarding employment, including hiring, compensation, training, promotions, transfers, or lay-offs, based on the job requirements and skills of the individuals and utilizing the principle of equal employment opportunity without discrimination. We have biennial training on anti-harassment, except where required annually.</w:t>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Total directors and employees distribution by gender is shown in the table below:</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55"/>
        </w:trPr>
        <w:tc>
          <w:tcPr>
            <w:tcW w:w="5740" w:type="dxa"/>
            <w:vAlign w:val="bottom"/>
          </w:tcPr>
          <w:p>
            <w:pPr>
              <w:spacing w:after="0"/>
              <w:rPr>
                <w:sz w:val="22"/>
                <w:szCs w:val="22"/>
                <w:color w:val="auto"/>
              </w:rPr>
            </w:pPr>
          </w:p>
        </w:tc>
        <w:tc>
          <w:tcPr>
            <w:tcW w:w="2180" w:type="dxa"/>
            <w:vAlign w:val="bottom"/>
            <w:tcBorders>
              <w:bottom w:val="single" w:sz="8" w:color="231F20"/>
            </w:tcBorders>
            <w:gridSpan w:val="2"/>
          </w:tcPr>
          <w:p>
            <w:pPr>
              <w:jc w:val="right"/>
              <w:ind w:right="423"/>
              <w:spacing w:after="0"/>
              <w:rPr>
                <w:sz w:val="20"/>
                <w:szCs w:val="20"/>
                <w:color w:val="auto"/>
              </w:rPr>
            </w:pPr>
            <w:r>
              <w:rPr>
                <w:rFonts w:ascii="Times New Roman" w:cs="Times New Roman" w:eastAsia="Times New Roman" w:hAnsi="Times New Roman"/>
                <w:sz w:val="19"/>
                <w:szCs w:val="19"/>
                <w:color w:val="231F20"/>
              </w:rPr>
              <w:t>March 31, 2026</w:t>
            </w:r>
          </w:p>
        </w:tc>
        <w:tc>
          <w:tcPr>
            <w:tcW w:w="1940" w:type="dxa"/>
            <w:vAlign w:val="bottom"/>
            <w:tcBorders>
              <w:bottom w:val="single" w:sz="8" w:color="231F20"/>
            </w:tcBorders>
            <w:gridSpan w:val="2"/>
          </w:tcPr>
          <w:p>
            <w:pPr>
              <w:jc w:val="right"/>
              <w:ind w:right="303"/>
              <w:spacing w:after="0"/>
              <w:rPr>
                <w:sz w:val="20"/>
                <w:szCs w:val="20"/>
                <w:color w:val="auto"/>
              </w:rPr>
            </w:pPr>
            <w:r>
              <w:rPr>
                <w:rFonts w:ascii="Times New Roman" w:cs="Times New Roman" w:eastAsia="Times New Roman" w:hAnsi="Times New Roman"/>
                <w:sz w:val="19"/>
                <w:szCs w:val="19"/>
                <w:color w:val="231F20"/>
              </w:rPr>
              <w:t>March 31, 2025</w:t>
            </w:r>
          </w:p>
        </w:tc>
      </w:tr>
      <w:tr>
        <w:trPr>
          <w:trHeight w:val="271"/>
        </w:trPr>
        <w:tc>
          <w:tcPr>
            <w:tcW w:w="5740" w:type="dxa"/>
            <w:vAlign w:val="bottom"/>
          </w:tcPr>
          <w:p>
            <w:pPr>
              <w:spacing w:after="0"/>
              <w:rPr>
                <w:sz w:val="23"/>
                <w:szCs w:val="23"/>
                <w:color w:val="auto"/>
              </w:rPr>
            </w:pPr>
          </w:p>
        </w:tc>
        <w:tc>
          <w:tcPr>
            <w:tcW w:w="1100" w:type="dxa"/>
            <w:vAlign w:val="bottom"/>
            <w:tcBorders>
              <w:bottom w:val="single" w:sz="8" w:color="231F20"/>
            </w:tcBorders>
          </w:tcPr>
          <w:p>
            <w:pPr>
              <w:jc w:val="right"/>
              <w:ind w:right="303"/>
              <w:spacing w:after="0"/>
              <w:rPr>
                <w:sz w:val="20"/>
                <w:szCs w:val="20"/>
                <w:color w:val="auto"/>
              </w:rPr>
            </w:pPr>
            <w:r>
              <w:rPr>
                <w:rFonts w:ascii="Times New Roman" w:cs="Times New Roman" w:eastAsia="Times New Roman" w:hAnsi="Times New Roman"/>
                <w:sz w:val="19"/>
                <w:szCs w:val="19"/>
                <w:color w:val="231F20"/>
              </w:rPr>
              <w:t>Male</w:t>
            </w:r>
          </w:p>
        </w:tc>
        <w:tc>
          <w:tcPr>
            <w:tcW w:w="1080" w:type="dxa"/>
            <w:vAlign w:val="bottom"/>
            <w:tcBorders>
              <w:bottom w:val="single" w:sz="8" w:color="231F20"/>
            </w:tcBorders>
          </w:tcPr>
          <w:p>
            <w:pPr>
              <w:jc w:val="right"/>
              <w:ind w:right="243"/>
              <w:spacing w:after="0"/>
              <w:rPr>
                <w:sz w:val="20"/>
                <w:szCs w:val="20"/>
                <w:color w:val="auto"/>
              </w:rPr>
            </w:pPr>
            <w:r>
              <w:rPr>
                <w:rFonts w:ascii="Times New Roman" w:cs="Times New Roman" w:eastAsia="Times New Roman" w:hAnsi="Times New Roman"/>
                <w:sz w:val="19"/>
                <w:szCs w:val="19"/>
                <w:color w:val="231F20"/>
              </w:rPr>
              <w:t>Female</w:t>
            </w:r>
          </w:p>
        </w:tc>
        <w:tc>
          <w:tcPr>
            <w:tcW w:w="980" w:type="dxa"/>
            <w:vAlign w:val="bottom"/>
            <w:tcBorders>
              <w:bottom w:val="single" w:sz="8" w:color="231F20"/>
            </w:tcBorders>
          </w:tcPr>
          <w:p>
            <w:pPr>
              <w:jc w:val="right"/>
              <w:ind w:right="303"/>
              <w:spacing w:after="0"/>
              <w:rPr>
                <w:sz w:val="20"/>
                <w:szCs w:val="20"/>
                <w:color w:val="auto"/>
              </w:rPr>
            </w:pPr>
            <w:r>
              <w:rPr>
                <w:rFonts w:ascii="Times New Roman" w:cs="Times New Roman" w:eastAsia="Times New Roman" w:hAnsi="Times New Roman"/>
                <w:sz w:val="19"/>
                <w:szCs w:val="19"/>
                <w:color w:val="231F20"/>
              </w:rPr>
              <w:t>Male</w:t>
            </w:r>
          </w:p>
        </w:tc>
        <w:tc>
          <w:tcPr>
            <w:tcW w:w="960" w:type="dxa"/>
            <w:vAlign w:val="bottom"/>
            <w:tcBorders>
              <w:bottom w:val="single" w:sz="8" w:color="231F20"/>
            </w:tcBorders>
          </w:tcPr>
          <w:p>
            <w:pPr>
              <w:jc w:val="right"/>
              <w:ind w:right="103"/>
              <w:spacing w:after="0"/>
              <w:rPr>
                <w:sz w:val="20"/>
                <w:szCs w:val="20"/>
                <w:color w:val="auto"/>
              </w:rPr>
            </w:pPr>
            <w:r>
              <w:rPr>
                <w:rFonts w:ascii="Times New Roman" w:cs="Times New Roman" w:eastAsia="Times New Roman" w:hAnsi="Times New Roman"/>
                <w:sz w:val="19"/>
                <w:szCs w:val="19"/>
                <w:color w:val="231F20"/>
              </w:rPr>
              <w:t>Female</w:t>
            </w:r>
          </w:p>
        </w:tc>
      </w:tr>
      <w:tr>
        <w:trPr>
          <w:trHeight w:val="269"/>
        </w:trPr>
        <w:tc>
          <w:tcPr>
            <w:tcW w:w="5740" w:type="dxa"/>
            <w:vAlign w:val="bottom"/>
          </w:tcPr>
          <w:p>
            <w:pPr>
              <w:spacing w:after="0"/>
              <w:rPr>
                <w:sz w:val="20"/>
                <w:szCs w:val="20"/>
                <w:color w:val="auto"/>
              </w:rPr>
            </w:pPr>
            <w:r>
              <w:rPr>
                <w:rFonts w:ascii="Times New Roman" w:cs="Times New Roman" w:eastAsia="Times New Roman" w:hAnsi="Times New Roman"/>
                <w:sz w:val="19"/>
                <w:szCs w:val="19"/>
                <w:color w:val="231F20"/>
              </w:rPr>
              <w:t>Non-Executive Directors</w:t>
            </w:r>
          </w:p>
        </w:tc>
        <w:tc>
          <w:tcPr>
            <w:tcW w:w="110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231F20"/>
              </w:rPr>
              <w:t>6</w:t>
            </w:r>
          </w:p>
        </w:tc>
        <w:tc>
          <w:tcPr>
            <w:tcW w:w="108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231F20"/>
              </w:rPr>
              <w:t>2</w:t>
            </w:r>
          </w:p>
        </w:tc>
        <w:tc>
          <w:tcPr>
            <w:tcW w:w="98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231F20"/>
              </w:rPr>
              <w:t>6</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w:t>
            </w:r>
          </w:p>
        </w:tc>
      </w:tr>
      <w:tr>
        <w:trPr>
          <w:trHeight w:val="291"/>
        </w:trPr>
        <w:tc>
          <w:tcPr>
            <w:tcW w:w="5740" w:type="dxa"/>
            <w:vAlign w:val="bottom"/>
          </w:tcPr>
          <w:p>
            <w:pPr>
              <w:spacing w:after="0"/>
              <w:rPr>
                <w:sz w:val="20"/>
                <w:szCs w:val="20"/>
                <w:color w:val="auto"/>
              </w:rPr>
            </w:pPr>
            <w:r>
              <w:rPr>
                <w:rFonts w:ascii="Times New Roman" w:cs="Times New Roman" w:eastAsia="Times New Roman" w:hAnsi="Times New Roman"/>
                <w:sz w:val="19"/>
                <w:szCs w:val="19"/>
                <w:color w:val="231F20"/>
              </w:rPr>
              <w:t>Senior Managers</w:t>
            </w:r>
          </w:p>
        </w:tc>
        <w:tc>
          <w:tcPr>
            <w:tcW w:w="110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231F20"/>
              </w:rPr>
              <w:t>748</w:t>
            </w:r>
          </w:p>
        </w:tc>
        <w:tc>
          <w:tcPr>
            <w:tcW w:w="108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231F20"/>
              </w:rPr>
              <w:t>330</w:t>
            </w:r>
          </w:p>
        </w:tc>
        <w:tc>
          <w:tcPr>
            <w:tcW w:w="98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231F20"/>
              </w:rPr>
              <w:t>718</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289</w:t>
            </w:r>
          </w:p>
        </w:tc>
      </w:tr>
      <w:tr>
        <w:trPr>
          <w:trHeight w:val="291"/>
        </w:trPr>
        <w:tc>
          <w:tcPr>
            <w:tcW w:w="5740" w:type="dxa"/>
            <w:vAlign w:val="bottom"/>
          </w:tcPr>
          <w:p>
            <w:pPr>
              <w:spacing w:after="0"/>
              <w:rPr>
                <w:sz w:val="20"/>
                <w:szCs w:val="20"/>
                <w:color w:val="auto"/>
              </w:rPr>
            </w:pPr>
            <w:r>
              <w:rPr>
                <w:rFonts w:ascii="Times New Roman" w:cs="Times New Roman" w:eastAsia="Times New Roman" w:hAnsi="Times New Roman"/>
                <w:sz w:val="19"/>
                <w:szCs w:val="19"/>
                <w:color w:val="231F20"/>
              </w:rPr>
              <w:t>Other employees of the Company</w:t>
            </w:r>
          </w:p>
        </w:tc>
        <w:tc>
          <w:tcPr>
            <w:tcW w:w="110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231F20"/>
              </w:rPr>
              <w:t>11,359</w:t>
            </w:r>
          </w:p>
        </w:tc>
        <w:tc>
          <w:tcPr>
            <w:tcW w:w="108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231F20"/>
              </w:rPr>
              <w:t>5,662</w:t>
            </w:r>
          </w:p>
        </w:tc>
        <w:tc>
          <w:tcPr>
            <w:tcW w:w="98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231F20"/>
              </w:rPr>
              <w:t>11,282</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5,730</w:t>
            </w:r>
          </w:p>
        </w:tc>
      </w:tr>
    </w:tbl>
    <w:p>
      <w:pPr>
        <w:spacing w:after="0" w:line="1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Directors and United States employees by race is shown in the table below:</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255"/>
        </w:trPr>
        <w:tc>
          <w:tcPr>
            <w:tcW w:w="4920" w:type="dxa"/>
            <w:vAlign w:val="bottom"/>
          </w:tcPr>
          <w:p>
            <w:pPr>
              <w:spacing w:after="0"/>
              <w:rPr>
                <w:sz w:val="22"/>
                <w:szCs w:val="22"/>
                <w:color w:val="auto"/>
              </w:rPr>
            </w:pPr>
          </w:p>
        </w:tc>
        <w:tc>
          <w:tcPr>
            <w:tcW w:w="2600" w:type="dxa"/>
            <w:vAlign w:val="bottom"/>
            <w:tcBorders>
              <w:bottom w:val="single" w:sz="8" w:color="231F20"/>
            </w:tcBorders>
            <w:gridSpan w:val="2"/>
          </w:tcPr>
          <w:p>
            <w:pPr>
              <w:ind w:left="700"/>
              <w:spacing w:after="0"/>
              <w:rPr>
                <w:sz w:val="20"/>
                <w:szCs w:val="20"/>
                <w:color w:val="auto"/>
              </w:rPr>
            </w:pPr>
            <w:r>
              <w:rPr>
                <w:rFonts w:ascii="Times New Roman" w:cs="Times New Roman" w:eastAsia="Times New Roman" w:hAnsi="Times New Roman"/>
                <w:sz w:val="19"/>
                <w:szCs w:val="19"/>
                <w:color w:val="231F20"/>
              </w:rPr>
              <w:t>March 31, 2026</w:t>
            </w:r>
          </w:p>
        </w:tc>
        <w:tc>
          <w:tcPr>
            <w:tcW w:w="40" w:type="dxa"/>
            <w:vAlign w:val="bottom"/>
            <w:tcBorders>
              <w:bottom w:val="single" w:sz="8" w:color="231F20"/>
            </w:tcBorders>
          </w:tcPr>
          <w:p>
            <w:pPr>
              <w:spacing w:after="0"/>
              <w:rPr>
                <w:sz w:val="22"/>
                <w:szCs w:val="22"/>
                <w:color w:val="auto"/>
              </w:rPr>
            </w:pPr>
          </w:p>
        </w:tc>
        <w:tc>
          <w:tcPr>
            <w:tcW w:w="2340" w:type="dxa"/>
            <w:vAlign w:val="bottom"/>
            <w:tcBorders>
              <w:bottom w:val="single" w:sz="8" w:color="231F20"/>
            </w:tcBorders>
            <w:gridSpan w:val="2"/>
          </w:tcPr>
          <w:p>
            <w:pPr>
              <w:ind w:left="560"/>
              <w:spacing w:after="0"/>
              <w:rPr>
                <w:sz w:val="20"/>
                <w:szCs w:val="20"/>
                <w:color w:val="auto"/>
              </w:rPr>
            </w:pPr>
            <w:r>
              <w:rPr>
                <w:rFonts w:ascii="Times New Roman" w:cs="Times New Roman" w:eastAsia="Times New Roman" w:hAnsi="Times New Roman"/>
                <w:sz w:val="19"/>
                <w:szCs w:val="19"/>
                <w:color w:val="231F20"/>
              </w:rPr>
              <w:t>March 31, 2025</w:t>
            </w:r>
          </w:p>
        </w:tc>
      </w:tr>
      <w:tr>
        <w:trPr>
          <w:trHeight w:val="286"/>
        </w:trPr>
        <w:tc>
          <w:tcPr>
            <w:tcW w:w="4920" w:type="dxa"/>
            <w:vAlign w:val="bottom"/>
          </w:tcPr>
          <w:p>
            <w:pPr>
              <w:spacing w:after="0"/>
              <w:rPr>
                <w:sz w:val="24"/>
                <w:szCs w:val="24"/>
                <w:color w:val="auto"/>
              </w:rPr>
            </w:pPr>
          </w:p>
        </w:tc>
        <w:tc>
          <w:tcPr>
            <w:tcW w:w="1220" w:type="dxa"/>
            <w:vAlign w:val="bottom"/>
            <w:tcBorders>
              <w:bottom w:val="single" w:sz="8" w:color="231F20"/>
            </w:tcBorders>
          </w:tcPr>
          <w:p>
            <w:pPr>
              <w:jc w:val="center"/>
              <w:ind w:left="3"/>
              <w:spacing w:after="0"/>
              <w:rPr>
                <w:sz w:val="20"/>
                <w:szCs w:val="20"/>
                <w:color w:val="auto"/>
              </w:rPr>
            </w:pPr>
            <w:r>
              <w:rPr>
                <w:rFonts w:ascii="Times New Roman" w:cs="Times New Roman" w:eastAsia="Times New Roman" w:hAnsi="Times New Roman"/>
                <w:sz w:val="19"/>
                <w:szCs w:val="19"/>
                <w:color w:val="231F20"/>
              </w:rPr>
              <w:t>White</w:t>
            </w:r>
          </w:p>
        </w:tc>
        <w:tc>
          <w:tcPr>
            <w:tcW w:w="1380" w:type="dxa"/>
            <w:vAlign w:val="bottom"/>
            <w:tcBorders>
              <w:bottom w:val="single" w:sz="8" w:color="231F20"/>
            </w:tcBorders>
          </w:tcPr>
          <w:p>
            <w:pPr>
              <w:jc w:val="center"/>
              <w:ind w:left="3"/>
              <w:spacing w:after="0" w:line="286" w:lineRule="exact"/>
              <w:rPr>
                <w:sz w:val="20"/>
                <w:szCs w:val="20"/>
                <w:color w:val="auto"/>
              </w:rPr>
            </w:pPr>
            <w:r>
              <w:rPr>
                <w:rFonts w:ascii="Times New Roman" w:cs="Times New Roman" w:eastAsia="Times New Roman" w:hAnsi="Times New Roman"/>
                <w:sz w:val="19"/>
                <w:szCs w:val="19"/>
                <w:color w:val="231F20"/>
                <w:w w:val="95"/>
              </w:rPr>
              <w:t xml:space="preserve">Minority </w:t>
            </w:r>
            <w:r>
              <w:rPr>
                <w:rFonts w:ascii="Times New Roman" w:cs="Times New Roman" w:eastAsia="Times New Roman" w:hAnsi="Times New Roman"/>
                <w:sz w:val="25"/>
                <w:szCs w:val="25"/>
                <w:color w:val="231F20"/>
                <w:w w:val="95"/>
                <w:vertAlign w:val="superscript"/>
              </w:rPr>
              <w:t>(1)</w:t>
            </w:r>
          </w:p>
        </w:tc>
        <w:tc>
          <w:tcPr>
            <w:tcW w:w="40" w:type="dxa"/>
            <w:vAlign w:val="bottom"/>
          </w:tcPr>
          <w:p>
            <w:pPr>
              <w:spacing w:after="0"/>
              <w:rPr>
                <w:sz w:val="24"/>
                <w:szCs w:val="24"/>
                <w:color w:val="auto"/>
              </w:rPr>
            </w:pPr>
          </w:p>
        </w:tc>
        <w:tc>
          <w:tcPr>
            <w:tcW w:w="10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9"/>
                <w:szCs w:val="19"/>
                <w:color w:val="231F20"/>
              </w:rPr>
              <w:t>White</w:t>
            </w:r>
          </w:p>
        </w:tc>
        <w:tc>
          <w:tcPr>
            <w:tcW w:w="1300" w:type="dxa"/>
            <w:vAlign w:val="bottom"/>
            <w:tcBorders>
              <w:bottom w:val="single" w:sz="8" w:color="231F20"/>
            </w:tcBorders>
          </w:tcPr>
          <w:p>
            <w:pPr>
              <w:jc w:val="center"/>
              <w:spacing w:after="0" w:line="286" w:lineRule="exact"/>
              <w:rPr>
                <w:sz w:val="20"/>
                <w:szCs w:val="20"/>
                <w:color w:val="auto"/>
              </w:rPr>
            </w:pPr>
            <w:r>
              <w:rPr>
                <w:rFonts w:ascii="Times New Roman" w:cs="Times New Roman" w:eastAsia="Times New Roman" w:hAnsi="Times New Roman"/>
                <w:sz w:val="19"/>
                <w:szCs w:val="19"/>
                <w:color w:val="231F20"/>
                <w:w w:val="95"/>
              </w:rPr>
              <w:t xml:space="preserve">Minority </w:t>
            </w:r>
            <w:r>
              <w:rPr>
                <w:rFonts w:ascii="Times New Roman" w:cs="Times New Roman" w:eastAsia="Times New Roman" w:hAnsi="Times New Roman"/>
                <w:sz w:val="25"/>
                <w:szCs w:val="25"/>
                <w:color w:val="231F20"/>
                <w:w w:val="95"/>
                <w:vertAlign w:val="superscript"/>
              </w:rPr>
              <w:t>(1)</w:t>
            </w:r>
          </w:p>
        </w:tc>
      </w:tr>
      <w:tr>
        <w:trPr>
          <w:trHeight w:val="282"/>
        </w:trPr>
        <w:tc>
          <w:tcPr>
            <w:tcW w:w="4920" w:type="dxa"/>
            <w:vAlign w:val="bottom"/>
          </w:tcPr>
          <w:p>
            <w:pPr>
              <w:spacing w:after="0"/>
              <w:rPr>
                <w:sz w:val="20"/>
                <w:szCs w:val="20"/>
                <w:color w:val="auto"/>
              </w:rPr>
            </w:pPr>
            <w:r>
              <w:rPr>
                <w:rFonts w:ascii="Times New Roman" w:cs="Times New Roman" w:eastAsia="Times New Roman" w:hAnsi="Times New Roman"/>
                <w:sz w:val="19"/>
                <w:szCs w:val="19"/>
                <w:color w:val="231F20"/>
              </w:rPr>
              <w:t>Non-Executive Directors</w:t>
            </w:r>
          </w:p>
        </w:tc>
        <w:tc>
          <w:tcPr>
            <w:tcW w:w="1220" w:type="dxa"/>
            <w:vAlign w:val="bottom"/>
          </w:tcPr>
          <w:p>
            <w:pPr>
              <w:jc w:val="center"/>
              <w:ind w:left="43"/>
              <w:spacing w:after="0"/>
              <w:rPr>
                <w:sz w:val="20"/>
                <w:szCs w:val="20"/>
                <w:color w:val="auto"/>
              </w:rPr>
            </w:pPr>
            <w:r>
              <w:rPr>
                <w:rFonts w:ascii="Times New Roman" w:cs="Times New Roman" w:eastAsia="Times New Roman" w:hAnsi="Times New Roman"/>
                <w:sz w:val="19"/>
                <w:szCs w:val="19"/>
                <w:color w:val="231F20"/>
              </w:rPr>
              <w:t>62%</w:t>
            </w:r>
          </w:p>
        </w:tc>
        <w:tc>
          <w:tcPr>
            <w:tcW w:w="1380" w:type="dxa"/>
            <w:vAlign w:val="bottom"/>
          </w:tcPr>
          <w:p>
            <w:pPr>
              <w:jc w:val="center"/>
              <w:ind w:left="43"/>
              <w:spacing w:after="0"/>
              <w:rPr>
                <w:sz w:val="20"/>
                <w:szCs w:val="20"/>
                <w:color w:val="auto"/>
              </w:rPr>
            </w:pPr>
            <w:r>
              <w:rPr>
                <w:rFonts w:ascii="Times New Roman" w:cs="Times New Roman" w:eastAsia="Times New Roman" w:hAnsi="Times New Roman"/>
                <w:sz w:val="19"/>
                <w:szCs w:val="19"/>
                <w:color w:val="231F20"/>
              </w:rPr>
              <w:t>38%</w:t>
            </w:r>
          </w:p>
        </w:tc>
        <w:tc>
          <w:tcPr>
            <w:tcW w:w="1080" w:type="dxa"/>
            <w:vAlign w:val="bottom"/>
            <w:gridSpan w:val="2"/>
          </w:tcPr>
          <w:p>
            <w:pPr>
              <w:jc w:val="center"/>
              <w:ind w:left="63"/>
              <w:spacing w:after="0"/>
              <w:rPr>
                <w:sz w:val="20"/>
                <w:szCs w:val="20"/>
                <w:color w:val="auto"/>
              </w:rPr>
            </w:pPr>
            <w:r>
              <w:rPr>
                <w:rFonts w:ascii="Times New Roman" w:cs="Times New Roman" w:eastAsia="Times New Roman" w:hAnsi="Times New Roman"/>
                <w:sz w:val="19"/>
                <w:szCs w:val="19"/>
                <w:color w:val="231F20"/>
              </w:rPr>
              <w:t>67%</w:t>
            </w:r>
          </w:p>
        </w:tc>
        <w:tc>
          <w:tcPr>
            <w:tcW w:w="1300" w:type="dxa"/>
            <w:vAlign w:val="bottom"/>
          </w:tcPr>
          <w:p>
            <w:pPr>
              <w:jc w:val="center"/>
              <w:ind w:left="3"/>
              <w:spacing w:after="0"/>
              <w:rPr>
                <w:sz w:val="20"/>
                <w:szCs w:val="20"/>
                <w:color w:val="auto"/>
              </w:rPr>
            </w:pPr>
            <w:r>
              <w:rPr>
                <w:rFonts w:ascii="Times New Roman" w:cs="Times New Roman" w:eastAsia="Times New Roman" w:hAnsi="Times New Roman"/>
                <w:sz w:val="19"/>
                <w:szCs w:val="19"/>
                <w:color w:val="231F20"/>
              </w:rPr>
              <w:t>33%</w:t>
            </w:r>
          </w:p>
        </w:tc>
      </w:tr>
      <w:tr>
        <w:trPr>
          <w:trHeight w:val="306"/>
        </w:trPr>
        <w:tc>
          <w:tcPr>
            <w:tcW w:w="4920" w:type="dxa"/>
            <w:vAlign w:val="bottom"/>
          </w:tcPr>
          <w:p>
            <w:pPr>
              <w:spacing w:after="0"/>
              <w:rPr>
                <w:sz w:val="20"/>
                <w:szCs w:val="20"/>
                <w:color w:val="auto"/>
              </w:rPr>
            </w:pPr>
            <w:r>
              <w:rPr>
                <w:rFonts w:ascii="Times New Roman" w:cs="Times New Roman" w:eastAsia="Times New Roman" w:hAnsi="Times New Roman"/>
                <w:sz w:val="19"/>
                <w:szCs w:val="19"/>
                <w:color w:val="231F20"/>
              </w:rPr>
              <w:t>Senior Managers</w:t>
            </w:r>
          </w:p>
        </w:tc>
        <w:tc>
          <w:tcPr>
            <w:tcW w:w="1220" w:type="dxa"/>
            <w:vAlign w:val="bottom"/>
          </w:tcPr>
          <w:p>
            <w:pPr>
              <w:jc w:val="center"/>
              <w:ind w:left="43"/>
              <w:spacing w:after="0"/>
              <w:rPr>
                <w:sz w:val="20"/>
                <w:szCs w:val="20"/>
                <w:color w:val="auto"/>
              </w:rPr>
            </w:pPr>
            <w:r>
              <w:rPr>
                <w:rFonts w:ascii="Times New Roman" w:cs="Times New Roman" w:eastAsia="Times New Roman" w:hAnsi="Times New Roman"/>
                <w:sz w:val="19"/>
                <w:szCs w:val="19"/>
                <w:color w:val="231F20"/>
              </w:rPr>
              <w:t>86%</w:t>
            </w:r>
          </w:p>
        </w:tc>
        <w:tc>
          <w:tcPr>
            <w:tcW w:w="1380" w:type="dxa"/>
            <w:vAlign w:val="bottom"/>
          </w:tcPr>
          <w:p>
            <w:pPr>
              <w:jc w:val="center"/>
              <w:ind w:left="43"/>
              <w:spacing w:after="0"/>
              <w:rPr>
                <w:sz w:val="20"/>
                <w:szCs w:val="20"/>
                <w:color w:val="auto"/>
              </w:rPr>
            </w:pPr>
            <w:r>
              <w:rPr>
                <w:rFonts w:ascii="Times New Roman" w:cs="Times New Roman" w:eastAsia="Times New Roman" w:hAnsi="Times New Roman"/>
                <w:sz w:val="19"/>
                <w:szCs w:val="19"/>
                <w:color w:val="231F20"/>
              </w:rPr>
              <w:t>14%</w:t>
            </w:r>
          </w:p>
        </w:tc>
        <w:tc>
          <w:tcPr>
            <w:tcW w:w="1080" w:type="dxa"/>
            <w:vAlign w:val="bottom"/>
            <w:gridSpan w:val="2"/>
          </w:tcPr>
          <w:p>
            <w:pPr>
              <w:jc w:val="center"/>
              <w:ind w:left="63"/>
              <w:spacing w:after="0"/>
              <w:rPr>
                <w:sz w:val="20"/>
                <w:szCs w:val="20"/>
                <w:color w:val="auto"/>
              </w:rPr>
            </w:pPr>
            <w:r>
              <w:rPr>
                <w:rFonts w:ascii="Times New Roman" w:cs="Times New Roman" w:eastAsia="Times New Roman" w:hAnsi="Times New Roman"/>
                <w:sz w:val="19"/>
                <w:szCs w:val="19"/>
                <w:color w:val="231F20"/>
              </w:rPr>
              <w:t>86%</w:t>
            </w:r>
          </w:p>
        </w:tc>
        <w:tc>
          <w:tcPr>
            <w:tcW w:w="1300" w:type="dxa"/>
            <w:vAlign w:val="bottom"/>
          </w:tcPr>
          <w:p>
            <w:pPr>
              <w:jc w:val="center"/>
              <w:ind w:left="3"/>
              <w:spacing w:after="0"/>
              <w:rPr>
                <w:sz w:val="20"/>
                <w:szCs w:val="20"/>
                <w:color w:val="auto"/>
              </w:rPr>
            </w:pPr>
            <w:r>
              <w:rPr>
                <w:rFonts w:ascii="Times New Roman" w:cs="Times New Roman" w:eastAsia="Times New Roman" w:hAnsi="Times New Roman"/>
                <w:sz w:val="19"/>
                <w:szCs w:val="19"/>
                <w:color w:val="231F20"/>
              </w:rPr>
              <w:t>14%</w:t>
            </w:r>
          </w:p>
        </w:tc>
      </w:tr>
      <w:tr>
        <w:trPr>
          <w:trHeight w:val="306"/>
        </w:trPr>
        <w:tc>
          <w:tcPr>
            <w:tcW w:w="4920" w:type="dxa"/>
            <w:vAlign w:val="bottom"/>
          </w:tcPr>
          <w:p>
            <w:pPr>
              <w:spacing w:after="0"/>
              <w:rPr>
                <w:sz w:val="20"/>
                <w:szCs w:val="20"/>
                <w:color w:val="auto"/>
              </w:rPr>
            </w:pPr>
            <w:r>
              <w:rPr>
                <w:rFonts w:ascii="Times New Roman" w:cs="Times New Roman" w:eastAsia="Times New Roman" w:hAnsi="Times New Roman"/>
                <w:sz w:val="19"/>
                <w:szCs w:val="19"/>
                <w:color w:val="231F20"/>
              </w:rPr>
              <w:t>Other employees of the Company</w:t>
            </w:r>
          </w:p>
        </w:tc>
        <w:tc>
          <w:tcPr>
            <w:tcW w:w="1220" w:type="dxa"/>
            <w:vAlign w:val="bottom"/>
          </w:tcPr>
          <w:p>
            <w:pPr>
              <w:jc w:val="center"/>
              <w:ind w:left="43"/>
              <w:spacing w:after="0"/>
              <w:rPr>
                <w:sz w:val="20"/>
                <w:szCs w:val="20"/>
                <w:color w:val="auto"/>
              </w:rPr>
            </w:pPr>
            <w:r>
              <w:rPr>
                <w:rFonts w:ascii="Times New Roman" w:cs="Times New Roman" w:eastAsia="Times New Roman" w:hAnsi="Times New Roman"/>
                <w:sz w:val="19"/>
                <w:szCs w:val="19"/>
                <w:color w:val="231F20"/>
              </w:rPr>
              <w:t>60%</w:t>
            </w:r>
          </w:p>
        </w:tc>
        <w:tc>
          <w:tcPr>
            <w:tcW w:w="1380" w:type="dxa"/>
            <w:vAlign w:val="bottom"/>
          </w:tcPr>
          <w:p>
            <w:pPr>
              <w:jc w:val="center"/>
              <w:ind w:left="43"/>
              <w:spacing w:after="0"/>
              <w:rPr>
                <w:sz w:val="20"/>
                <w:szCs w:val="20"/>
                <w:color w:val="auto"/>
              </w:rPr>
            </w:pPr>
            <w:r>
              <w:rPr>
                <w:rFonts w:ascii="Times New Roman" w:cs="Times New Roman" w:eastAsia="Times New Roman" w:hAnsi="Times New Roman"/>
                <w:sz w:val="19"/>
                <w:szCs w:val="19"/>
                <w:color w:val="231F20"/>
              </w:rPr>
              <w:t>40%</w:t>
            </w:r>
          </w:p>
        </w:tc>
        <w:tc>
          <w:tcPr>
            <w:tcW w:w="1080" w:type="dxa"/>
            <w:vAlign w:val="bottom"/>
            <w:gridSpan w:val="2"/>
          </w:tcPr>
          <w:p>
            <w:pPr>
              <w:jc w:val="center"/>
              <w:ind w:left="63"/>
              <w:spacing w:after="0"/>
              <w:rPr>
                <w:sz w:val="20"/>
                <w:szCs w:val="20"/>
                <w:color w:val="auto"/>
              </w:rPr>
            </w:pPr>
            <w:r>
              <w:rPr>
                <w:rFonts w:ascii="Times New Roman" w:cs="Times New Roman" w:eastAsia="Times New Roman" w:hAnsi="Times New Roman"/>
                <w:sz w:val="19"/>
                <w:szCs w:val="19"/>
                <w:color w:val="231F20"/>
              </w:rPr>
              <w:t>60%</w:t>
            </w:r>
          </w:p>
        </w:tc>
        <w:tc>
          <w:tcPr>
            <w:tcW w:w="1300" w:type="dxa"/>
            <w:vAlign w:val="bottom"/>
          </w:tcPr>
          <w:p>
            <w:pPr>
              <w:jc w:val="center"/>
              <w:ind w:left="3"/>
              <w:spacing w:after="0"/>
              <w:rPr>
                <w:sz w:val="20"/>
                <w:szCs w:val="20"/>
                <w:color w:val="auto"/>
              </w:rPr>
            </w:pPr>
            <w:r>
              <w:rPr>
                <w:rFonts w:ascii="Times New Roman" w:cs="Times New Roman" w:eastAsia="Times New Roman" w:hAnsi="Times New Roman"/>
                <w:sz w:val="19"/>
                <w:szCs w:val="19"/>
                <w:color w:val="231F20"/>
              </w:rPr>
              <w:t>40%</w:t>
            </w:r>
          </w:p>
        </w:tc>
      </w:tr>
    </w:tbl>
    <w:p>
      <w:pPr>
        <w:spacing w:after="0" w:line="177" w:lineRule="exact"/>
        <w:rPr>
          <w:sz w:val="20"/>
          <w:szCs w:val="20"/>
          <w:color w:val="auto"/>
        </w:rPr>
      </w:pPr>
    </w:p>
    <w:p>
      <w:pPr>
        <w:ind w:right="160" w:firstLine="3"/>
        <w:spacing w:after="0" w:line="238" w:lineRule="auto"/>
        <w:tabs>
          <w:tab w:leader="none" w:pos="156" w:val="left"/>
        </w:tabs>
        <w:numPr>
          <w:ilvl w:val="0"/>
          <w:numId w:val="2"/>
        </w:numPr>
        <w:rPr>
          <w:rFonts w:ascii="Times New Roman" w:cs="Times New Roman" w:eastAsia="Times New Roman" w:hAnsi="Times New Roman"/>
          <w:sz w:val="19"/>
          <w:szCs w:val="19"/>
          <w:color w:val="231F20"/>
          <w:vertAlign w:val="superscript"/>
        </w:rPr>
      </w:pPr>
      <w:r>
        <w:rPr>
          <w:rFonts w:ascii="Times New Roman" w:cs="Times New Roman" w:eastAsia="Times New Roman" w:hAnsi="Times New Roman"/>
          <w:sz w:val="15"/>
          <w:szCs w:val="15"/>
          <w:color w:val="231F20"/>
        </w:rPr>
        <w:t>A minority person is defined as a person who identifies as American Indian/Alaskan Native, Asian, Black or African American, Hispanic or Latino, Native Hawaiian or Other Pacific Island, or two or more races.</w:t>
      </w:r>
    </w:p>
    <w:p>
      <w:pPr>
        <w:spacing w:after="0" w:line="21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9"/>
          <w:szCs w:val="19"/>
          <w:b w:val="1"/>
          <w:bCs w:val="1"/>
          <w:color w:val="231F20"/>
        </w:rPr>
        <w:t xml:space="preserve">Health, Safety &amp; Environment. </w:t>
      </w:r>
      <w:r>
        <w:rPr>
          <w:rFonts w:ascii="Times New Roman" w:cs="Times New Roman" w:eastAsia="Times New Roman" w:hAnsi="Times New Roman"/>
          <w:sz w:val="19"/>
          <w:szCs w:val="19"/>
          <w:color w:val="231F20"/>
        </w:rPr>
        <w:t>We realize the importance of Health, Safety &amp; Environment ("HSE") to the well-being of our</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Customers, employees, community, the environment, and ultimately our shareholders. To that end, our HSE teams and management are committed to supporting HSE programs with ongoing involvement through our continuous improvement process. Our ultimate goal is to be an incident-free company. The cornerstone of this initiative is the belief that incidents result from unsafe acts or conditions, both of which are preventable. We apply OSHA recordkeeping practices worldwide. Key metrics for purposes of benchmarking performance include Total Recordable Incident Rate ("TRIR") and Lost-time Incident Rate ("LTIR") injury and illness incident rates, both of which are presented in the table below:</w:t>
      </w:r>
    </w:p>
    <w:p>
      <w:pPr>
        <w:sectPr>
          <w:pgSz w:w="11880" w:h="15480" w:orient="portrait"/>
          <w:cols w:equalWidth="0" w:num="1">
            <w:col w:w="9960"/>
          </w:cols>
          <w:pgMar w:left="960" w:top="910" w:right="960" w:bottom="0" w:gutter="0" w:footer="0" w:header="0"/>
        </w:sectPr>
      </w:pPr>
    </w:p>
    <w:p>
      <w:pPr>
        <w:spacing w:after="0" w:line="167" w:lineRule="exact"/>
        <w:rPr>
          <w:sz w:val="20"/>
          <w:szCs w:val="20"/>
          <w:color w:val="auto"/>
        </w:rPr>
      </w:pPr>
    </w:p>
    <w:p>
      <w:pPr>
        <w:jc w:val="center"/>
        <w:ind w:left="5480"/>
        <w:spacing w:after="0"/>
        <w:rPr>
          <w:sz w:val="20"/>
          <w:szCs w:val="20"/>
          <w:color w:val="auto"/>
        </w:rPr>
      </w:pPr>
      <w:r>
        <w:rPr>
          <w:rFonts w:ascii="Times New Roman" w:cs="Times New Roman" w:eastAsia="Times New Roman" w:hAnsi="Times New Roman"/>
          <w:sz w:val="19"/>
          <w:szCs w:val="19"/>
          <w:color w:val="231F20"/>
        </w:rPr>
        <w:t>STERIS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24130</wp:posOffset>
            </wp:positionV>
            <wp:extent cx="1534160" cy="120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160" cy="12065"/>
                    </a:xfrm>
                    <a:prstGeom prst="rect">
                      <a:avLst/>
                    </a:prstGeom>
                    <a:noFill/>
                  </pic:spPr>
                </pic:pic>
              </a:graphicData>
            </a:graphic>
          </wp:anchor>
        </w:drawing>
      </w:r>
    </w:p>
    <w:p>
      <w:pPr>
        <w:spacing w:after="0" w:line="236" w:lineRule="exact"/>
        <w:rPr>
          <w:sz w:val="20"/>
          <w:szCs w:val="20"/>
          <w:color w:val="auto"/>
        </w:rPr>
      </w:pPr>
    </w:p>
    <w:p>
      <w:pPr>
        <w:ind w:left="5480"/>
        <w:spacing w:after="0"/>
        <w:tabs>
          <w:tab w:leader="none" w:pos="6680" w:val="left"/>
        </w:tabs>
        <w:rPr>
          <w:sz w:val="20"/>
          <w:szCs w:val="20"/>
          <w:color w:val="auto"/>
        </w:rPr>
      </w:pPr>
      <w:r>
        <w:rPr>
          <w:rFonts w:ascii="Times New Roman" w:cs="Times New Roman" w:eastAsia="Times New Roman" w:hAnsi="Times New Roman"/>
          <w:sz w:val="17"/>
          <w:szCs w:val="17"/>
          <w:color w:val="231F20"/>
        </w:rPr>
        <w:t>Fiscal 2026</w:t>
      </w:r>
      <w:r>
        <w:rPr>
          <w:sz w:val="20"/>
          <w:szCs w:val="20"/>
          <w:color w:val="auto"/>
        </w:rPr>
        <w:tab/>
      </w:r>
      <w:r>
        <w:rPr>
          <w:rFonts w:ascii="Times New Roman" w:cs="Times New Roman" w:eastAsia="Times New Roman" w:hAnsi="Times New Roman"/>
          <w:sz w:val="17"/>
          <w:szCs w:val="17"/>
          <w:color w:val="231F20"/>
        </w:rPr>
        <w:t>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23495</wp:posOffset>
            </wp:positionV>
            <wp:extent cx="1534160" cy="12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160" cy="12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Industry Benchmarks </w:t>
      </w:r>
      <w:r>
        <w:rPr>
          <w:rFonts w:ascii="Times New Roman" w:cs="Times New Roman" w:eastAsia="Times New Roman" w:hAnsi="Times New Roman"/>
          <w:sz w:val="23"/>
          <w:szCs w:val="23"/>
          <w:color w:val="231F20"/>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-4445</wp:posOffset>
            </wp:positionV>
            <wp:extent cx="1349375" cy="12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49375" cy="12065"/>
                    </a:xfrm>
                    <a:prstGeom prst="rect">
                      <a:avLst/>
                    </a:prstGeom>
                    <a:noFill/>
                  </pic:spPr>
                </pic:pic>
              </a:graphicData>
            </a:graphic>
          </wp:anchor>
        </w:drawing>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231F20"/>
        </w:rPr>
        <w:t>Best in</w:t>
      </w:r>
    </w:p>
    <w:p>
      <w:pPr>
        <w:ind w:left="200"/>
        <w:spacing w:after="0"/>
        <w:tabs>
          <w:tab w:leader="none" w:pos="1340" w:val="left"/>
        </w:tabs>
        <w:rPr>
          <w:sz w:val="20"/>
          <w:szCs w:val="20"/>
          <w:color w:val="auto"/>
        </w:rPr>
      </w:pPr>
      <w:r>
        <w:rPr>
          <w:rFonts w:ascii="Times New Roman" w:cs="Times New Roman" w:eastAsia="Times New Roman" w:hAnsi="Times New Roman"/>
          <w:sz w:val="17"/>
          <w:szCs w:val="17"/>
          <w:color w:val="231F20"/>
        </w:rPr>
        <w:t>Average</w:t>
      </w:r>
      <w:r>
        <w:rPr>
          <w:sz w:val="20"/>
          <w:szCs w:val="20"/>
          <w:color w:val="auto"/>
        </w:rPr>
        <w:tab/>
      </w:r>
      <w:r>
        <w:rPr>
          <w:rFonts w:ascii="Times New Roman" w:cs="Times New Roman" w:eastAsia="Times New Roman" w:hAnsi="Times New Roman"/>
          <w:sz w:val="17"/>
          <w:szCs w:val="17"/>
          <w:color w:val="231F20"/>
        </w:rPr>
        <w:t>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691515</wp:posOffset>
            </wp:positionH>
            <wp:positionV relativeFrom="paragraph">
              <wp:posOffset>4445</wp:posOffset>
            </wp:positionV>
            <wp:extent cx="58928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9280" cy="25400"/>
                    </a:xfrm>
                    <a:prstGeom prst="rect">
                      <a:avLst/>
                    </a:prstGeom>
                    <a:noFill/>
                  </pic:spPr>
                </pic:pic>
              </a:graphicData>
            </a:graphic>
          </wp:anchor>
        </w:drawing>
      </w:r>
    </w:p>
    <w:p>
      <w:pPr>
        <w:spacing w:after="0" w:line="52" w:lineRule="exact"/>
        <w:rPr>
          <w:sz w:val="20"/>
          <w:szCs w:val="20"/>
          <w:color w:val="auto"/>
        </w:rPr>
      </w:pPr>
    </w:p>
    <w:p>
      <w:pPr>
        <w:sectPr>
          <w:pgSz w:w="11880" w:h="15480" w:orient="portrait"/>
          <w:cols w:equalWidth="0" w:num="2">
            <w:col w:w="7500" w:space="460"/>
            <w:col w:w="2000"/>
          </w:cols>
          <w:pgMar w:left="960" w:top="910" w:right="960" w:bottom="0" w:gutter="0" w:footer="0" w:header="0"/>
          <w:type w:val="continuous"/>
        </w:sectPr>
      </w:pPr>
    </w:p>
    <w:tbl>
      <w:tblPr>
        <w:tblLayout w:type="fixed"/>
        <w:tblInd w:w="60" w:type="dxa"/>
        <w:tblCellMar>
          <w:top w:w="0" w:type="dxa"/>
          <w:left w:w="0" w:type="dxa"/>
          <w:bottom w:w="0" w:type="dxa"/>
          <w:right w:w="0" w:type="dxa"/>
        </w:tblCellMar>
      </w:tblPr>
      <w:tr>
        <w:trPr>
          <w:trHeight w:val="291"/>
        </w:trPr>
        <w:tc>
          <w:tcPr>
            <w:tcW w:w="4140" w:type="dxa"/>
            <w:vAlign w:val="bottom"/>
          </w:tcPr>
          <w:p>
            <w:pPr>
              <w:spacing w:after="0"/>
              <w:rPr>
                <w:sz w:val="20"/>
                <w:szCs w:val="20"/>
                <w:color w:val="auto"/>
              </w:rPr>
            </w:pPr>
            <w:r>
              <w:rPr>
                <w:rFonts w:ascii="Times New Roman" w:cs="Times New Roman" w:eastAsia="Times New Roman" w:hAnsi="Times New Roman"/>
                <w:sz w:val="19"/>
                <w:szCs w:val="19"/>
                <w:color w:val="231F20"/>
              </w:rPr>
              <w:t xml:space="preserve">Total Recordable Incident Rate </w:t>
            </w:r>
            <w:r>
              <w:rPr>
                <w:rFonts w:ascii="Times New Roman" w:cs="Times New Roman" w:eastAsia="Times New Roman" w:hAnsi="Times New Roman"/>
                <w:sz w:val="25"/>
                <w:szCs w:val="25"/>
                <w:color w:val="231F20"/>
                <w:vertAlign w:val="superscript"/>
              </w:rPr>
              <w:t>(1)</w:t>
            </w:r>
          </w:p>
        </w:tc>
        <w:tc>
          <w:tcPr>
            <w:tcW w:w="2320" w:type="dxa"/>
            <w:vAlign w:val="bottom"/>
          </w:tcPr>
          <w:p>
            <w:pPr>
              <w:jc w:val="right"/>
              <w:ind w:right="343"/>
              <w:spacing w:after="0"/>
              <w:rPr>
                <w:sz w:val="20"/>
                <w:szCs w:val="20"/>
                <w:color w:val="auto"/>
              </w:rPr>
            </w:pPr>
            <w:r>
              <w:rPr>
                <w:rFonts w:ascii="Times New Roman" w:cs="Times New Roman" w:eastAsia="Times New Roman" w:hAnsi="Times New Roman"/>
                <w:sz w:val="19"/>
                <w:szCs w:val="19"/>
                <w:color w:val="231F20"/>
              </w:rPr>
              <w:t>1.03</w:t>
            </w:r>
          </w:p>
        </w:tc>
        <w:tc>
          <w:tcPr>
            <w:tcW w:w="1280" w:type="dxa"/>
            <w:vAlign w:val="bottom"/>
          </w:tcPr>
          <w:p>
            <w:pPr>
              <w:jc w:val="right"/>
              <w:ind w:right="423"/>
              <w:spacing w:after="0"/>
              <w:rPr>
                <w:sz w:val="20"/>
                <w:szCs w:val="20"/>
                <w:color w:val="auto"/>
              </w:rPr>
            </w:pPr>
            <w:r>
              <w:rPr>
                <w:rFonts w:ascii="Times New Roman" w:cs="Times New Roman" w:eastAsia="Times New Roman" w:hAnsi="Times New Roman"/>
                <w:sz w:val="19"/>
                <w:szCs w:val="19"/>
                <w:color w:val="231F20"/>
              </w:rPr>
              <w:t>1.11</w:t>
            </w:r>
          </w:p>
        </w:tc>
        <w:tc>
          <w:tcPr>
            <w:tcW w:w="1200" w:type="dxa"/>
            <w:vAlign w:val="bottom"/>
          </w:tcPr>
          <w:p>
            <w:pPr>
              <w:jc w:val="right"/>
              <w:ind w:right="263"/>
              <w:spacing w:after="0"/>
              <w:rPr>
                <w:sz w:val="20"/>
                <w:szCs w:val="20"/>
                <w:color w:val="auto"/>
              </w:rPr>
            </w:pPr>
            <w:r>
              <w:rPr>
                <w:rFonts w:ascii="Times New Roman" w:cs="Times New Roman" w:eastAsia="Times New Roman" w:hAnsi="Times New Roman"/>
                <w:sz w:val="19"/>
                <w:szCs w:val="19"/>
                <w:color w:val="231F20"/>
              </w:rPr>
              <w:t>2.50</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1.43</w:t>
            </w:r>
          </w:p>
        </w:tc>
      </w:tr>
      <w:tr>
        <w:trPr>
          <w:trHeight w:val="341"/>
        </w:trPr>
        <w:tc>
          <w:tcPr>
            <w:tcW w:w="414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 xml:space="preserve">Lost-time Incident Rate </w:t>
            </w:r>
            <w:r>
              <w:rPr>
                <w:rFonts w:ascii="Times New Roman" w:cs="Times New Roman" w:eastAsia="Times New Roman" w:hAnsi="Times New Roman"/>
                <w:sz w:val="25"/>
                <w:szCs w:val="25"/>
                <w:color w:val="231F20"/>
                <w:vertAlign w:val="superscript"/>
              </w:rPr>
              <w:t>(1)</w:t>
            </w:r>
          </w:p>
        </w:tc>
        <w:tc>
          <w:tcPr>
            <w:tcW w:w="2320" w:type="dxa"/>
            <w:vAlign w:val="bottom"/>
          </w:tcPr>
          <w:p>
            <w:pPr>
              <w:jc w:val="right"/>
              <w:ind w:right="343"/>
              <w:spacing w:after="0"/>
              <w:rPr>
                <w:sz w:val="20"/>
                <w:szCs w:val="20"/>
                <w:color w:val="auto"/>
              </w:rPr>
            </w:pPr>
            <w:r>
              <w:rPr>
                <w:rFonts w:ascii="Times New Roman" w:cs="Times New Roman" w:eastAsia="Times New Roman" w:hAnsi="Times New Roman"/>
                <w:sz w:val="19"/>
                <w:szCs w:val="19"/>
                <w:color w:val="231F20"/>
              </w:rPr>
              <w:t>0.32</w:t>
            </w:r>
          </w:p>
        </w:tc>
        <w:tc>
          <w:tcPr>
            <w:tcW w:w="1280" w:type="dxa"/>
            <w:vAlign w:val="bottom"/>
          </w:tcPr>
          <w:p>
            <w:pPr>
              <w:jc w:val="right"/>
              <w:ind w:right="423"/>
              <w:spacing w:after="0"/>
              <w:rPr>
                <w:sz w:val="20"/>
                <w:szCs w:val="20"/>
                <w:color w:val="auto"/>
              </w:rPr>
            </w:pPr>
            <w:r>
              <w:rPr>
                <w:rFonts w:ascii="Times New Roman" w:cs="Times New Roman" w:eastAsia="Times New Roman" w:hAnsi="Times New Roman"/>
                <w:sz w:val="19"/>
                <w:szCs w:val="19"/>
                <w:color w:val="231F20"/>
              </w:rPr>
              <w:t>0.38</w:t>
            </w:r>
          </w:p>
        </w:tc>
        <w:tc>
          <w:tcPr>
            <w:tcW w:w="1200" w:type="dxa"/>
            <w:vAlign w:val="bottom"/>
          </w:tcPr>
          <w:p>
            <w:pPr>
              <w:jc w:val="right"/>
              <w:ind w:right="263"/>
              <w:spacing w:after="0"/>
              <w:rPr>
                <w:sz w:val="20"/>
                <w:szCs w:val="20"/>
                <w:color w:val="auto"/>
              </w:rPr>
            </w:pPr>
            <w:r>
              <w:rPr>
                <w:rFonts w:ascii="Times New Roman" w:cs="Times New Roman" w:eastAsia="Times New Roman" w:hAnsi="Times New Roman"/>
                <w:sz w:val="19"/>
                <w:szCs w:val="19"/>
                <w:color w:val="231F20"/>
              </w:rPr>
              <w:t>1.25</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0.42</w:t>
            </w:r>
          </w:p>
        </w:tc>
      </w:tr>
    </w:tbl>
    <w:p>
      <w:pPr>
        <w:spacing w:after="0" w:line="89"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20"/>
          <w:szCs w:val="20"/>
          <w:color w:val="39383A"/>
          <w:vertAlign w:val="superscript"/>
        </w:rPr>
        <w:t>(1</w:t>
      </w:r>
      <w:r>
        <w:rPr>
          <w:rFonts w:ascii="Times New Roman" w:cs="Times New Roman" w:eastAsia="Times New Roman" w:hAnsi="Times New Roman"/>
          <w:sz w:val="20"/>
          <w:szCs w:val="20"/>
          <w:color w:val="231F20"/>
          <w:vertAlign w:val="superscript"/>
        </w:rPr>
        <w:t>)</w:t>
      </w:r>
      <w:r>
        <w:rPr>
          <w:rFonts w:ascii="Times New Roman" w:cs="Times New Roman" w:eastAsia="Times New Roman" w:hAnsi="Times New Roman"/>
          <w:sz w:val="16"/>
          <w:szCs w:val="16"/>
          <w:color w:val="231F20"/>
        </w:rPr>
        <w:t xml:space="preserve"> We apply OSHA recordkeeping practices worldwide. All rates are based on 100 full-time employees ("FTE") working one year. 100 FTEs equals 200,000 work hours. TRIR includes work-related injuries or illnesses requiring medical attention beyond first-aid. LTIR includes work-related injuries or illnesses that cause an employee to be away from work at least one full day after the date of the incident.</w:t>
      </w:r>
    </w:p>
    <w:p>
      <w:pPr>
        <w:spacing w:after="0" w:line="16" w:lineRule="exact"/>
        <w:rPr>
          <w:sz w:val="20"/>
          <w:szCs w:val="20"/>
          <w:color w:val="auto"/>
        </w:rPr>
      </w:pPr>
    </w:p>
    <w:p>
      <w:pPr>
        <w:ind w:left="160" w:hanging="157"/>
        <w:spacing w:after="0"/>
        <w:tabs>
          <w:tab w:leader="none" w:pos="160" w:val="left"/>
        </w:tabs>
        <w:numPr>
          <w:ilvl w:val="0"/>
          <w:numId w:val="3"/>
        </w:numPr>
        <w:rPr>
          <w:rFonts w:ascii="Times New Roman" w:cs="Times New Roman" w:eastAsia="Times New Roman" w:hAnsi="Times New Roman"/>
          <w:sz w:val="20"/>
          <w:szCs w:val="20"/>
          <w:color w:val="231F20"/>
          <w:vertAlign w:val="superscript"/>
        </w:rPr>
      </w:pPr>
      <w:r>
        <w:rPr>
          <w:rFonts w:ascii="Times New Roman" w:cs="Times New Roman" w:eastAsia="Times New Roman" w:hAnsi="Times New Roman"/>
          <w:sz w:val="16"/>
          <w:szCs w:val="16"/>
          <w:color w:val="231F20"/>
        </w:rPr>
        <w:t>Our external benchmarks include the OSHA average and 1st Quartile injury/illness rates which are derived from 2022 Bureau of Labor Statistics data.</w:t>
      </w:r>
    </w:p>
    <w:p>
      <w:pPr>
        <w:spacing w:after="0" w:line="70" w:lineRule="exact"/>
        <w:rPr>
          <w:sz w:val="20"/>
          <w:szCs w:val="20"/>
          <w:color w:val="auto"/>
        </w:rPr>
      </w:pPr>
    </w:p>
    <w:p>
      <w:pPr>
        <w:ind w:right="140" w:firstLine="349"/>
        <w:spacing w:after="0" w:line="292" w:lineRule="auto"/>
        <w:rPr>
          <w:sz w:val="20"/>
          <w:szCs w:val="20"/>
          <w:color w:val="auto"/>
        </w:rPr>
      </w:pPr>
      <w:r>
        <w:rPr>
          <w:rFonts w:ascii="Times New Roman" w:cs="Times New Roman" w:eastAsia="Times New Roman" w:hAnsi="Times New Roman"/>
          <w:sz w:val="19"/>
          <w:szCs w:val="19"/>
          <w:color w:val="231F20"/>
        </w:rPr>
        <w:t>Our annual workplace injury prevention results are within the manufacturing sector's best-in-class performance as defined by the Bureau of Labor Statistics.</w:t>
      </w:r>
    </w:p>
    <w:p>
      <w:pPr>
        <w:sectPr>
          <w:pgSz w:w="11880" w:h="15480" w:orient="portrait"/>
          <w:cols w:equalWidth="0" w:num="1">
            <w:col w:w="9960"/>
          </w:cols>
          <w:pgMar w:left="960" w:top="910" w:right="960" w:bottom="0" w:gutter="0" w:footer="0" w:header="0"/>
          <w:type w:val="continuous"/>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10</w:t>
      </w:r>
    </w:p>
    <w:p>
      <w:pPr>
        <w:sectPr>
          <w:pgSz w:w="11880" w:h="15480" w:orient="portrait"/>
          <w:cols w:equalWidth="0" w:num="1">
            <w:col w:w="9960"/>
          </w:cols>
          <w:pgMar w:left="960" w:top="910" w:right="960" w:bottom="0" w:gutter="0" w:footer="0" w:header="0"/>
          <w:type w:val="continuous"/>
        </w:sectPr>
      </w:pPr>
    </w:p>
    <w:bookmarkStart w:id="11" w:name="page12"/>
    <w:bookmarkEnd w:id="11"/>
    <w:p>
      <w:pPr>
        <w:ind w:right="160" w:firstLine="349"/>
        <w:spacing w:after="0" w:line="262" w:lineRule="auto"/>
        <w:rPr>
          <w:sz w:val="20"/>
          <w:szCs w:val="20"/>
          <w:color w:val="auto"/>
        </w:rPr>
      </w:pPr>
      <w:r>
        <w:rPr>
          <w:rFonts w:ascii="Times New Roman" w:cs="Times New Roman" w:eastAsia="Times New Roman" w:hAnsi="Times New Roman"/>
          <w:sz w:val="19"/>
          <w:szCs w:val="19"/>
          <w:color w:val="231F20"/>
        </w:rPr>
        <w:t>We have chosen to align our environmental management system with the ISO 14001 standard, which sets out the criteria that a company or organization can follow to establish an effective environmental management system. Designed for any type of organization, regardless of its activity or sector, it can provide assurance that environmental impact is being measured, controlled and improved in a holistic manner. We currently have four facilities that are ISO 14001 accredited locations and three facilities that are 45001 accredited locations. Our HSE teams and management are committed to supporting HSE programs with ongoing involvement in aligning HSE management systems to ISO 14001 and ISO 45001 standards, internal compliance reviews, and developing HSE training content and platforms.</w:t>
      </w:r>
    </w:p>
    <w:p>
      <w:pPr>
        <w:spacing w:after="0" w:line="19" w:lineRule="exact"/>
        <w:rPr>
          <w:sz w:val="20"/>
          <w:szCs w:val="20"/>
          <w:color w:val="auto"/>
        </w:rPr>
      </w:pPr>
    </w:p>
    <w:p>
      <w:pPr>
        <w:ind w:right="60" w:firstLine="349"/>
        <w:spacing w:after="0" w:line="274" w:lineRule="auto"/>
        <w:rPr>
          <w:sz w:val="20"/>
          <w:szCs w:val="20"/>
          <w:color w:val="auto"/>
        </w:rPr>
      </w:pPr>
      <w:r>
        <w:rPr>
          <w:rFonts w:ascii="Times New Roman" w:cs="Times New Roman" w:eastAsia="Times New Roman" w:hAnsi="Times New Roman"/>
          <w:sz w:val="19"/>
          <w:szCs w:val="19"/>
          <w:color w:val="231F20"/>
        </w:rPr>
        <w:t>The OSHA Voluntary Protection Program ("VPP") Star Award recognizes employers who have implemented effective safety and health management systems and maintain injury and illness rates below national Bureau of Labor Statistics averages for their industry. We currently have 14 locations that hold the OSHA VPP Star Award.</w:t>
      </w:r>
    </w:p>
    <w:p>
      <w:pPr>
        <w:spacing w:after="0" w:line="8" w:lineRule="exact"/>
        <w:rPr>
          <w:sz w:val="20"/>
          <w:szCs w:val="20"/>
          <w:color w:val="auto"/>
        </w:rPr>
      </w:pPr>
    </w:p>
    <w:p>
      <w:pPr>
        <w:ind w:right="40" w:firstLine="349"/>
        <w:spacing w:after="0" w:line="285" w:lineRule="auto"/>
        <w:rPr>
          <w:sz w:val="20"/>
          <w:szCs w:val="20"/>
          <w:color w:val="auto"/>
        </w:rPr>
      </w:pPr>
      <w:r>
        <w:rPr>
          <w:rFonts w:ascii="Times New Roman" w:cs="Times New Roman" w:eastAsia="Times New Roman" w:hAnsi="Times New Roman"/>
          <w:sz w:val="19"/>
          <w:szCs w:val="19"/>
          <w:color w:val="231F20"/>
        </w:rPr>
        <w:t>We utilize internal HSE management systems and compliance audits designed to identify percent compliance of our global operations against our standards.</w:t>
      </w:r>
    </w:p>
    <w:p>
      <w:pPr>
        <w:spacing w:after="0" w:line="1"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9"/>
          <w:szCs w:val="19"/>
          <w:b w:val="1"/>
          <w:bCs w:val="1"/>
          <w:color w:val="231F20"/>
        </w:rPr>
        <w:t xml:space="preserve">Employee Engagement and Development. </w:t>
      </w:r>
      <w:r>
        <w:rPr>
          <w:rFonts w:ascii="Times New Roman" w:cs="Times New Roman" w:eastAsia="Times New Roman" w:hAnsi="Times New Roman"/>
          <w:sz w:val="19"/>
          <w:szCs w:val="19"/>
          <w:color w:val="231F20"/>
        </w:rPr>
        <w:t>We believe that engaged employees are more productive, innovative, and satisfied</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in their work. Examples of how we engage our employees include quarterly video updates, a robust intranet for communication with our global teams and various communications efforts within each department. In addition, our global human resources team has programs focused on career development and training for employees at all levels.</w:t>
      </w:r>
    </w:p>
    <w:p>
      <w:pPr>
        <w:spacing w:after="0" w:line="14" w:lineRule="exact"/>
        <w:rPr>
          <w:sz w:val="20"/>
          <w:szCs w:val="20"/>
          <w:color w:val="auto"/>
        </w:rPr>
      </w:pPr>
    </w:p>
    <w:p>
      <w:pPr>
        <w:ind w:right="60" w:firstLine="349"/>
        <w:spacing w:after="0" w:line="243" w:lineRule="auto"/>
        <w:rPr>
          <w:sz w:val="20"/>
          <w:szCs w:val="20"/>
          <w:color w:val="auto"/>
        </w:rPr>
      </w:pPr>
      <w:r>
        <w:rPr>
          <w:rFonts w:ascii="Times New Roman" w:cs="Times New Roman" w:eastAsia="Times New Roman" w:hAnsi="Times New Roman"/>
          <w:sz w:val="19"/>
          <w:szCs w:val="19"/>
          <w:color w:val="231F20"/>
        </w:rPr>
        <w:t>Our employee turnover rate was 13% and 16% for fiscal 2026 and 2025, respectively, and we are continuously working towards a goal of achieving a rate of 10% or less, excluding retirements and reductions in force. Although reductions in force are sometimes necessary, we work to avoid them, and they must always be approved by executive management. We encourage all employees to participate in our regular engagement survey which is administered by a third party on a confidential basis. This process has been valuable in helping us recognize what we do well and foster an open conversation about how we can make STERIS an even better place to work. We are pleased to report that 87% of our employees completed our pulse survey in fiscal 2026. The pulse survey results are grouped around four key themes: Employee Engagement; Leadership Effectiveness; Inclusion and Belonging; and Job and Work Experience. The results indicate strong favorability in each of these areas. Moreover, this year's survey allows us to measure progress by comparing results against the baseline established in the initial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pulse survey in fiscal 2025.</w:t>
      </w:r>
    </w:p>
    <w:p>
      <w:pPr>
        <w:spacing w:after="0" w:line="6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9"/>
          <w:szCs w:val="19"/>
          <w:b w:val="1"/>
          <w:bCs w:val="1"/>
          <w:color w:val="231F20"/>
        </w:rPr>
        <w:t xml:space="preserve">Compensation and Benefits. </w:t>
      </w:r>
      <w:r>
        <w:rPr>
          <w:rFonts w:ascii="Times New Roman" w:cs="Times New Roman" w:eastAsia="Times New Roman" w:hAnsi="Times New Roman"/>
          <w:sz w:val="19"/>
          <w:szCs w:val="19"/>
          <w:color w:val="231F20"/>
        </w:rPr>
        <w:t>Our total rewards offerings include an array of programs to support our employees' financial,</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physical, and mental well-being, including providing competitive salaries, variable performance pay, healthcare benefits, tuition assistance, paid time off, annual merit increases, and incentive plans based on the national norms of employees' location of employment. Total employee compensation is presented in the table below:</w:t>
      </w:r>
    </w:p>
    <w:p>
      <w:pPr>
        <w:spacing w:after="0" w:line="71" w:lineRule="exact"/>
        <w:rPr>
          <w:sz w:val="20"/>
          <w:szCs w:val="20"/>
          <w:color w:val="auto"/>
        </w:rPr>
      </w:pPr>
    </w:p>
    <w:tbl>
      <w:tblPr>
        <w:tblLayout w:type="fixed"/>
        <w:tblInd w:w="100" w:type="dxa"/>
        <w:tblCellMar>
          <w:top w:w="0" w:type="dxa"/>
          <w:left w:w="0" w:type="dxa"/>
          <w:bottom w:w="0" w:type="dxa"/>
          <w:right w:w="0" w:type="dxa"/>
        </w:tblCellMar>
      </w:tblPr>
      <w:tr>
        <w:trPr>
          <w:trHeight w:val="284"/>
        </w:trPr>
        <w:tc>
          <w:tcPr>
            <w:tcW w:w="5880" w:type="dxa"/>
            <w:vAlign w:val="bottom"/>
          </w:tcPr>
          <w:p>
            <w:pPr>
              <w:spacing w:after="0"/>
              <w:rPr>
                <w:sz w:val="20"/>
                <w:szCs w:val="20"/>
                <w:color w:val="auto"/>
              </w:rPr>
            </w:pPr>
            <w:r>
              <w:rPr>
                <w:rFonts w:ascii="Times New Roman" w:cs="Times New Roman" w:eastAsia="Times New Roman" w:hAnsi="Times New Roman"/>
                <w:sz w:val="17"/>
                <w:szCs w:val="17"/>
                <w:color w:val="231F20"/>
              </w:rPr>
              <w:t>(in millions)</w:t>
            </w:r>
          </w:p>
        </w:tc>
        <w:tc>
          <w:tcPr>
            <w:tcW w:w="340" w:type="dxa"/>
            <w:vAlign w:val="bottom"/>
            <w:tcBorders>
              <w:bottom w:val="single" w:sz="8" w:color="231F20"/>
            </w:tcBorders>
          </w:tcPr>
          <w:p>
            <w:pPr>
              <w:spacing w:after="0"/>
              <w:rPr>
                <w:sz w:val="24"/>
                <w:szCs w:val="24"/>
                <w:color w:val="auto"/>
              </w:rPr>
            </w:pPr>
          </w:p>
        </w:tc>
        <w:tc>
          <w:tcPr>
            <w:tcW w:w="1600" w:type="dxa"/>
            <w:vAlign w:val="bottom"/>
            <w:tcBorders>
              <w:bottom w:val="single" w:sz="8" w:color="231F20"/>
            </w:tcBorders>
          </w:tcPr>
          <w:p>
            <w:pPr>
              <w:jc w:val="right"/>
              <w:ind w:right="423"/>
              <w:spacing w:after="0"/>
              <w:rPr>
                <w:sz w:val="20"/>
                <w:szCs w:val="20"/>
                <w:color w:val="auto"/>
              </w:rPr>
            </w:pPr>
            <w:r>
              <w:rPr>
                <w:rFonts w:ascii="Times New Roman" w:cs="Times New Roman" w:eastAsia="Times New Roman" w:hAnsi="Times New Roman"/>
                <w:sz w:val="19"/>
                <w:szCs w:val="19"/>
                <w:color w:val="231F20"/>
              </w:rPr>
              <w:t>Fiscal 2026</w:t>
            </w:r>
          </w:p>
        </w:tc>
        <w:tc>
          <w:tcPr>
            <w:tcW w:w="80" w:type="dxa"/>
            <w:vAlign w:val="bottom"/>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1600" w:type="dxa"/>
            <w:vAlign w:val="bottom"/>
            <w:tcBorders>
              <w:bottom w:val="single" w:sz="8" w:color="231F20"/>
            </w:tcBorders>
          </w:tcPr>
          <w:p>
            <w:pPr>
              <w:jc w:val="right"/>
              <w:ind w:right="423"/>
              <w:spacing w:after="0"/>
              <w:rPr>
                <w:sz w:val="20"/>
                <w:szCs w:val="20"/>
                <w:color w:val="auto"/>
              </w:rPr>
            </w:pPr>
            <w:r>
              <w:rPr>
                <w:rFonts w:ascii="Times New Roman" w:cs="Times New Roman" w:eastAsia="Times New Roman" w:hAnsi="Times New Roman"/>
                <w:sz w:val="19"/>
                <w:szCs w:val="19"/>
                <w:color w:val="231F20"/>
              </w:rPr>
              <w:t>Fiscal 2025</w:t>
            </w:r>
          </w:p>
        </w:tc>
      </w:tr>
      <w:tr>
        <w:trPr>
          <w:trHeight w:val="269"/>
        </w:trPr>
        <w:tc>
          <w:tcPr>
            <w:tcW w:w="5880" w:type="dxa"/>
            <w:vAlign w:val="bottom"/>
          </w:tcPr>
          <w:p>
            <w:pPr>
              <w:spacing w:after="0"/>
              <w:rPr>
                <w:sz w:val="20"/>
                <w:szCs w:val="20"/>
                <w:color w:val="auto"/>
              </w:rPr>
            </w:pPr>
            <w:r>
              <w:rPr>
                <w:rFonts w:ascii="Times New Roman" w:cs="Times New Roman" w:eastAsia="Times New Roman" w:hAnsi="Times New Roman"/>
                <w:sz w:val="19"/>
                <w:szCs w:val="19"/>
                <w:color w:val="231F20"/>
              </w:rPr>
              <w:t>Wages and salaries</w:t>
            </w: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9"/>
                <w:szCs w:val="19"/>
                <w:b w:val="1"/>
                <w:bCs w:val="1"/>
                <w:color w:val="231F2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1,342.3</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9"/>
                <w:szCs w:val="19"/>
                <w:color w:val="231F2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1,273.4</w:t>
            </w:r>
          </w:p>
        </w:tc>
      </w:tr>
      <w:tr>
        <w:trPr>
          <w:trHeight w:val="291"/>
        </w:trPr>
        <w:tc>
          <w:tcPr>
            <w:tcW w:w="5880" w:type="dxa"/>
            <w:vAlign w:val="bottom"/>
          </w:tcPr>
          <w:p>
            <w:pPr>
              <w:spacing w:after="0"/>
              <w:rPr>
                <w:sz w:val="20"/>
                <w:szCs w:val="20"/>
                <w:color w:val="auto"/>
              </w:rPr>
            </w:pPr>
            <w:r>
              <w:rPr>
                <w:rFonts w:ascii="Times New Roman" w:cs="Times New Roman" w:eastAsia="Times New Roman" w:hAnsi="Times New Roman"/>
                <w:sz w:val="19"/>
                <w:szCs w:val="19"/>
                <w:color w:val="231F20"/>
              </w:rPr>
              <w:t>Commission and incentive plans</w:t>
            </w:r>
          </w:p>
        </w:tc>
        <w:tc>
          <w:tcPr>
            <w:tcW w:w="3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251.6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210.5</w:t>
            </w:r>
          </w:p>
        </w:tc>
      </w:tr>
      <w:tr>
        <w:trPr>
          <w:trHeight w:val="291"/>
        </w:trPr>
        <w:tc>
          <w:tcPr>
            <w:tcW w:w="5880" w:type="dxa"/>
            <w:vAlign w:val="bottom"/>
          </w:tcPr>
          <w:p>
            <w:pPr>
              <w:spacing w:after="0"/>
              <w:rPr>
                <w:sz w:val="20"/>
                <w:szCs w:val="20"/>
                <w:color w:val="auto"/>
              </w:rPr>
            </w:pPr>
            <w:r>
              <w:rPr>
                <w:rFonts w:ascii="Times New Roman" w:cs="Times New Roman" w:eastAsia="Times New Roman" w:hAnsi="Times New Roman"/>
                <w:sz w:val="19"/>
                <w:szCs w:val="19"/>
                <w:color w:val="231F20"/>
              </w:rPr>
              <w:t>Social security costs</w:t>
            </w:r>
          </w:p>
        </w:tc>
        <w:tc>
          <w:tcPr>
            <w:tcW w:w="3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113.3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111.0</w:t>
            </w:r>
          </w:p>
        </w:tc>
      </w:tr>
      <w:tr>
        <w:trPr>
          <w:trHeight w:val="291"/>
        </w:trPr>
        <w:tc>
          <w:tcPr>
            <w:tcW w:w="5880" w:type="dxa"/>
            <w:vAlign w:val="bottom"/>
          </w:tcPr>
          <w:p>
            <w:pPr>
              <w:spacing w:after="0"/>
              <w:rPr>
                <w:sz w:val="20"/>
                <w:szCs w:val="20"/>
                <w:color w:val="auto"/>
              </w:rPr>
            </w:pPr>
            <w:r>
              <w:rPr>
                <w:rFonts w:ascii="Times New Roman" w:cs="Times New Roman" w:eastAsia="Times New Roman" w:hAnsi="Times New Roman"/>
                <w:sz w:val="19"/>
                <w:szCs w:val="19"/>
                <w:color w:val="231F20"/>
              </w:rPr>
              <w:t>Share-based compensation expense</w:t>
            </w:r>
          </w:p>
        </w:tc>
        <w:tc>
          <w:tcPr>
            <w:tcW w:w="3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61.7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57.4</w:t>
            </w:r>
          </w:p>
        </w:tc>
      </w:tr>
      <w:tr>
        <w:trPr>
          <w:trHeight w:val="291"/>
        </w:trPr>
        <w:tc>
          <w:tcPr>
            <w:tcW w:w="5880" w:type="dxa"/>
            <w:vAlign w:val="bottom"/>
          </w:tcPr>
          <w:p>
            <w:pPr>
              <w:spacing w:after="0"/>
              <w:rPr>
                <w:sz w:val="20"/>
                <w:szCs w:val="20"/>
                <w:color w:val="auto"/>
              </w:rPr>
            </w:pPr>
            <w:r>
              <w:rPr>
                <w:rFonts w:ascii="Times New Roman" w:cs="Times New Roman" w:eastAsia="Times New Roman" w:hAnsi="Times New Roman"/>
                <w:sz w:val="19"/>
                <w:szCs w:val="19"/>
                <w:color w:val="231F20"/>
              </w:rPr>
              <w:t>Pension and post-retirement benefits expense</w:t>
            </w:r>
          </w:p>
        </w:tc>
        <w:tc>
          <w:tcPr>
            <w:tcW w:w="3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49.8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43.6</w:t>
            </w:r>
          </w:p>
        </w:tc>
      </w:tr>
      <w:tr>
        <w:trPr>
          <w:trHeight w:val="294"/>
        </w:trPr>
        <w:tc>
          <w:tcPr>
            <w:tcW w:w="5880" w:type="dxa"/>
            <w:vAlign w:val="bottom"/>
          </w:tcPr>
          <w:p>
            <w:pPr>
              <w:spacing w:after="0"/>
              <w:rPr>
                <w:sz w:val="20"/>
                <w:szCs w:val="20"/>
                <w:color w:val="auto"/>
              </w:rPr>
            </w:pPr>
            <w:r>
              <w:rPr>
                <w:rFonts w:ascii="Times New Roman" w:cs="Times New Roman" w:eastAsia="Times New Roman" w:hAnsi="Times New Roman"/>
                <w:sz w:val="19"/>
                <w:szCs w:val="19"/>
                <w:color w:val="231F20"/>
              </w:rPr>
              <w:t>Other, primarily employee benefits</w:t>
            </w:r>
          </w:p>
        </w:tc>
        <w:tc>
          <w:tcPr>
            <w:tcW w:w="340" w:type="dxa"/>
            <w:vAlign w:val="bottom"/>
            <w:tcBorders>
              <w:bottom w:val="single" w:sz="8" w:color="231F20"/>
            </w:tcBorders>
          </w:tcPr>
          <w:p>
            <w:pPr>
              <w:spacing w:after="0"/>
              <w:rPr>
                <w:sz w:val="24"/>
                <w:szCs w:val="24"/>
                <w:color w:val="auto"/>
              </w:rPr>
            </w:pPr>
          </w:p>
        </w:tc>
        <w:tc>
          <w:tcPr>
            <w:tcW w:w="1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169.6</w:t>
            </w:r>
          </w:p>
        </w:tc>
        <w:tc>
          <w:tcPr>
            <w:tcW w:w="80" w:type="dxa"/>
            <w:vAlign w:val="bottom"/>
            <w:tcBorders>
              <w:bottom w:val="single" w:sz="8" w:color="231F20"/>
            </w:tcBorders>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1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154.6</w:t>
            </w:r>
          </w:p>
        </w:tc>
      </w:tr>
      <w:tr>
        <w:trPr>
          <w:trHeight w:val="276"/>
        </w:trPr>
        <w:tc>
          <w:tcPr>
            <w:tcW w:w="5880" w:type="dxa"/>
            <w:vAlign w:val="bottom"/>
          </w:tcPr>
          <w:p>
            <w:pPr>
              <w:spacing w:after="0"/>
              <w:rPr>
                <w:sz w:val="20"/>
                <w:szCs w:val="20"/>
                <w:color w:val="auto"/>
              </w:rPr>
            </w:pPr>
            <w:r>
              <w:rPr>
                <w:rFonts w:ascii="Times New Roman" w:cs="Times New Roman" w:eastAsia="Times New Roman" w:hAnsi="Times New Roman"/>
                <w:sz w:val="19"/>
                <w:szCs w:val="19"/>
                <w:b w:val="1"/>
                <w:bCs w:val="1"/>
                <w:color w:val="231F20"/>
              </w:rPr>
              <w:t>Total employee costs</w:t>
            </w:r>
          </w:p>
        </w:tc>
        <w:tc>
          <w:tcPr>
            <w:tcW w:w="340" w:type="dxa"/>
            <w:vAlign w:val="bottom"/>
            <w:tcBorders>
              <w:bottom w:val="single" w:sz="8" w:color="231F20"/>
            </w:tcBorders>
          </w:tcPr>
          <w:p>
            <w:pPr>
              <w:jc w:val="right"/>
              <w:ind w:right="83"/>
              <w:spacing w:after="0"/>
              <w:rPr>
                <w:sz w:val="20"/>
                <w:szCs w:val="20"/>
                <w:color w:val="auto"/>
              </w:rPr>
            </w:pPr>
            <w:r>
              <w:rPr>
                <w:rFonts w:ascii="Times New Roman" w:cs="Times New Roman" w:eastAsia="Times New Roman" w:hAnsi="Times New Roman"/>
                <w:sz w:val="19"/>
                <w:szCs w:val="19"/>
                <w:b w:val="1"/>
                <w:bCs w:val="1"/>
                <w:color w:val="231F20"/>
              </w:rPr>
              <w:t>$</w:t>
            </w:r>
          </w:p>
        </w:tc>
        <w:tc>
          <w:tcPr>
            <w:tcW w:w="1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1,988.3</w:t>
            </w:r>
          </w:p>
        </w:tc>
        <w:tc>
          <w:tcPr>
            <w:tcW w:w="420" w:type="dxa"/>
            <w:vAlign w:val="bottom"/>
            <w:tcBorders>
              <w:bottom w:val="single" w:sz="8" w:color="231F20"/>
            </w:tcBorders>
            <w:gridSpan w:val="2"/>
          </w:tcPr>
          <w:p>
            <w:pPr>
              <w:jc w:val="right"/>
              <w:ind w:right="200"/>
              <w:spacing w:after="0"/>
              <w:rPr>
                <w:sz w:val="20"/>
                <w:szCs w:val="20"/>
                <w:color w:val="auto"/>
              </w:rPr>
            </w:pPr>
            <w:r>
              <w:rPr>
                <w:rFonts w:ascii="Times New Roman" w:cs="Times New Roman" w:eastAsia="Times New Roman" w:hAnsi="Times New Roman"/>
                <w:sz w:val="19"/>
                <w:szCs w:val="19"/>
                <w:color w:val="231F20"/>
              </w:rPr>
              <w:t>$</w:t>
            </w:r>
          </w:p>
        </w:tc>
        <w:tc>
          <w:tcPr>
            <w:tcW w:w="1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1,850.5</w:t>
            </w:r>
          </w:p>
        </w:tc>
      </w:tr>
    </w:tbl>
    <w:p>
      <w:pPr>
        <w:spacing w:after="0" w:line="200" w:lineRule="exact"/>
        <w:rPr>
          <w:sz w:val="20"/>
          <w:szCs w:val="20"/>
          <w:color w:val="auto"/>
        </w:rPr>
      </w:pPr>
    </w:p>
    <w:p>
      <w:pPr>
        <w:sectPr>
          <w:pgSz w:w="11880" w:h="15480" w:orient="portrait"/>
          <w:cols w:equalWidth="0" w:num="1">
            <w:col w:w="9940"/>
          </w:cols>
          <w:pgMar w:left="960" w:top="82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11</w:t>
      </w:r>
    </w:p>
    <w:p>
      <w:pPr>
        <w:sectPr>
          <w:pgSz w:w="11880" w:h="15480" w:orient="portrait"/>
          <w:cols w:equalWidth="0" w:num="1">
            <w:col w:w="9940"/>
          </w:cols>
          <w:pgMar w:left="960" w:top="825" w:right="98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9"/>
          <w:szCs w:val="19"/>
          <w:b w:val="1"/>
          <w:bCs w:val="1"/>
          <w:color w:val="231F20"/>
        </w:rPr>
        <w:t>INFORMATION ABOUT OUR EXECUTIVE OFFICERS</w:t>
      </w:r>
    </w:p>
    <w:p>
      <w:pPr>
        <w:spacing w:after="0" w:line="138" w:lineRule="exact"/>
        <w:rPr>
          <w:sz w:val="20"/>
          <w:szCs w:val="20"/>
          <w:color w:val="auto"/>
        </w:rPr>
      </w:pPr>
    </w:p>
    <w:p>
      <w:pPr>
        <w:ind w:firstLine="398"/>
        <w:spacing w:after="0" w:line="292" w:lineRule="auto"/>
        <w:rPr>
          <w:sz w:val="20"/>
          <w:szCs w:val="20"/>
          <w:color w:val="auto"/>
        </w:rPr>
      </w:pPr>
      <w:r>
        <w:rPr>
          <w:rFonts w:ascii="Times New Roman" w:cs="Times New Roman" w:eastAsia="Times New Roman" w:hAnsi="Times New Roman"/>
          <w:sz w:val="19"/>
          <w:szCs w:val="19"/>
          <w:color w:val="231F20"/>
        </w:rPr>
        <w:t>The following table presents certain information regarding our executive officers at March 31, 2026. All executive officers serve at the pleasure of the Board of Directors.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57"/>
        </w:trPr>
        <w:tc>
          <w:tcPr>
            <w:tcW w:w="1980" w:type="dxa"/>
            <w:vAlign w:val="bottom"/>
          </w:tcPr>
          <w:p>
            <w:pPr>
              <w:spacing w:after="0"/>
              <w:rPr>
                <w:sz w:val="20"/>
                <w:szCs w:val="20"/>
                <w:color w:val="auto"/>
              </w:rPr>
            </w:pPr>
            <w:r>
              <w:rPr>
                <w:rFonts w:ascii="Times New Roman" w:cs="Times New Roman" w:eastAsia="Times New Roman" w:hAnsi="Times New Roman"/>
                <w:sz w:val="19"/>
                <w:szCs w:val="19"/>
                <w:b w:val="1"/>
                <w:bCs w:val="1"/>
                <w:color w:val="231F20"/>
              </w:rPr>
              <w:t>Name</w:t>
            </w:r>
          </w:p>
        </w:tc>
        <w:tc>
          <w:tcPr>
            <w:tcW w:w="66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231F20"/>
              </w:rPr>
              <w:t>Age</w:t>
            </w:r>
          </w:p>
        </w:tc>
        <w:tc>
          <w:tcPr>
            <w:tcW w:w="51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231F20"/>
              </w:rPr>
              <w:t>Position</w:t>
            </w:r>
          </w:p>
        </w:tc>
      </w:tr>
      <w:tr>
        <w:trPr>
          <w:trHeight w:val="266"/>
        </w:trPr>
        <w:tc>
          <w:tcPr>
            <w:tcW w:w="1980" w:type="dxa"/>
            <w:vAlign w:val="bottom"/>
          </w:tcPr>
          <w:p>
            <w:pPr>
              <w:spacing w:after="0"/>
              <w:rPr>
                <w:sz w:val="20"/>
                <w:szCs w:val="20"/>
                <w:color w:val="auto"/>
              </w:rPr>
            </w:pPr>
            <w:r>
              <w:rPr>
                <w:rFonts w:ascii="Times New Roman" w:cs="Times New Roman" w:eastAsia="Times New Roman" w:hAnsi="Times New Roman"/>
                <w:sz w:val="19"/>
                <w:szCs w:val="19"/>
                <w:color w:val="231F20"/>
              </w:rPr>
              <w:t>Karen L. Burton</w:t>
            </w:r>
          </w:p>
        </w:tc>
        <w:tc>
          <w:tcPr>
            <w:tcW w:w="660" w:type="dxa"/>
            <w:vAlign w:val="bottom"/>
          </w:tcPr>
          <w:p>
            <w:pPr>
              <w:ind w:left="240"/>
              <w:spacing w:after="0"/>
              <w:rPr>
                <w:sz w:val="20"/>
                <w:szCs w:val="20"/>
                <w:color w:val="auto"/>
              </w:rPr>
            </w:pPr>
            <w:r>
              <w:rPr>
                <w:rFonts w:ascii="Times New Roman" w:cs="Times New Roman" w:eastAsia="Times New Roman" w:hAnsi="Times New Roman"/>
                <w:sz w:val="19"/>
                <w:szCs w:val="19"/>
                <w:color w:val="231F20"/>
              </w:rPr>
              <w:t>58</w:t>
            </w:r>
          </w:p>
        </w:tc>
        <w:tc>
          <w:tcPr>
            <w:tcW w:w="516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Senior Vice President and Chief Financial Officer</w:t>
            </w:r>
          </w:p>
        </w:tc>
      </w:tr>
      <w:tr>
        <w:trPr>
          <w:trHeight w:val="277"/>
        </w:trPr>
        <w:tc>
          <w:tcPr>
            <w:tcW w:w="1980" w:type="dxa"/>
            <w:vAlign w:val="bottom"/>
          </w:tcPr>
          <w:p>
            <w:pPr>
              <w:spacing w:after="0"/>
              <w:rPr>
                <w:sz w:val="20"/>
                <w:szCs w:val="20"/>
                <w:color w:val="auto"/>
              </w:rPr>
            </w:pPr>
            <w:r>
              <w:rPr>
                <w:rFonts w:ascii="Times New Roman" w:cs="Times New Roman" w:eastAsia="Times New Roman" w:hAnsi="Times New Roman"/>
                <w:sz w:val="19"/>
                <w:szCs w:val="19"/>
                <w:color w:val="231F20"/>
              </w:rPr>
              <w:t>Daniel A. Carestio</w:t>
            </w:r>
          </w:p>
        </w:tc>
        <w:tc>
          <w:tcPr>
            <w:tcW w:w="660" w:type="dxa"/>
            <w:vAlign w:val="bottom"/>
          </w:tcPr>
          <w:p>
            <w:pPr>
              <w:ind w:left="240"/>
              <w:spacing w:after="0"/>
              <w:rPr>
                <w:sz w:val="20"/>
                <w:szCs w:val="20"/>
                <w:color w:val="auto"/>
              </w:rPr>
            </w:pPr>
            <w:r>
              <w:rPr>
                <w:rFonts w:ascii="Times New Roman" w:cs="Times New Roman" w:eastAsia="Times New Roman" w:hAnsi="Times New Roman"/>
                <w:sz w:val="19"/>
                <w:szCs w:val="19"/>
                <w:color w:val="231F20"/>
              </w:rPr>
              <w:t>53</w:t>
            </w:r>
          </w:p>
        </w:tc>
        <w:tc>
          <w:tcPr>
            <w:tcW w:w="516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President and CEO</w:t>
            </w:r>
          </w:p>
        </w:tc>
      </w:tr>
      <w:tr>
        <w:trPr>
          <w:trHeight w:val="277"/>
        </w:trPr>
        <w:tc>
          <w:tcPr>
            <w:tcW w:w="1980" w:type="dxa"/>
            <w:vAlign w:val="bottom"/>
          </w:tcPr>
          <w:p>
            <w:pPr>
              <w:spacing w:after="0"/>
              <w:rPr>
                <w:sz w:val="20"/>
                <w:szCs w:val="20"/>
                <w:color w:val="auto"/>
              </w:rPr>
            </w:pPr>
            <w:r>
              <w:rPr>
                <w:rFonts w:ascii="Times New Roman" w:cs="Times New Roman" w:eastAsia="Times New Roman" w:hAnsi="Times New Roman"/>
                <w:sz w:val="19"/>
                <w:szCs w:val="19"/>
                <w:color w:val="231F20"/>
              </w:rPr>
              <w:t>Mary Clare Fraser</w:t>
            </w:r>
          </w:p>
        </w:tc>
        <w:tc>
          <w:tcPr>
            <w:tcW w:w="660" w:type="dxa"/>
            <w:vAlign w:val="bottom"/>
          </w:tcPr>
          <w:p>
            <w:pPr>
              <w:ind w:left="240"/>
              <w:spacing w:after="0"/>
              <w:rPr>
                <w:sz w:val="20"/>
                <w:szCs w:val="20"/>
                <w:color w:val="auto"/>
              </w:rPr>
            </w:pPr>
            <w:r>
              <w:rPr>
                <w:rFonts w:ascii="Times New Roman" w:cs="Times New Roman" w:eastAsia="Times New Roman" w:hAnsi="Times New Roman"/>
                <w:sz w:val="19"/>
                <w:szCs w:val="19"/>
                <w:color w:val="231F20"/>
              </w:rPr>
              <w:t>55</w:t>
            </w:r>
          </w:p>
        </w:tc>
        <w:tc>
          <w:tcPr>
            <w:tcW w:w="516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Senior Vice President and Chief Human Resources Officer</w:t>
            </w:r>
          </w:p>
        </w:tc>
      </w:tr>
      <w:tr>
        <w:trPr>
          <w:trHeight w:val="277"/>
        </w:trPr>
        <w:tc>
          <w:tcPr>
            <w:tcW w:w="1980" w:type="dxa"/>
            <w:vAlign w:val="bottom"/>
          </w:tcPr>
          <w:p>
            <w:pPr>
              <w:spacing w:after="0"/>
              <w:rPr>
                <w:sz w:val="20"/>
                <w:szCs w:val="20"/>
                <w:color w:val="auto"/>
              </w:rPr>
            </w:pPr>
            <w:r>
              <w:rPr>
                <w:rFonts w:ascii="Times New Roman" w:cs="Times New Roman" w:eastAsia="Times New Roman" w:hAnsi="Times New Roman"/>
                <w:sz w:val="19"/>
                <w:szCs w:val="19"/>
                <w:color w:val="231F20"/>
              </w:rPr>
              <w:t>Kenneth E. Kohler</w:t>
            </w:r>
          </w:p>
        </w:tc>
        <w:tc>
          <w:tcPr>
            <w:tcW w:w="660" w:type="dxa"/>
            <w:vAlign w:val="bottom"/>
          </w:tcPr>
          <w:p>
            <w:pPr>
              <w:ind w:left="240"/>
              <w:spacing w:after="0"/>
              <w:rPr>
                <w:sz w:val="20"/>
                <w:szCs w:val="20"/>
                <w:color w:val="auto"/>
              </w:rPr>
            </w:pPr>
            <w:r>
              <w:rPr>
                <w:rFonts w:ascii="Times New Roman" w:cs="Times New Roman" w:eastAsia="Times New Roman" w:hAnsi="Times New Roman"/>
                <w:sz w:val="19"/>
                <w:szCs w:val="19"/>
                <w:color w:val="231F20"/>
              </w:rPr>
              <w:t>63</w:t>
            </w:r>
          </w:p>
        </w:tc>
        <w:tc>
          <w:tcPr>
            <w:tcW w:w="516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Senior Vice President and General Manager, AST</w:t>
            </w:r>
          </w:p>
        </w:tc>
      </w:tr>
      <w:tr>
        <w:trPr>
          <w:trHeight w:val="277"/>
        </w:trPr>
        <w:tc>
          <w:tcPr>
            <w:tcW w:w="1980" w:type="dxa"/>
            <w:vAlign w:val="bottom"/>
          </w:tcPr>
          <w:p>
            <w:pPr>
              <w:spacing w:after="0"/>
              <w:rPr>
                <w:sz w:val="20"/>
                <w:szCs w:val="20"/>
                <w:color w:val="auto"/>
              </w:rPr>
            </w:pPr>
            <w:r>
              <w:rPr>
                <w:rFonts w:ascii="Times New Roman" w:cs="Times New Roman" w:eastAsia="Times New Roman" w:hAnsi="Times New Roman"/>
                <w:sz w:val="19"/>
                <w:szCs w:val="19"/>
                <w:color w:val="231F20"/>
              </w:rPr>
              <w:t>Julia K. Madsen</w:t>
            </w:r>
          </w:p>
        </w:tc>
        <w:tc>
          <w:tcPr>
            <w:tcW w:w="660" w:type="dxa"/>
            <w:vAlign w:val="bottom"/>
          </w:tcPr>
          <w:p>
            <w:pPr>
              <w:ind w:left="240"/>
              <w:spacing w:after="0"/>
              <w:rPr>
                <w:sz w:val="20"/>
                <w:szCs w:val="20"/>
                <w:color w:val="auto"/>
              </w:rPr>
            </w:pPr>
            <w:r>
              <w:rPr>
                <w:rFonts w:ascii="Times New Roman" w:cs="Times New Roman" w:eastAsia="Times New Roman" w:hAnsi="Times New Roman"/>
                <w:sz w:val="19"/>
                <w:szCs w:val="19"/>
                <w:color w:val="231F20"/>
              </w:rPr>
              <w:t>61</w:t>
            </w:r>
          </w:p>
        </w:tc>
        <w:tc>
          <w:tcPr>
            <w:tcW w:w="516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Senior Vice President and General Manager, Life Sciences</w:t>
            </w:r>
          </w:p>
        </w:tc>
      </w:tr>
      <w:tr>
        <w:trPr>
          <w:trHeight w:val="277"/>
        </w:trPr>
        <w:tc>
          <w:tcPr>
            <w:tcW w:w="1980" w:type="dxa"/>
            <w:vAlign w:val="bottom"/>
          </w:tcPr>
          <w:p>
            <w:pPr>
              <w:spacing w:after="0"/>
              <w:rPr>
                <w:sz w:val="20"/>
                <w:szCs w:val="20"/>
                <w:color w:val="auto"/>
              </w:rPr>
            </w:pPr>
            <w:r>
              <w:rPr>
                <w:rFonts w:ascii="Times New Roman" w:cs="Times New Roman" w:eastAsia="Times New Roman" w:hAnsi="Times New Roman"/>
                <w:sz w:val="19"/>
                <w:szCs w:val="19"/>
                <w:color w:val="231F20"/>
              </w:rPr>
              <w:t>Cary L. Majors</w:t>
            </w:r>
          </w:p>
        </w:tc>
        <w:tc>
          <w:tcPr>
            <w:tcW w:w="660" w:type="dxa"/>
            <w:vAlign w:val="bottom"/>
          </w:tcPr>
          <w:p>
            <w:pPr>
              <w:ind w:left="240"/>
              <w:spacing w:after="0"/>
              <w:rPr>
                <w:sz w:val="20"/>
                <w:szCs w:val="20"/>
                <w:color w:val="auto"/>
              </w:rPr>
            </w:pPr>
            <w:r>
              <w:rPr>
                <w:rFonts w:ascii="Times New Roman" w:cs="Times New Roman" w:eastAsia="Times New Roman" w:hAnsi="Times New Roman"/>
                <w:sz w:val="19"/>
                <w:szCs w:val="19"/>
                <w:color w:val="231F20"/>
              </w:rPr>
              <w:t>51</w:t>
            </w:r>
          </w:p>
        </w:tc>
        <w:tc>
          <w:tcPr>
            <w:tcW w:w="516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Senior Vice President and President, Healthcare</w:t>
            </w:r>
          </w:p>
        </w:tc>
      </w:tr>
      <w:tr>
        <w:trPr>
          <w:trHeight w:val="287"/>
        </w:trPr>
        <w:tc>
          <w:tcPr>
            <w:tcW w:w="1980" w:type="dxa"/>
            <w:vAlign w:val="bottom"/>
          </w:tcPr>
          <w:p>
            <w:pPr>
              <w:spacing w:after="0"/>
              <w:rPr>
                <w:sz w:val="20"/>
                <w:szCs w:val="20"/>
                <w:color w:val="auto"/>
              </w:rPr>
            </w:pPr>
            <w:r>
              <w:rPr>
                <w:rFonts w:ascii="Times New Roman" w:cs="Times New Roman" w:eastAsia="Times New Roman" w:hAnsi="Times New Roman"/>
                <w:sz w:val="19"/>
                <w:szCs w:val="19"/>
                <w:color w:val="231F20"/>
              </w:rPr>
              <w:t>Lindsey M. McGowan</w:t>
            </w:r>
          </w:p>
        </w:tc>
        <w:tc>
          <w:tcPr>
            <w:tcW w:w="660" w:type="dxa"/>
            <w:vAlign w:val="bottom"/>
          </w:tcPr>
          <w:p>
            <w:pPr>
              <w:ind w:left="240"/>
              <w:spacing w:after="0"/>
              <w:rPr>
                <w:sz w:val="20"/>
                <w:szCs w:val="20"/>
                <w:color w:val="auto"/>
              </w:rPr>
            </w:pPr>
            <w:r>
              <w:rPr>
                <w:rFonts w:ascii="Times New Roman" w:cs="Times New Roman" w:eastAsia="Times New Roman" w:hAnsi="Times New Roman"/>
                <w:sz w:val="19"/>
                <w:szCs w:val="19"/>
                <w:color w:val="231F20"/>
              </w:rPr>
              <w:t>46</w:t>
            </w:r>
          </w:p>
        </w:tc>
        <w:tc>
          <w:tcPr>
            <w:tcW w:w="516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Chief Compliance and Quality Officer</w:t>
            </w:r>
          </w:p>
        </w:tc>
      </w:tr>
      <w:tr>
        <w:trPr>
          <w:trHeight w:val="276"/>
        </w:trPr>
        <w:tc>
          <w:tcPr>
            <w:tcW w:w="1980" w:type="dxa"/>
            <w:vAlign w:val="bottom"/>
          </w:tcPr>
          <w:p>
            <w:pPr>
              <w:spacing w:after="0"/>
              <w:rPr>
                <w:sz w:val="20"/>
                <w:szCs w:val="20"/>
                <w:color w:val="auto"/>
              </w:rPr>
            </w:pPr>
            <w:r>
              <w:rPr>
                <w:rFonts w:ascii="Times New Roman" w:cs="Times New Roman" w:eastAsia="Times New Roman" w:hAnsi="Times New Roman"/>
                <w:sz w:val="19"/>
                <w:szCs w:val="19"/>
                <w:color w:val="231F20"/>
              </w:rPr>
              <w:t>Renato G. Tamaro</w:t>
            </w:r>
          </w:p>
        </w:tc>
        <w:tc>
          <w:tcPr>
            <w:tcW w:w="660" w:type="dxa"/>
            <w:vAlign w:val="bottom"/>
          </w:tcPr>
          <w:p>
            <w:pPr>
              <w:ind w:left="240"/>
              <w:spacing w:after="0"/>
              <w:rPr>
                <w:sz w:val="20"/>
                <w:szCs w:val="20"/>
                <w:color w:val="auto"/>
              </w:rPr>
            </w:pPr>
            <w:r>
              <w:rPr>
                <w:rFonts w:ascii="Times New Roman" w:cs="Times New Roman" w:eastAsia="Times New Roman" w:hAnsi="Times New Roman"/>
                <w:sz w:val="19"/>
                <w:szCs w:val="19"/>
                <w:color w:val="231F20"/>
              </w:rPr>
              <w:t>57</w:t>
            </w:r>
          </w:p>
        </w:tc>
        <w:tc>
          <w:tcPr>
            <w:tcW w:w="516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Vice President and Corporate Treasurer</w:t>
            </w:r>
          </w:p>
        </w:tc>
      </w:tr>
      <w:tr>
        <w:trPr>
          <w:trHeight w:val="266"/>
        </w:trPr>
        <w:tc>
          <w:tcPr>
            <w:tcW w:w="1980" w:type="dxa"/>
            <w:vAlign w:val="bottom"/>
          </w:tcPr>
          <w:p>
            <w:pPr>
              <w:spacing w:after="0"/>
              <w:rPr>
                <w:sz w:val="20"/>
                <w:szCs w:val="20"/>
                <w:color w:val="auto"/>
              </w:rPr>
            </w:pPr>
            <w:r>
              <w:rPr>
                <w:rFonts w:ascii="Times New Roman" w:cs="Times New Roman" w:eastAsia="Times New Roman" w:hAnsi="Times New Roman"/>
                <w:sz w:val="19"/>
                <w:szCs w:val="19"/>
                <w:color w:val="231F20"/>
              </w:rPr>
              <w:t>J. Adam Zangerle</w:t>
            </w:r>
          </w:p>
        </w:tc>
        <w:tc>
          <w:tcPr>
            <w:tcW w:w="660" w:type="dxa"/>
            <w:vAlign w:val="bottom"/>
          </w:tcPr>
          <w:p>
            <w:pPr>
              <w:ind w:left="240"/>
              <w:spacing w:after="0"/>
              <w:rPr>
                <w:sz w:val="20"/>
                <w:szCs w:val="20"/>
                <w:color w:val="auto"/>
              </w:rPr>
            </w:pPr>
            <w:r>
              <w:rPr>
                <w:rFonts w:ascii="Times New Roman" w:cs="Times New Roman" w:eastAsia="Times New Roman" w:hAnsi="Times New Roman"/>
                <w:sz w:val="19"/>
                <w:szCs w:val="19"/>
                <w:color w:val="231F20"/>
              </w:rPr>
              <w:t>59</w:t>
            </w:r>
          </w:p>
        </w:tc>
        <w:tc>
          <w:tcPr>
            <w:tcW w:w="516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Senior Vice President, General Counsel, and Company Secretary</w:t>
            </w:r>
          </w:p>
        </w:tc>
      </w:tr>
    </w:tbl>
    <w:p>
      <w:pPr>
        <w:spacing w:after="0" w:line="176" w:lineRule="exact"/>
        <w:rPr>
          <w:sz w:val="20"/>
          <w:szCs w:val="20"/>
          <w:color w:val="auto"/>
        </w:rPr>
      </w:pPr>
    </w:p>
    <w:p>
      <w:pPr>
        <w:ind w:right="320" w:firstLine="349"/>
        <w:spacing w:after="0" w:line="293" w:lineRule="auto"/>
        <w:rPr>
          <w:sz w:val="20"/>
          <w:szCs w:val="20"/>
          <w:color w:val="auto"/>
        </w:rPr>
      </w:pPr>
      <w:r>
        <w:rPr>
          <w:rFonts w:ascii="Times New Roman" w:cs="Times New Roman" w:eastAsia="Times New Roman" w:hAnsi="Times New Roman"/>
          <w:sz w:val="19"/>
          <w:szCs w:val="19"/>
          <w:color w:val="231F20"/>
        </w:rPr>
        <w:t>The following discussion provides a summary of each executive officer's recent business experience through March 31, 2026:</w:t>
      </w:r>
    </w:p>
    <w:p>
      <w:pPr>
        <w:spacing w:after="0" w:line="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color w:val="231F20"/>
        </w:rPr>
        <w:t xml:space="preserve">Karen L. Burton </w:t>
      </w:r>
      <w:r>
        <w:rPr>
          <w:rFonts w:ascii="Times New Roman" w:cs="Times New Roman" w:eastAsia="Times New Roman" w:hAnsi="Times New Roman"/>
          <w:sz w:val="19"/>
          <w:szCs w:val="19"/>
          <w:color w:val="231F20"/>
        </w:rPr>
        <w:t>serves as Senior Vice President and Chief Financial Officer. She assumed this role in August 2025.</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From January 2017 to August 2025, Ms. Burton served as Vice President and Chief Accounting Officer. Previously, Ms.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Burton also served as Controller from January 2017 until December 2023. She joined STERIS in September 2004.</w:t>
      </w:r>
    </w:p>
    <w:p>
      <w:pPr>
        <w:spacing w:after="0" w:line="107" w:lineRule="exact"/>
        <w:rPr>
          <w:sz w:val="20"/>
          <w:szCs w:val="20"/>
          <w:color w:val="auto"/>
        </w:rPr>
      </w:pPr>
    </w:p>
    <w:p>
      <w:pPr>
        <w:ind w:right="220" w:firstLine="349"/>
        <w:spacing w:after="0" w:line="269" w:lineRule="auto"/>
        <w:rPr>
          <w:sz w:val="20"/>
          <w:szCs w:val="20"/>
          <w:color w:val="auto"/>
        </w:rPr>
      </w:pPr>
      <w:r>
        <w:rPr>
          <w:rFonts w:ascii="Times New Roman" w:cs="Times New Roman" w:eastAsia="Times New Roman" w:hAnsi="Times New Roman"/>
          <w:sz w:val="19"/>
          <w:szCs w:val="19"/>
          <w:b w:val="1"/>
          <w:bCs w:val="1"/>
          <w:color w:val="231F20"/>
        </w:rPr>
        <w:t xml:space="preserve">Daniel A. Carestio </w:t>
      </w:r>
      <w:r>
        <w:rPr>
          <w:rFonts w:ascii="Times New Roman" w:cs="Times New Roman" w:eastAsia="Times New Roman" w:hAnsi="Times New Roman"/>
          <w:sz w:val="19"/>
          <w:szCs w:val="19"/>
          <w:color w:val="231F20"/>
        </w:rPr>
        <w:t>serves as President and CEO. He assumed this role in July 2021. From August 2018 to July 2021, he</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served as Senior Vice President and Chief Operating Officer. From February 2018 to August 2018, he served as Senior Vice President, Sterilization and Disinfection. From August 2015 to February 2018, he served as Senior Vice President, STERIS AST and Life Sciences. He joined STERIS in September 1997.</w:t>
      </w:r>
    </w:p>
    <w:p>
      <w:pPr>
        <w:spacing w:after="0" w:line="68" w:lineRule="exact"/>
        <w:rPr>
          <w:sz w:val="20"/>
          <w:szCs w:val="20"/>
          <w:color w:val="auto"/>
        </w:rPr>
      </w:pPr>
    </w:p>
    <w:p>
      <w:pPr>
        <w:ind w:right="20" w:firstLine="349"/>
        <w:spacing w:after="0" w:line="279" w:lineRule="auto"/>
        <w:rPr>
          <w:sz w:val="20"/>
          <w:szCs w:val="20"/>
          <w:color w:val="auto"/>
        </w:rPr>
      </w:pPr>
      <w:r>
        <w:rPr>
          <w:rFonts w:ascii="Times New Roman" w:cs="Times New Roman" w:eastAsia="Times New Roman" w:hAnsi="Times New Roman"/>
          <w:sz w:val="19"/>
          <w:szCs w:val="19"/>
          <w:b w:val="1"/>
          <w:bCs w:val="1"/>
          <w:color w:val="231F20"/>
        </w:rPr>
        <w:t xml:space="preserve">Mary Clare Fraser </w:t>
      </w:r>
      <w:r>
        <w:rPr>
          <w:rFonts w:ascii="Times New Roman" w:cs="Times New Roman" w:eastAsia="Times New Roman" w:hAnsi="Times New Roman"/>
          <w:sz w:val="19"/>
          <w:szCs w:val="19"/>
          <w:color w:val="231F20"/>
        </w:rPr>
        <w:t>serves as Senior Vice President and Chief Human Resources Officer. She assumed this role in May</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2022. She joined STERIS in July 2020 as the Vice President and Chief Human Resources Officer. From February 2003 to July 2020, she held various positions with Parker-Hannifin Corporation, a global motion control technologies company, serving most recently from September 2019 to July 2020, as Vice President Human Resources of its Aerospace Group and from March 2017 to September 2019 as its Corporate Director of Human Resources.</w:t>
      </w:r>
    </w:p>
    <w:p>
      <w:pPr>
        <w:spacing w:after="0" w:line="84" w:lineRule="exact"/>
        <w:rPr>
          <w:sz w:val="20"/>
          <w:szCs w:val="20"/>
          <w:color w:val="auto"/>
        </w:rPr>
      </w:pPr>
    </w:p>
    <w:p>
      <w:pPr>
        <w:ind w:right="120" w:firstLine="349"/>
        <w:spacing w:after="0" w:line="287" w:lineRule="auto"/>
        <w:rPr>
          <w:sz w:val="20"/>
          <w:szCs w:val="20"/>
          <w:color w:val="auto"/>
        </w:rPr>
      </w:pPr>
      <w:r>
        <w:rPr>
          <w:rFonts w:ascii="Times New Roman" w:cs="Times New Roman" w:eastAsia="Times New Roman" w:hAnsi="Times New Roman"/>
          <w:sz w:val="19"/>
          <w:szCs w:val="19"/>
          <w:b w:val="1"/>
          <w:bCs w:val="1"/>
          <w:color w:val="231F20"/>
        </w:rPr>
        <w:t xml:space="preserve">Kenneth E. Kohler </w:t>
      </w:r>
      <w:r>
        <w:rPr>
          <w:rFonts w:ascii="Times New Roman" w:cs="Times New Roman" w:eastAsia="Times New Roman" w:hAnsi="Times New Roman"/>
          <w:sz w:val="19"/>
          <w:szCs w:val="19"/>
          <w:color w:val="231F20"/>
        </w:rPr>
        <w:t>serves as Senior Vice President and General Manager, AST. He assumed this role in February 2024.</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Previously, Mr. Kohler served from November 2015 to February 2024 as Vice President and General Manager of AST Americas. He joined STERIS in May 1988.</w:t>
      </w:r>
    </w:p>
    <w:p>
      <w:pPr>
        <w:spacing w:after="0" w:line="51" w:lineRule="exact"/>
        <w:rPr>
          <w:sz w:val="20"/>
          <w:szCs w:val="20"/>
          <w:color w:val="auto"/>
        </w:rPr>
      </w:pPr>
    </w:p>
    <w:p>
      <w:pPr>
        <w:ind w:right="20" w:firstLine="349"/>
        <w:spacing w:after="0" w:line="276" w:lineRule="auto"/>
        <w:rPr>
          <w:sz w:val="20"/>
          <w:szCs w:val="20"/>
          <w:color w:val="auto"/>
        </w:rPr>
      </w:pPr>
      <w:r>
        <w:rPr>
          <w:rFonts w:ascii="Times New Roman" w:cs="Times New Roman" w:eastAsia="Times New Roman" w:hAnsi="Times New Roman"/>
          <w:sz w:val="19"/>
          <w:szCs w:val="19"/>
          <w:b w:val="1"/>
          <w:bCs w:val="1"/>
          <w:color w:val="231F20"/>
        </w:rPr>
        <w:t xml:space="preserve">Julia K. Madsen </w:t>
      </w:r>
      <w:r>
        <w:rPr>
          <w:rFonts w:ascii="Times New Roman" w:cs="Times New Roman" w:eastAsia="Times New Roman" w:hAnsi="Times New Roman"/>
          <w:sz w:val="19"/>
          <w:szCs w:val="19"/>
          <w:color w:val="231F20"/>
        </w:rPr>
        <w:t>serves as Senior Vice President and General Manager, Life Sciences. She assumed this role in July 2020.</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From August 2015 to July 2020, she served as Vice President and General Manager Life Sciences, Consumables. She joined STERIS in September 1995.</w:t>
      </w:r>
    </w:p>
    <w:p>
      <w:pPr>
        <w:spacing w:after="0" w:line="88" w:lineRule="exact"/>
        <w:rPr>
          <w:sz w:val="20"/>
          <w:szCs w:val="20"/>
          <w:color w:val="auto"/>
        </w:rPr>
      </w:pPr>
    </w:p>
    <w:p>
      <w:pPr>
        <w:ind w:right="220" w:firstLine="349"/>
        <w:spacing w:after="0" w:line="300" w:lineRule="auto"/>
        <w:rPr>
          <w:sz w:val="20"/>
          <w:szCs w:val="20"/>
          <w:color w:val="auto"/>
        </w:rPr>
      </w:pPr>
      <w:r>
        <w:rPr>
          <w:rFonts w:ascii="Times New Roman" w:cs="Times New Roman" w:eastAsia="Times New Roman" w:hAnsi="Times New Roman"/>
          <w:sz w:val="19"/>
          <w:szCs w:val="19"/>
          <w:b w:val="1"/>
          <w:bCs w:val="1"/>
          <w:color w:val="231F20"/>
        </w:rPr>
        <w:t xml:space="preserve">Cary L. Majors </w:t>
      </w:r>
      <w:r>
        <w:rPr>
          <w:rFonts w:ascii="Times New Roman" w:cs="Times New Roman" w:eastAsia="Times New Roman" w:hAnsi="Times New Roman"/>
          <w:sz w:val="19"/>
          <w:szCs w:val="19"/>
          <w:color w:val="231F20"/>
        </w:rPr>
        <w:t>serves as Senior Vice President and President, Healthcare. He assumed this role in August 2022. From</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August 2019 to August 2022, he served as Senior Vice President, Americas Commercial Operations. From April 2014 to August 2019 he served as Vice President, North America Commercial Operations. He joined STERIS in April 2003.</w:t>
      </w:r>
    </w:p>
    <w:p>
      <w:pPr>
        <w:spacing w:after="0" w:line="62" w:lineRule="exact"/>
        <w:rPr>
          <w:sz w:val="20"/>
          <w:szCs w:val="20"/>
          <w:color w:val="auto"/>
        </w:rPr>
      </w:pPr>
    </w:p>
    <w:p>
      <w:pPr>
        <w:ind w:right="380" w:firstLine="349"/>
        <w:spacing w:after="0" w:line="276" w:lineRule="auto"/>
        <w:rPr>
          <w:sz w:val="20"/>
          <w:szCs w:val="20"/>
          <w:color w:val="auto"/>
        </w:rPr>
      </w:pPr>
      <w:r>
        <w:rPr>
          <w:rFonts w:ascii="Times New Roman" w:cs="Times New Roman" w:eastAsia="Times New Roman" w:hAnsi="Times New Roman"/>
          <w:sz w:val="19"/>
          <w:szCs w:val="19"/>
          <w:b w:val="1"/>
          <w:bCs w:val="1"/>
          <w:color w:val="231F20"/>
        </w:rPr>
        <w:t xml:space="preserve">Lindsey M. McGowan </w:t>
      </w:r>
      <w:r>
        <w:rPr>
          <w:rFonts w:ascii="Times New Roman" w:cs="Times New Roman" w:eastAsia="Times New Roman" w:hAnsi="Times New Roman"/>
          <w:sz w:val="19"/>
          <w:szCs w:val="19"/>
          <w:color w:val="231F20"/>
        </w:rPr>
        <w:t>serves as Chief Compliance and Quality Officer. She assumed this role in January 2026. From</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September 2023 to December 2025, she served as Vice President, Quality. From September 2019 to September 2023, she served as Vice President, AST Quality Operations. She joined STERIS in May 2006.</w:t>
      </w:r>
    </w:p>
    <w:p>
      <w:pPr>
        <w:spacing w:after="0" w:line="61" w:lineRule="exact"/>
        <w:rPr>
          <w:sz w:val="20"/>
          <w:szCs w:val="20"/>
          <w:color w:val="auto"/>
        </w:rPr>
      </w:pPr>
    </w:p>
    <w:p>
      <w:pPr>
        <w:ind w:right="120" w:firstLine="349"/>
        <w:spacing w:after="0" w:line="297" w:lineRule="auto"/>
        <w:rPr>
          <w:sz w:val="20"/>
          <w:szCs w:val="20"/>
          <w:color w:val="auto"/>
        </w:rPr>
      </w:pPr>
      <w:r>
        <w:rPr>
          <w:rFonts w:ascii="Times New Roman" w:cs="Times New Roman" w:eastAsia="Times New Roman" w:hAnsi="Times New Roman"/>
          <w:sz w:val="19"/>
          <w:szCs w:val="19"/>
          <w:b w:val="1"/>
          <w:bCs w:val="1"/>
          <w:color w:val="231F20"/>
        </w:rPr>
        <w:t xml:space="preserve">Renato G. Tamaro </w:t>
      </w:r>
      <w:r>
        <w:rPr>
          <w:rFonts w:ascii="Times New Roman" w:cs="Times New Roman" w:eastAsia="Times New Roman" w:hAnsi="Times New Roman"/>
          <w:sz w:val="19"/>
          <w:szCs w:val="19"/>
          <w:color w:val="231F20"/>
        </w:rPr>
        <w:t>serves as Vice President and Corporate Treasurer. He assumed this role in August 2017. From March</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2006 to July 2017, he served as Assistant Treasurer. He joined STERIS in August 2003.</w:t>
      </w:r>
    </w:p>
    <w:p>
      <w:pPr>
        <w:spacing w:after="0" w:line="41" w:lineRule="exact"/>
        <w:rPr>
          <w:sz w:val="20"/>
          <w:szCs w:val="20"/>
          <w:color w:val="auto"/>
        </w:rPr>
      </w:pPr>
    </w:p>
    <w:p>
      <w:pPr>
        <w:jc w:val="both"/>
        <w:ind w:right="320" w:firstLine="349"/>
        <w:spacing w:after="0" w:line="276" w:lineRule="auto"/>
        <w:rPr>
          <w:sz w:val="20"/>
          <w:szCs w:val="20"/>
          <w:color w:val="auto"/>
        </w:rPr>
      </w:pPr>
      <w:r>
        <w:rPr>
          <w:rFonts w:ascii="Times New Roman" w:cs="Times New Roman" w:eastAsia="Times New Roman" w:hAnsi="Times New Roman"/>
          <w:sz w:val="19"/>
          <w:szCs w:val="19"/>
          <w:b w:val="1"/>
          <w:bCs w:val="1"/>
          <w:color w:val="231F20"/>
        </w:rPr>
        <w:t xml:space="preserve">J. Adam Zangerle </w:t>
      </w:r>
      <w:r>
        <w:rPr>
          <w:rFonts w:ascii="Times New Roman" w:cs="Times New Roman" w:eastAsia="Times New Roman" w:hAnsi="Times New Roman"/>
          <w:sz w:val="19"/>
          <w:szCs w:val="19"/>
          <w:color w:val="231F20"/>
        </w:rPr>
        <w:t>serves as Senior Vice President, General Counsel, and Company Secretary. He assumed this role in</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July 2018. From July 2013 to July 2018, he served as Vice President, General Counsel, and Secretary. He joined STERIS in November 1997.</w:t>
      </w:r>
    </w:p>
    <w:p>
      <w:pPr>
        <w:sectPr>
          <w:pgSz w:w="11880" w:h="15480" w:orient="portrait"/>
          <w:cols w:equalWidth="0" w:num="1">
            <w:col w:w="9940"/>
          </w:cols>
          <w:pgMar w:left="960" w:top="81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12</w:t>
      </w:r>
    </w:p>
    <w:p>
      <w:pPr>
        <w:sectPr>
          <w:pgSz w:w="11880" w:h="15480" w:orient="portrait"/>
          <w:cols w:equalWidth="0" w:num="1">
            <w:col w:w="9940"/>
          </w:cols>
          <w:pgMar w:left="960" w:top="818" w:right="980" w:bottom="0" w:gutter="0" w:footer="0" w:header="0"/>
          <w:type w:val="continuous"/>
        </w:sectPr>
      </w:pPr>
    </w:p>
    <w:bookmarkStart w:id="13" w:name="page14"/>
    <w:bookmarkEnd w:id="13"/>
    <w:p>
      <w:pPr>
        <w:spacing w:after="0"/>
        <w:tabs>
          <w:tab w:leader="none" w:pos="1380" w:val="left"/>
        </w:tabs>
        <w:rPr>
          <w:sz w:val="20"/>
          <w:szCs w:val="20"/>
          <w:color w:val="auto"/>
        </w:rPr>
      </w:pPr>
      <w:r>
        <w:rPr>
          <w:rFonts w:ascii="Times New Roman" w:cs="Times New Roman" w:eastAsia="Times New Roman" w:hAnsi="Times New Roman"/>
          <w:sz w:val="27"/>
          <w:szCs w:val="27"/>
          <w:color w:val="231F20"/>
        </w:rPr>
        <w:t>ITEM 1A.</w:t>
        <w:tab/>
        <w:t>RISK FACTORS</w:t>
      </w:r>
    </w:p>
    <w:p>
      <w:pPr>
        <w:spacing w:after="0" w:line="155" w:lineRule="exact"/>
        <w:rPr>
          <w:sz w:val="20"/>
          <w:szCs w:val="20"/>
          <w:color w:val="auto"/>
        </w:rPr>
      </w:pPr>
    </w:p>
    <w:p>
      <w:pPr>
        <w:ind w:right="40" w:firstLine="349"/>
        <w:spacing w:after="0" w:line="260" w:lineRule="auto"/>
        <w:rPr>
          <w:sz w:val="20"/>
          <w:szCs w:val="20"/>
          <w:color w:val="auto"/>
        </w:rPr>
      </w:pPr>
      <w:r>
        <w:rPr>
          <w:rFonts w:ascii="Times New Roman" w:cs="Times New Roman" w:eastAsia="Times New Roman" w:hAnsi="Times New Roman"/>
          <w:sz w:val="19"/>
          <w:szCs w:val="19"/>
          <w:color w:val="231F20"/>
        </w:rPr>
        <w:t>This section describes certain risk factors that could affect our business, financial condition and results of operations. You should consider these risk factors when evaluating the forward-looking statements contained in this Annual Report on Form 10-K, because our actual results and financial condition might differ materially from those projected in the forward-looking statements should these risks occur. We face other risks besides those highlighted below. These other risks include additional uncertainties not presently known to us or that we currently believe are immaterial, but may ultimately have a significant impact. In addition, the impacts of ongoing geopolitical conflicts may also exacerbate any of these risks, which could have a material effect on us. Although the risks are organized by headings, and each risk is discussed separately, many are interrelated. Should any of these risks, described below or otherwise, actually occur, our business, financial condition, performance, prospects, value, or results of operations could be negatively affected.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LEGAL, REGULATORY AND TAX RISKS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Doing Business Internationally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Changes in economic climate may adversely affect us.</w:t>
      </w:r>
    </w:p>
    <w:p>
      <w:pPr>
        <w:spacing w:after="0" w:line="138" w:lineRule="exact"/>
        <w:rPr>
          <w:sz w:val="20"/>
          <w:szCs w:val="20"/>
          <w:color w:val="auto"/>
        </w:rPr>
      </w:pPr>
    </w:p>
    <w:p>
      <w:pPr>
        <w:ind w:right="80" w:firstLine="349"/>
        <w:spacing w:after="0" w:line="260" w:lineRule="auto"/>
        <w:rPr>
          <w:sz w:val="20"/>
          <w:szCs w:val="20"/>
          <w:color w:val="auto"/>
        </w:rPr>
      </w:pPr>
      <w:r>
        <w:rPr>
          <w:rFonts w:ascii="Times New Roman" w:cs="Times New Roman" w:eastAsia="Times New Roman" w:hAnsi="Times New Roman"/>
          <w:sz w:val="19"/>
          <w:szCs w:val="19"/>
          <w:color w:val="231F20"/>
        </w:rPr>
        <w:t>Adverse economic cycles or conditions, and Customer, regulatory or government responses to those cycles or conditions, have affected and could further affect our results of operations. The onset of these cycles or conditions may not be foreseeable and there can be no assurance when they will begin to improve after they occur. There also can be no assurance as to the strength or length of any recovery from a business downturn or recession. Credit and liquidity problems may make it difficult for some businesses to access credit markets and obtain financing and may cause some businesses to curtail spending to conserve cash in anticipation of persistent business slowdowns and liquidity needs. If our Customers have difficulty financing their purchases due to tight credit markets or related factors or because of other operational or utilization problems they may be experiencing or otherwise decide to curtail their purchases, our business could be adversely affected. Our exposure to bad debt losses could also increase if Customers are unable to pay for products previously ordered and delivered.</w:t>
      </w:r>
    </w:p>
    <w:p>
      <w:pPr>
        <w:spacing w:after="0" w:line="82" w:lineRule="exact"/>
        <w:rPr>
          <w:sz w:val="20"/>
          <w:szCs w:val="20"/>
          <w:color w:val="auto"/>
        </w:rPr>
      </w:pPr>
    </w:p>
    <w:p>
      <w:pPr>
        <w:ind w:right="180" w:firstLine="349"/>
        <w:spacing w:after="0" w:line="262" w:lineRule="auto"/>
        <w:rPr>
          <w:sz w:val="20"/>
          <w:szCs w:val="20"/>
          <w:color w:val="auto"/>
        </w:rPr>
      </w:pPr>
      <w:r>
        <w:rPr>
          <w:rFonts w:ascii="Times New Roman" w:cs="Times New Roman" w:eastAsia="Times New Roman" w:hAnsi="Times New Roman"/>
          <w:sz w:val="19"/>
          <w:szCs w:val="19"/>
          <w:color w:val="231F20"/>
        </w:rPr>
        <w:t>Some of our Customers are governmental entities or other entities that rely on government healthcare systems or government funding. If government funding for healthcare becomes limited or restricted in countries in which we operate, including as a result of the impacts of a pandemic or its residual effects, our Customers may be unable to pay their obligations on a timely basis or to make payment in full and it may become necessary to increase reserves. In addition, there can be no assurance that there will not be an increase in collection difficulties. Prospectively, additional adverse effects resulting from these conditions may include decreased healthcare utilization, further pricing pressure on our products and services, and/or weaker overall demand for our products and services, particularly capital products.</w:t>
      </w:r>
    </w:p>
    <w:p>
      <w:pPr>
        <w:spacing w:after="0" w:line="70"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9"/>
          <w:szCs w:val="19"/>
          <w:b w:val="1"/>
          <w:bCs w:val="1"/>
          <w:i w:val="1"/>
          <w:iCs w:val="1"/>
          <w:color w:val="231F20"/>
        </w:rPr>
        <w:t>The effects of geopolitical instability may adversely affect us and create significant risks and uncertainties for our business, with the ultimate impact dependent on future developments, which are highly uncertain and unpredictable.</w:t>
      </w:r>
    </w:p>
    <w:p>
      <w:pPr>
        <w:spacing w:after="0" w:line="48" w:lineRule="exact"/>
        <w:rPr>
          <w:sz w:val="20"/>
          <w:szCs w:val="20"/>
          <w:color w:val="auto"/>
        </w:rPr>
      </w:pPr>
    </w:p>
    <w:p>
      <w:pPr>
        <w:ind w:right="20" w:firstLine="349"/>
        <w:spacing w:after="0" w:line="262" w:lineRule="auto"/>
        <w:rPr>
          <w:sz w:val="20"/>
          <w:szCs w:val="20"/>
          <w:color w:val="auto"/>
        </w:rPr>
      </w:pPr>
      <w:r>
        <w:rPr>
          <w:rFonts w:ascii="Times New Roman" w:cs="Times New Roman" w:eastAsia="Times New Roman" w:hAnsi="Times New Roman"/>
          <w:sz w:val="19"/>
          <w:szCs w:val="19"/>
          <w:color w:val="231F20"/>
        </w:rPr>
        <w:t>Geopolitical instability has negatively impacted, and could in the future negatively impact, the global and U.S. economies, including by causing supply chain disruptions, rising inflation, volatility in capital markets and foreign currency exchange rates, rising interest rates, reduced consumer and Customer demand, economic slowdowns and recessions and heightened cybersecurity risks. The extent to which such geopolitical instability, including changes to trade policy, adversely affects our business, financial condition and results of operations, as well as our liquidity and capital profile, may depend on future developments that are highly uncertain and unpredictable. If geopolitical instability or evolving trade policy materially affects us, it may also have the effect of heightening other risks related to our business.</w:t>
      </w:r>
    </w:p>
    <w:p>
      <w:pPr>
        <w:spacing w:after="0" w:line="77" w:lineRule="exact"/>
        <w:rPr>
          <w:sz w:val="20"/>
          <w:szCs w:val="20"/>
          <w:color w:val="auto"/>
        </w:rPr>
      </w:pPr>
    </w:p>
    <w:p>
      <w:pPr>
        <w:ind w:right="300" w:firstLine="349"/>
        <w:spacing w:after="0" w:line="265" w:lineRule="auto"/>
        <w:rPr>
          <w:sz w:val="20"/>
          <w:szCs w:val="20"/>
          <w:color w:val="auto"/>
        </w:rPr>
      </w:pPr>
      <w:r>
        <w:rPr>
          <w:rFonts w:ascii="Times New Roman" w:cs="Times New Roman" w:eastAsia="Times New Roman" w:hAnsi="Times New Roman"/>
          <w:sz w:val="19"/>
          <w:szCs w:val="19"/>
          <w:color w:val="231F20"/>
        </w:rPr>
        <w:t>The potential impacts of geopolitical instability, which may result from the actions of state and non-state actors, include supply chain and logistics disruptions, financial impacts including volatility in foreign exchange and interest rates, increased inflationary pressure on raw materials and energy, reduced consumer and Customer demand, economic slowdowns and recessions and other risks, including an elevated risk of cybersecurity threats and the potential for new or further sanctions, tariffs or changes to international trade policy.</w:t>
      </w:r>
    </w:p>
    <w:p>
      <w:pPr>
        <w:spacing w:after="0" w:line="74"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231F20"/>
        </w:rPr>
        <w:t>Furthermore, the U.S. and other countries have announced and enacted changes, and planned changes, to international trade policy, including increasing tariffs on imports, and potentially renegotiating or terminating existing trade agreements. The international trade environment is highly dynamic, and such changes, and retaliatory responses thereto, continue to evolve. Tariffs, trade restrictions and other changes to international trade policies may result in increased production costs and product pricing, supply chain disruptions, limited access to end markets, lower profitability, increasing inability of consumers and Customers to pay, reduced consumer and Customer demand, economic slowdowns and recessions and uncertainty related to planning long-term investments and strategies, and may have other competitive effects, including those exacerbated by competitors with different supply chain footprints, each of which could have a material adverse effect on our business. In addition, the United States-Mexico-Canada Agreement (“USMCA”) requires a formal six-year joint evaluation of the agreement. The first such review is expected to commence on July 1, 2026, the sixth anniversary of the agreement's entry into</w:t>
      </w:r>
    </w:p>
    <w:p>
      <w:pPr>
        <w:sectPr>
          <w:pgSz w:w="11880" w:h="15480" w:orient="portrait"/>
          <w:cols w:equalWidth="0" w:num="1">
            <w:col w:w="9960"/>
          </w:cols>
          <w:pgMar w:left="960" w:top="801" w:right="960" w:bottom="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13</w:t>
      </w:r>
    </w:p>
    <w:p>
      <w:pPr>
        <w:sectPr>
          <w:pgSz w:w="11880" w:h="15480" w:orient="portrait"/>
          <w:cols w:equalWidth="0" w:num="1">
            <w:col w:w="9960"/>
          </w:cols>
          <w:pgMar w:left="960" w:top="801" w:right="960" w:bottom="0" w:gutter="0" w:footer="0" w:header="0"/>
          <w:type w:val="continuous"/>
        </w:sectPr>
      </w:pPr>
    </w:p>
    <w:bookmarkStart w:id="14" w:name="page15"/>
    <w:bookmarkEnd w:id="14"/>
    <w:p>
      <w:pPr>
        <w:ind w:right="20"/>
        <w:spacing w:after="0" w:line="262" w:lineRule="auto"/>
        <w:rPr>
          <w:sz w:val="20"/>
          <w:szCs w:val="20"/>
          <w:color w:val="auto"/>
        </w:rPr>
      </w:pPr>
      <w:r>
        <w:rPr>
          <w:rFonts w:ascii="Times New Roman" w:cs="Times New Roman" w:eastAsia="Times New Roman" w:hAnsi="Times New Roman"/>
          <w:sz w:val="19"/>
          <w:szCs w:val="19"/>
          <w:color w:val="231F20"/>
        </w:rPr>
        <w:t>force. The U.S. has solicited feedback from the trading community regarding the operation of the USMCA, and the joint review could result in changes, including, for example, the processes by which goods qualify for preferential treatment, the tariffs applicable to products or other restrictions on the movement of goods within the region under the USMCA. Changes to the USMCA could adversely affect our manufacturing operations and those of our suppliers in Canada and Mexico and impact our ability to manufacture and market products or source materials at competitive prices, which could have a material adverse effect on our financial condition and results of operations. We cannot predict the ultimate scope, duration, or impact of current or future tariff measures, changes to existing trade agreements, such as the USMCA, or the imposition of other trade restrictions.</w:t>
      </w:r>
    </w:p>
    <w:p>
      <w:pPr>
        <w:spacing w:after="0" w:line="77" w:lineRule="exact"/>
        <w:rPr>
          <w:sz w:val="20"/>
          <w:szCs w:val="20"/>
          <w:color w:val="auto"/>
        </w:rPr>
      </w:pPr>
    </w:p>
    <w:p>
      <w:pPr>
        <w:ind w:right="140" w:firstLine="349"/>
        <w:spacing w:after="0" w:line="265" w:lineRule="auto"/>
        <w:rPr>
          <w:sz w:val="20"/>
          <w:szCs w:val="20"/>
          <w:color w:val="auto"/>
        </w:rPr>
      </w:pPr>
      <w:r>
        <w:rPr>
          <w:rFonts w:ascii="Times New Roman" w:cs="Times New Roman" w:eastAsia="Times New Roman" w:hAnsi="Times New Roman"/>
          <w:sz w:val="19"/>
          <w:szCs w:val="19"/>
          <w:color w:val="231F20"/>
        </w:rPr>
        <w:t>We may also need to make material changes to our global production footprint and workforce as a result of geopolitical developments or changes to trade policy, which could require significant capital expenditures and could result in asset impairments and other charges, including restructuring charges, any of which could be material. The duration and scope of all such changes that have been and will ultimately be implemented are not known at this time, and as such, any resulting impacts on our business are uncertain.</w:t>
      </w:r>
    </w:p>
    <w:p>
      <w:pPr>
        <w:spacing w:after="0" w:line="67" w:lineRule="exact"/>
        <w:rPr>
          <w:sz w:val="20"/>
          <w:szCs w:val="20"/>
          <w:color w:val="auto"/>
        </w:rPr>
      </w:pPr>
    </w:p>
    <w:p>
      <w:pPr>
        <w:ind w:right="380"/>
        <w:spacing w:after="0" w:line="298" w:lineRule="auto"/>
        <w:rPr>
          <w:sz w:val="20"/>
          <w:szCs w:val="20"/>
          <w:color w:val="auto"/>
        </w:rPr>
      </w:pPr>
      <w:r>
        <w:rPr>
          <w:rFonts w:ascii="Times New Roman" w:cs="Times New Roman" w:eastAsia="Times New Roman" w:hAnsi="Times New Roman"/>
          <w:sz w:val="19"/>
          <w:szCs w:val="19"/>
          <w:b w:val="1"/>
          <w:bCs w:val="1"/>
          <w:i w:val="1"/>
          <w:iCs w:val="1"/>
          <w:color w:val="231F20"/>
        </w:rPr>
        <w:t>Compliance with multiple, and potentially conflicting, international laws and regulations, import and export limitations, anti-corruption laws, and exchange controls may be difficult, burdensome or expensive.</w:t>
      </w:r>
    </w:p>
    <w:p>
      <w:pPr>
        <w:spacing w:after="0" w:line="47" w:lineRule="exact"/>
        <w:rPr>
          <w:sz w:val="20"/>
          <w:szCs w:val="20"/>
          <w:color w:val="auto"/>
        </w:rPr>
      </w:pPr>
    </w:p>
    <w:p>
      <w:pPr>
        <w:ind w:firstLine="349"/>
        <w:spacing w:after="0" w:line="263" w:lineRule="auto"/>
        <w:rPr>
          <w:sz w:val="20"/>
          <w:szCs w:val="20"/>
          <w:color w:val="auto"/>
        </w:rPr>
      </w:pPr>
      <w:r>
        <w:rPr>
          <w:rFonts w:ascii="Times New Roman" w:cs="Times New Roman" w:eastAsia="Times New Roman" w:hAnsi="Times New Roman"/>
          <w:sz w:val="19"/>
          <w:szCs w:val="19"/>
          <w:color w:val="231F20"/>
        </w:rPr>
        <w:t>We are subject to compliance with various laws and regulations, including the U.S. Foreign Corrupt Practices Act, the U.K. Bribery Act, and similar anti-bribery laws, which generally prohibit companies and their intermediaries from making improper payments to officials for the purpose of obtaining or retaining business. We are also subject to limitations on trade with sanctioned persons or persons in sanctioned countries and exchange controls. While our employees and agents are required to comply with these laws and regulations, our internal policies and procedures may not protect us from violations of these laws, which violations could affect financial condition, results of operations, or cash flows.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Healthcare Policy and Reimbursement</w:t>
      </w:r>
    </w:p>
    <w:p>
      <w:pPr>
        <w:spacing w:after="0" w:line="131"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9"/>
          <w:szCs w:val="19"/>
          <w:b w:val="1"/>
          <w:bCs w:val="1"/>
          <w:i w:val="1"/>
          <w:iCs w:val="1"/>
          <w:color w:val="231F20"/>
        </w:rPr>
        <w:t>Changes in healthcare policy or government and other third-party payor reimbursement levels to healthcare providers, or failure to meet healthcare reimbursement or other requirements, might negatively impact our business.</w:t>
      </w:r>
    </w:p>
    <w:p>
      <w:pPr>
        <w:spacing w:after="0" w:line="47" w:lineRule="exact"/>
        <w:rPr>
          <w:sz w:val="20"/>
          <w:szCs w:val="20"/>
          <w:color w:val="auto"/>
        </w:rPr>
      </w:pPr>
    </w:p>
    <w:p>
      <w:pPr>
        <w:ind w:right="180" w:firstLine="349"/>
        <w:spacing w:after="0" w:line="260" w:lineRule="auto"/>
        <w:rPr>
          <w:sz w:val="20"/>
          <w:szCs w:val="20"/>
          <w:color w:val="auto"/>
        </w:rPr>
      </w:pPr>
      <w:r>
        <w:rPr>
          <w:rFonts w:ascii="Times New Roman" w:cs="Times New Roman" w:eastAsia="Times New Roman" w:hAnsi="Times New Roman"/>
          <w:sz w:val="19"/>
          <w:szCs w:val="19"/>
          <w:color w:val="231F20"/>
        </w:rPr>
        <w:t>We sell many of our products and services to hospitals and other healthcare providers and pharmaceutical manufacturers. Many of these Customers are subject to or supported by government programs or receive reimbursement for services from third-party payors, such as government programs, including Medicare and Medicaid in the U.S., private insurance plans, and managed care programs. Reimbursement systems vary significantly by country. Government-managed healthcare systems control reimbursement for healthcare services in many countries. Public budgetary constraints or uncertainties, which may be exacerbated by public health crises, may significantly impact the ability of hospitals, pharmaceutical manufacturers, and other Customers supported by such systems to purchase our products. Government or other third-party payors may deny or change coverage, reduce their current levels of reimbursement for healthcare services, or otherwise implement measures to regulate pricing or contain costs. In addition, our costs may increase more rapidly than reimbursement levels or permissible pricing increases or we may not satisfy the standards or requirements for reimbursement.</w:t>
      </w:r>
    </w:p>
    <w:p>
      <w:pPr>
        <w:spacing w:after="0" w:line="78" w:lineRule="exact"/>
        <w:rPr>
          <w:sz w:val="20"/>
          <w:szCs w:val="20"/>
          <w:color w:val="auto"/>
        </w:rPr>
      </w:pPr>
    </w:p>
    <w:p>
      <w:pPr>
        <w:ind w:right="180" w:firstLine="349"/>
        <w:spacing w:after="0" w:line="265" w:lineRule="auto"/>
        <w:rPr>
          <w:sz w:val="20"/>
          <w:szCs w:val="20"/>
          <w:color w:val="auto"/>
        </w:rPr>
      </w:pPr>
      <w:r>
        <w:rPr>
          <w:rFonts w:ascii="Times New Roman" w:cs="Times New Roman" w:eastAsia="Times New Roman" w:hAnsi="Times New Roman"/>
          <w:sz w:val="19"/>
          <w:szCs w:val="19"/>
          <w:color w:val="231F20"/>
        </w:rPr>
        <w:t>Various healthcare reform proposals have emerged and may in the future emerge at the federal and state level, and we are unable to predict which, if any, of those proposals will be enacted or the level of government funding of healthcare in any country in which we operate. For example, in 2025, the United States passed the One Big Beautiful Bill Act (the “OBBBA”) which may reduce Medicaid funding, result in decreased Medicaid reimbursements and negatively impact Customers who purchase our products and services.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Product and Service Related Regulations and Claims</w:t>
      </w:r>
    </w:p>
    <w:p>
      <w:pPr>
        <w:spacing w:after="0" w:line="128"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9"/>
          <w:szCs w:val="19"/>
          <w:b w:val="1"/>
          <w:bCs w:val="1"/>
          <w:i w:val="1"/>
          <w:iCs w:val="1"/>
          <w:color w:val="231F20"/>
        </w:rPr>
        <w:t>We are subject to extensive regulatory requirements and must receive and maintain regulatory clearance or approval for many products and operations. Failure to receive or maintain, or delays in receiving, clearance or approvals may negatively impact our revenues, profitability, financial condition, or value.</w:t>
      </w:r>
    </w:p>
    <w:p>
      <w:pPr>
        <w:spacing w:after="0" w:line="68" w:lineRule="exact"/>
        <w:rPr>
          <w:sz w:val="20"/>
          <w:szCs w:val="20"/>
          <w:color w:val="auto"/>
        </w:rPr>
      </w:pPr>
    </w:p>
    <w:p>
      <w:pPr>
        <w:ind w:firstLine="349"/>
        <w:spacing w:after="0" w:line="265" w:lineRule="auto"/>
        <w:rPr>
          <w:sz w:val="20"/>
          <w:szCs w:val="20"/>
          <w:color w:val="auto"/>
        </w:rPr>
      </w:pPr>
      <w:r>
        <w:rPr>
          <w:rFonts w:ascii="Times New Roman" w:cs="Times New Roman" w:eastAsia="Times New Roman" w:hAnsi="Times New Roman"/>
          <w:sz w:val="19"/>
          <w:szCs w:val="19"/>
          <w:color w:val="231F20"/>
        </w:rPr>
        <w:t>Our operations are subject to extensive regulation in the countries where we do business. In the U.S., our products and services are regulated by the FDA and other regulatory authorities. In many foreign countries, sales of our products and services are subject to extensive regulations that may or may not be comparable to those of the FDA. In Europe, our products are regulated primarily by country and community regulations of those countries within the European Economic Area and must conform to the requirements of those authorities.</w:t>
      </w:r>
    </w:p>
    <w:p>
      <w:pPr>
        <w:sectPr>
          <w:pgSz w:w="11880" w:h="15480" w:orient="portrait"/>
          <w:cols w:equalWidth="0" w:num="1">
            <w:col w:w="9960"/>
          </w:cols>
          <w:pgMar w:left="960" w:top="82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14</w:t>
      </w:r>
    </w:p>
    <w:p>
      <w:pPr>
        <w:sectPr>
          <w:pgSz w:w="11880" w:h="15480" w:orient="portrait"/>
          <w:cols w:equalWidth="0" w:num="1">
            <w:col w:w="9960"/>
          </w:cols>
          <w:pgMar w:left="960" w:top="825" w:right="960" w:bottom="0" w:gutter="0" w:footer="0" w:header="0"/>
          <w:type w:val="continuous"/>
        </w:sectPr>
      </w:pPr>
    </w:p>
    <w:bookmarkStart w:id="15" w:name="page16"/>
    <w:bookmarkEnd w:id="15"/>
    <w:p>
      <w:pPr>
        <w:ind w:right="80" w:firstLine="349"/>
        <w:spacing w:after="0" w:line="260" w:lineRule="auto"/>
        <w:rPr>
          <w:sz w:val="20"/>
          <w:szCs w:val="20"/>
          <w:color w:val="auto"/>
        </w:rPr>
      </w:pPr>
      <w:r>
        <w:rPr>
          <w:rFonts w:ascii="Times New Roman" w:cs="Times New Roman" w:eastAsia="Times New Roman" w:hAnsi="Times New Roman"/>
          <w:sz w:val="19"/>
          <w:szCs w:val="19"/>
          <w:color w:val="231F20"/>
        </w:rPr>
        <w:t>Government regulation applies to nearly all aspects of testing, manufacturing, safety, labeling, storing, recordkeeping, reporting, promoting, distributing, and importing or exporting of medical devices, products, and services. In general, unless an exemption applies, a sterilization, decontamination or medical device or product or service must receive regulatory approval or clearance before it can be marketed or sold. Modifications to existing products or the marketing of new uses for existing products also may require regulatory approvals, approval supplements or clearances. If there are delays in and/or we are unable to obtain any required approvals, approval supplements or clearances for any modification to a previously cleared or approved device, we may be required to cease manufacturing and sale, or recall or restrict the use of such modified device, pay fines, or take other action until such time as appropriate clearance or approval is obtained. Any protraction or de-prioritization or delay in regulatory review could materially affect our ongoing device design, development, and commercialization plans.</w:t>
      </w:r>
    </w:p>
    <w:p>
      <w:pPr>
        <w:spacing w:after="0" w:line="82" w:lineRule="exact"/>
        <w:rPr>
          <w:sz w:val="20"/>
          <w:szCs w:val="20"/>
          <w:color w:val="auto"/>
        </w:rPr>
      </w:pPr>
    </w:p>
    <w:p>
      <w:pPr>
        <w:ind w:right="20" w:firstLine="349"/>
        <w:spacing w:after="0" w:line="260" w:lineRule="auto"/>
        <w:rPr>
          <w:sz w:val="20"/>
          <w:szCs w:val="20"/>
          <w:color w:val="auto"/>
        </w:rPr>
      </w:pPr>
      <w:r>
        <w:rPr>
          <w:rFonts w:ascii="Times New Roman" w:cs="Times New Roman" w:eastAsia="Times New Roman" w:hAnsi="Times New Roman"/>
          <w:sz w:val="19"/>
          <w:szCs w:val="19"/>
          <w:color w:val="231F20"/>
        </w:rPr>
        <w:t>Regulatory agencies may refuse to grant approval or clearance, or review and disagree with our interpretation of approvals or clearances, or with our decision that regulatory approval is not required or has been maintained. Regulatory submissions may require the provision of additional data and may be time consuming and costly, and their outcome is uncertain. Regulatory agencies may also change policies and procedures, change or reduce staff, adopt additional regulations, or revise existing regulations, each of which could prevent or delay approval or clearance of devices, or could impact our ability to market a previously cleared, approved, or unregulated device. Our failure to comply with the regulatory requirements of the FDA or other applicable regulatory requirements in the U.S. or elsewhere might subject us to administratively or judicially imposed sanctions. These sanctions include, among others, warning letters, fines, civil penalties, criminal penalties, loss of tax benefits, injunctions, product seizure, recalls, suspensions or restrictions, re-labeling, detention, and/or debarment.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Our products are subject to recalls and restrictions, even after receiving U.S. or foreign regulatory clearance or approval.</w:t>
      </w:r>
    </w:p>
    <w:p>
      <w:pPr>
        <w:spacing w:after="0" w:line="138" w:lineRule="exact"/>
        <w:rPr>
          <w:sz w:val="20"/>
          <w:szCs w:val="20"/>
          <w:color w:val="auto"/>
        </w:rPr>
      </w:pPr>
    </w:p>
    <w:p>
      <w:pPr>
        <w:ind w:firstLine="349"/>
        <w:spacing w:after="0" w:line="262" w:lineRule="auto"/>
        <w:rPr>
          <w:sz w:val="20"/>
          <w:szCs w:val="20"/>
          <w:color w:val="auto"/>
        </w:rPr>
      </w:pPr>
      <w:r>
        <w:rPr>
          <w:rFonts w:ascii="Times New Roman" w:cs="Times New Roman" w:eastAsia="Times New Roman" w:hAnsi="Times New Roman"/>
          <w:sz w:val="19"/>
          <w:szCs w:val="19"/>
          <w:color w:val="231F20"/>
        </w:rPr>
        <w:t>Ongoing medical device reporting regulations require that we report to appropriate governmental authorities in the U.S. and/or other countries when our products cause or contribute to a death or serious injury or malfunction in a way that would be reasonably likely to contribute to a death or serious injury if the malfunction were to reoccur. Governmental authorities can require product recalls or impose restrictions for product design, manufacturing, labeling, clearance, or other issues. For the same reasons, we may voluntarily elect to recall or restrict the use of a product. Any recall or restriction could divert managerial and financial resources and might harm our reputation among our Customers and other healthcare professionals who use or recommend our products and services.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We may be adversely affected by product liability claims or other legal actions or regulatory or compliance matters</w:t>
      </w:r>
      <w:r>
        <w:rPr>
          <w:rFonts w:ascii="Times New Roman" w:cs="Times New Roman" w:eastAsia="Times New Roman" w:hAnsi="Times New Roman"/>
          <w:sz w:val="19"/>
          <w:szCs w:val="19"/>
          <w:color w:val="231F20"/>
        </w:rPr>
        <w:t>.</w:t>
      </w:r>
    </w:p>
    <w:p>
      <w:pPr>
        <w:spacing w:after="0" w:line="135" w:lineRule="exact"/>
        <w:rPr>
          <w:sz w:val="20"/>
          <w:szCs w:val="20"/>
          <w:color w:val="auto"/>
        </w:rPr>
      </w:pPr>
    </w:p>
    <w:p>
      <w:pPr>
        <w:ind w:right="60" w:firstLine="349"/>
        <w:spacing w:after="0" w:line="266" w:lineRule="auto"/>
        <w:rPr>
          <w:sz w:val="20"/>
          <w:szCs w:val="20"/>
          <w:color w:val="auto"/>
        </w:rPr>
      </w:pPr>
      <w:r>
        <w:rPr>
          <w:rFonts w:ascii="Times New Roman" w:cs="Times New Roman" w:eastAsia="Times New Roman" w:hAnsi="Times New Roman"/>
          <w:sz w:val="19"/>
          <w:szCs w:val="19"/>
          <w:color w:val="231F20"/>
        </w:rPr>
        <w:t>We face an inherent business risk of exposure to product liability claims and other legal and regulatory actions. A significant increase in the number, severity, amount, or scope of these claims and actions may, as described above with respect to recalls and restrictions, result in substantial costs and harm our reputation or otherwise adversely affect product sales and our business. Product liability claims and other legal and regulatory actions may also distract management from other business responsibilities.</w:t>
      </w:r>
    </w:p>
    <w:p>
      <w:pPr>
        <w:spacing w:after="0" w:line="312" w:lineRule="exact"/>
        <w:rPr>
          <w:sz w:val="20"/>
          <w:szCs w:val="20"/>
          <w:color w:val="auto"/>
        </w:rPr>
      </w:pPr>
    </w:p>
    <w:p>
      <w:pPr>
        <w:ind w:right="40" w:firstLine="349"/>
        <w:spacing w:after="0" w:line="262" w:lineRule="auto"/>
        <w:rPr>
          <w:sz w:val="20"/>
          <w:szCs w:val="20"/>
          <w:color w:val="auto"/>
        </w:rPr>
      </w:pPr>
      <w:r>
        <w:rPr>
          <w:rFonts w:ascii="Times New Roman" w:cs="Times New Roman" w:eastAsia="Times New Roman" w:hAnsi="Times New Roman"/>
          <w:sz w:val="19"/>
          <w:szCs w:val="19"/>
          <w:color w:val="231F20"/>
        </w:rPr>
        <w:t>We are also subject to a variety of other types of claims, proceedings, investigations, and litigation initiated by government agencies or third parties and other potential risks and liabilities. These include compliance matters, product regulation or safety, taxes, employee benefit plans, employment discrimination, health and safety, environmental, antitrust, customs, import/export, government contract compliance, financial controls or reporting, intellectual property, allegations of misrepresentation, false claims or false statements, commercial claims, claims regarding promotion of our products and services, or other similar or different matters. Any such claims, proceedings, investigations or litigation, regardless of the merits, might result in substantial costs, restrictions on product use or sales, or otherwise negatively impact our business.</w:t>
      </w:r>
    </w:p>
    <w:p>
      <w:pPr>
        <w:spacing w:after="0" w:line="77" w:lineRule="exact"/>
        <w:rPr>
          <w:sz w:val="20"/>
          <w:szCs w:val="20"/>
          <w:color w:val="auto"/>
        </w:rPr>
      </w:pPr>
    </w:p>
    <w:p>
      <w:pPr>
        <w:ind w:right="40" w:firstLine="349"/>
        <w:spacing w:after="0" w:line="259" w:lineRule="auto"/>
        <w:rPr>
          <w:sz w:val="20"/>
          <w:szCs w:val="20"/>
          <w:color w:val="auto"/>
        </w:rPr>
      </w:pPr>
      <w:r>
        <w:rPr>
          <w:rFonts w:ascii="Times New Roman" w:cs="Times New Roman" w:eastAsia="Times New Roman" w:hAnsi="Times New Roman"/>
          <w:sz w:val="19"/>
          <w:szCs w:val="19"/>
          <w:color w:val="231F20"/>
        </w:rPr>
        <w:t>Administratively or judicially imposed or agreed sanctions might include warning letters, fines, civil penalties, criminal penalties, loss of tax benefits, injunctions, product seizure, recalls, suspensions or restrictions, re-labeling, detention, and/or debarment. We also might be required to take actions such as payment of substantial amounts, or revision of financial statements, or to take, or be subject to, the following types of actions with respect to our products, services, or business: redesign, re-label, restrict, or recall products; cease manufacturing and selling products; seizure of product inventory; comply with a court injunction restricting or prohibiting further marketing and sale of products or services; comply with a consent decree, which could result in further regulatory constraints; dedication of significant internal and external resources and costs to respond to and comply with legal and regulatory issues and constraints; respond to claims, litigation, and other proceedings brought by Customers, users, governmental agencies, and others; disruption of product improvements and product launches; discontinuation of certain product lines or services; or other restrictions or limitations on product sales, use or operation, or other activities or business practices.</w:t>
      </w:r>
    </w:p>
    <w:p>
      <w:pPr>
        <w:spacing w:after="0" w:line="320" w:lineRule="exact"/>
        <w:rPr>
          <w:sz w:val="20"/>
          <w:szCs w:val="20"/>
          <w:color w:val="auto"/>
        </w:rPr>
      </w:pPr>
    </w:p>
    <w:p>
      <w:pPr>
        <w:ind w:right="340" w:firstLine="349"/>
        <w:spacing w:after="0" w:line="293" w:lineRule="auto"/>
        <w:rPr>
          <w:sz w:val="20"/>
          <w:szCs w:val="20"/>
          <w:color w:val="auto"/>
        </w:rPr>
      </w:pPr>
      <w:r>
        <w:rPr>
          <w:rFonts w:ascii="Times New Roman" w:cs="Times New Roman" w:eastAsia="Times New Roman" w:hAnsi="Times New Roman"/>
          <w:sz w:val="19"/>
          <w:szCs w:val="19"/>
          <w:color w:val="231F20"/>
        </w:rPr>
        <w:t>Some product replacements or substitutions may not be possible or may be prohibitively costly or time consuming. The impact of any legal, regulatory, or compliance claims, proceeding, investigation, or litigation, is difficult to predict.</w:t>
      </w:r>
    </w:p>
    <w:p>
      <w:pPr>
        <w:sectPr>
          <w:pgSz w:w="11880" w:h="15480" w:orient="portrait"/>
          <w:cols w:equalWidth="0" w:num="1">
            <w:col w:w="9960"/>
          </w:cols>
          <w:pgMar w:left="960" w:top="82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15</w:t>
      </w:r>
    </w:p>
    <w:p>
      <w:pPr>
        <w:sectPr>
          <w:pgSz w:w="11880" w:h="15480" w:orient="portrait"/>
          <w:cols w:equalWidth="0" w:num="1">
            <w:col w:w="9960"/>
          </w:cols>
          <w:pgMar w:left="960" w:top="825" w:right="960" w:bottom="0" w:gutter="0" w:footer="0" w:header="0"/>
          <w:type w:val="continuous"/>
        </w:sectPr>
      </w:pPr>
    </w:p>
    <w:bookmarkStart w:id="16" w:name="page17"/>
    <w:bookmarkEnd w:id="16"/>
    <w:p>
      <w:pPr>
        <w:ind w:right="120" w:firstLine="349"/>
        <w:spacing w:after="0" w:line="268" w:lineRule="auto"/>
        <w:rPr>
          <w:sz w:val="20"/>
          <w:szCs w:val="20"/>
          <w:color w:val="auto"/>
        </w:rPr>
      </w:pPr>
      <w:r>
        <w:rPr>
          <w:rFonts w:ascii="Times New Roman" w:cs="Times New Roman" w:eastAsia="Times New Roman" w:hAnsi="Times New Roman"/>
          <w:sz w:val="19"/>
          <w:szCs w:val="19"/>
          <w:color w:val="231F20"/>
        </w:rPr>
        <w:t>We maintain product liability and other insurance with coverages believed to be adequate. However, product liability or other claims may exceed insurance coverage limits, fines, penalties and regulatory sanctions may not be covered by insurance, or insurance may not continue to be available or available on commercially reasonable terms. Additionally, our insurers might deny claim coverage for valid or other reasons or may become insolvent.</w:t>
      </w:r>
    </w:p>
    <w:p>
      <w:pPr>
        <w:spacing w:after="0" w:line="65" w:lineRule="exact"/>
        <w:rPr>
          <w:sz w:val="20"/>
          <w:szCs w:val="20"/>
          <w:color w:val="auto"/>
        </w:rPr>
      </w:pPr>
    </w:p>
    <w:p>
      <w:pPr>
        <w:ind w:right="260"/>
        <w:spacing w:after="0" w:line="297" w:lineRule="auto"/>
        <w:rPr>
          <w:sz w:val="20"/>
          <w:szCs w:val="20"/>
          <w:color w:val="auto"/>
        </w:rPr>
      </w:pPr>
      <w:r>
        <w:rPr>
          <w:rFonts w:ascii="Times New Roman" w:cs="Times New Roman" w:eastAsia="Times New Roman" w:hAnsi="Times New Roman"/>
          <w:sz w:val="19"/>
          <w:szCs w:val="19"/>
          <w:b w:val="1"/>
          <w:bCs w:val="1"/>
          <w:i w:val="1"/>
          <w:iCs w:val="1"/>
          <w:color w:val="231F20"/>
        </w:rPr>
        <w:t>Our business and financial condition could be adversely affected by difficulties in acquiring or maintaining a proprietary intellectual ownership position.</w:t>
      </w:r>
    </w:p>
    <w:p>
      <w:pPr>
        <w:spacing w:after="0" w:line="48" w:lineRule="exact"/>
        <w:rPr>
          <w:sz w:val="20"/>
          <w:szCs w:val="20"/>
          <w:color w:val="auto"/>
        </w:rPr>
      </w:pPr>
    </w:p>
    <w:p>
      <w:pPr>
        <w:ind w:right="60" w:firstLine="349"/>
        <w:spacing w:after="0" w:line="268" w:lineRule="auto"/>
        <w:rPr>
          <w:sz w:val="20"/>
          <w:szCs w:val="20"/>
          <w:color w:val="auto"/>
        </w:rPr>
      </w:pPr>
      <w:r>
        <w:rPr>
          <w:rFonts w:ascii="Times New Roman" w:cs="Times New Roman" w:eastAsia="Times New Roman" w:hAnsi="Times New Roman"/>
          <w:sz w:val="19"/>
          <w:szCs w:val="19"/>
          <w:color w:val="231F20"/>
        </w:rPr>
        <w:t>To maintain our competitive position for our products, we need to obtain patent or other proprietary rights for new and improved products and to maintain and enforce our existing patents and other proprietary rights. We typically apply for patents in the U.S. and in strategic other countries. We may also acquire patents through acquisitions. We may encounter difficulties in obtaining or protecting patents.</w:t>
      </w:r>
    </w:p>
    <w:p>
      <w:pPr>
        <w:spacing w:after="0" w:line="72" w:lineRule="exact"/>
        <w:rPr>
          <w:sz w:val="20"/>
          <w:szCs w:val="20"/>
          <w:color w:val="auto"/>
        </w:rPr>
      </w:pPr>
    </w:p>
    <w:p>
      <w:pPr>
        <w:ind w:right="100" w:firstLine="349"/>
        <w:spacing w:after="0" w:line="262" w:lineRule="auto"/>
        <w:rPr>
          <w:sz w:val="20"/>
          <w:szCs w:val="20"/>
          <w:color w:val="auto"/>
        </w:rPr>
      </w:pPr>
      <w:r>
        <w:rPr>
          <w:rFonts w:ascii="Times New Roman" w:cs="Times New Roman" w:eastAsia="Times New Roman" w:hAnsi="Times New Roman"/>
          <w:sz w:val="19"/>
          <w:szCs w:val="19"/>
          <w:color w:val="231F20"/>
        </w:rPr>
        <w:t>We rely on a combination of patents, trademarks, trade secrets, know-how, and confidentiality agreements to protect the proprietary aspects of our technology. These measures afford only limited protection, and competitors may gain access to our intellectual property and proprietary information. Litigation may be necessary to enforce or defend our intellectual property rights, to protect our trade secrets, and to determine the validity and scope of our proprietary rights. Litigation may also be brought against us claiming that we have violated the intellectual property rights of others. Litigation may be costly and may divert management’s attention from other matters. Additionally, in some foreign countries with weaker intellectual property rights, it may be difficult to maintain and enforce patents and other proprietary rights or defend against claims of infringement.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Tax Risks</w:t>
      </w:r>
    </w:p>
    <w:p>
      <w:pPr>
        <w:spacing w:after="0" w:line="157"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9"/>
          <w:szCs w:val="19"/>
          <w:b w:val="1"/>
          <w:bCs w:val="1"/>
          <w:i w:val="1"/>
          <w:iCs w:val="1"/>
          <w:color w:val="231F20"/>
        </w:rPr>
        <w:t>We may be adversely impacted by changes in tax laws or challenges to our tax positions, and our effective tax rate is uncertain and may vary from expectations, which could have a material impact on our results of operations and earnings per share.</w:t>
      </w:r>
    </w:p>
    <w:p>
      <w:pPr>
        <w:spacing w:after="0" w:line="56" w:lineRule="exact"/>
        <w:rPr>
          <w:sz w:val="20"/>
          <w:szCs w:val="20"/>
          <w:color w:val="auto"/>
        </w:rPr>
      </w:pPr>
    </w:p>
    <w:p>
      <w:pPr>
        <w:ind w:right="20" w:firstLine="349"/>
        <w:spacing w:after="0" w:line="260" w:lineRule="auto"/>
        <w:rPr>
          <w:sz w:val="20"/>
          <w:szCs w:val="20"/>
          <w:color w:val="auto"/>
        </w:rPr>
      </w:pPr>
      <w:r>
        <w:rPr>
          <w:rFonts w:ascii="Times New Roman" w:cs="Times New Roman" w:eastAsia="Times New Roman" w:hAnsi="Times New Roman"/>
          <w:sz w:val="19"/>
          <w:szCs w:val="19"/>
          <w:color w:val="231F20"/>
        </w:rPr>
        <w:t>We are subject to the tax laws at the federal, state or provincial, and local government levels in the many jurisdictions in which we operate or sell our products or services. Tax laws may change in ways that adversely affect our tax positions, effective tax rate and cash flow. These tax laws are extremely complex and subject to varying interpretations, and we are subject to tax examinations in various jurisdictions that may assess additional tax liabilities against us. Our tax reporting positions may be challenged by relevant tax authorities, we may incur significant expense in our efforts to defend those challenges, and we may be unsuccessful in such efforts. Developments in examinations and challenges may materially change our provision for taxes in the affected periods and may differ materially from our historical tax accruals. Any of these risks may have a materially adverse impact on our business operations, our cash flows, our financial position or results of operations and our effective tax rate.</w:t>
      </w:r>
    </w:p>
    <w:p>
      <w:pPr>
        <w:spacing w:after="0" w:line="319"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231F20"/>
        </w:rPr>
        <w:t>In addition, there can be no assurance that we will be able to maintain any particular worldwide effective corporate tax rate. We cannot give any assurance as to what our effective tax rate will be in the future because of, among other things, uncertainty regarding the tax policies of the jurisdictions in which we and our affiliates operate and uncertainty of earnings across geographies. Further, our effective tax rate may increase as a result of withholding taxes incurred in connection with cross-border cash movements to fund operations, investments, and shareholder returns. These transfers may be subject to withholding taxes, and increases in such taxes or changes in applicable tax laws could place upward pressure on our effective tax rate. Our actual effective tax rate may vary from our expectations, and such variance may be material. Additionally, tax laws or their implementation and applicable tax authority practices in any particular jurisdiction could change in the future, possibly on a retroactive basis, and any such change could have a material adverse impact on us and our affiliates. In addition, the GloBE rules, which have been or are expected to be implemented in most of the jurisdictions where we have operations, and the CAMT (both defined and discussed in more detail below) may adversely impact our effective corporate tax rate.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Current economic and political conditions make tax rules in any jurisdiction subject to significant change.</w:t>
      </w:r>
    </w:p>
    <w:p>
      <w:pPr>
        <w:spacing w:after="0" w:line="138" w:lineRule="exact"/>
        <w:rPr>
          <w:sz w:val="20"/>
          <w:szCs w:val="20"/>
          <w:color w:val="auto"/>
        </w:rPr>
      </w:pPr>
    </w:p>
    <w:p>
      <w:pPr>
        <w:ind w:right="60" w:firstLine="349"/>
        <w:spacing w:after="0" w:line="262" w:lineRule="auto"/>
        <w:rPr>
          <w:sz w:val="20"/>
          <w:szCs w:val="20"/>
          <w:color w:val="auto"/>
        </w:rPr>
      </w:pPr>
      <w:r>
        <w:rPr>
          <w:rFonts w:ascii="Times New Roman" w:cs="Times New Roman" w:eastAsia="Times New Roman" w:hAnsi="Times New Roman"/>
          <w:sz w:val="19"/>
          <w:szCs w:val="19"/>
          <w:color w:val="231F20"/>
        </w:rPr>
        <w:t>The One Big Beautiful Bill Act (the “OBBBA”) was signed into law on July 4, 2025. Some limited guidance has been issued clarifying the application of some of the provisions in this legislation, and more guidance is expected to be issued in the near future with respect to a number of income tax provisions in the OBBBA. The law did not have a material impact on our fiscal 2026 consolidated financial statements, and we do not expect it to have a material impact on our effective tax rate in future years. However, we are unable to fully predict the overall impact that the OBBBA and additional guidance may have on our business. Furthermore, some non-U.S. jurisdictions have raised tax rates, and it is reasonable to expect that other global taxing authorities will be reviewing current legislation for potential modifications.</w:t>
      </w:r>
    </w:p>
    <w:p>
      <w:pPr>
        <w:spacing w:after="0" w:line="77" w:lineRule="exact"/>
        <w:rPr>
          <w:sz w:val="20"/>
          <w:szCs w:val="20"/>
          <w:color w:val="auto"/>
        </w:rPr>
      </w:pPr>
    </w:p>
    <w:p>
      <w:pPr>
        <w:ind w:right="60" w:firstLine="349"/>
        <w:spacing w:after="0" w:line="268" w:lineRule="auto"/>
        <w:rPr>
          <w:sz w:val="20"/>
          <w:szCs w:val="20"/>
          <w:color w:val="auto"/>
        </w:rPr>
      </w:pPr>
      <w:r>
        <w:rPr>
          <w:rFonts w:ascii="Times New Roman" w:cs="Times New Roman" w:eastAsia="Times New Roman" w:hAnsi="Times New Roman"/>
          <w:sz w:val="19"/>
          <w:szCs w:val="19"/>
          <w:color w:val="231F20"/>
        </w:rPr>
        <w:t>In August 2022, the Inflation Reduction Act (the “IRA”) was signed into law. One of the provisions in the IRA added a corporate alternative minimum tax (“CAMT”) to the U.S. Internal Revenue Code of 1986, as amended (the “Code”), beginning for fiscal years 2023. Although we do not expect to be subject to the CAMT regime for fiscal years through 2026, we continue to monitor our status under the CAMT rules. If in the future we become subject to CAMT, and if our regular income tax</w:t>
      </w:r>
    </w:p>
    <w:p>
      <w:pPr>
        <w:sectPr>
          <w:pgSz w:w="11880" w:h="15480" w:orient="portrait"/>
          <w:cols w:equalWidth="0" w:num="1">
            <w:col w:w="9940"/>
          </w:cols>
          <w:pgMar w:left="960" w:top="825" w:right="980" w:bottom="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16</w:t>
      </w:r>
    </w:p>
    <w:p>
      <w:pPr>
        <w:sectPr>
          <w:pgSz w:w="11880" w:h="15480" w:orient="portrait"/>
          <w:cols w:equalWidth="0" w:num="1">
            <w:col w:w="9940"/>
          </w:cols>
          <w:pgMar w:left="960" w:top="825" w:right="980" w:bottom="0" w:gutter="0" w:footer="0" w:header="0"/>
          <w:type w:val="continuous"/>
        </w:sectPr>
      </w:pPr>
    </w:p>
    <w:bookmarkStart w:id="17" w:name="page18"/>
    <w:bookmarkEnd w:id="17"/>
    <w:p>
      <w:pPr>
        <w:ind w:right="800"/>
        <w:spacing w:after="0" w:line="293" w:lineRule="auto"/>
        <w:rPr>
          <w:sz w:val="20"/>
          <w:szCs w:val="20"/>
          <w:color w:val="auto"/>
        </w:rPr>
      </w:pPr>
      <w:r>
        <w:rPr>
          <w:rFonts w:ascii="Times New Roman" w:cs="Times New Roman" w:eastAsia="Times New Roman" w:hAnsi="Times New Roman"/>
          <w:sz w:val="19"/>
          <w:szCs w:val="19"/>
          <w:color w:val="231F20"/>
        </w:rPr>
        <w:t>liability in the U.S. is lower than the income tax liability calculated under the CAMT provisions, we will be subject to additional income taxes in the U.S.</w:t>
      </w:r>
    </w:p>
    <w:p>
      <w:pPr>
        <w:spacing w:after="0" w:line="49" w:lineRule="exact"/>
        <w:rPr>
          <w:sz w:val="20"/>
          <w:szCs w:val="20"/>
          <w:color w:val="auto"/>
        </w:rPr>
      </w:pPr>
    </w:p>
    <w:p>
      <w:pPr>
        <w:ind w:firstLine="349"/>
        <w:spacing w:after="0" w:line="257" w:lineRule="auto"/>
        <w:rPr>
          <w:sz w:val="20"/>
          <w:szCs w:val="20"/>
          <w:color w:val="auto"/>
        </w:rPr>
      </w:pPr>
      <w:r>
        <w:rPr>
          <w:rFonts w:ascii="Times New Roman" w:cs="Times New Roman" w:eastAsia="Times New Roman" w:hAnsi="Times New Roman"/>
          <w:sz w:val="19"/>
          <w:szCs w:val="19"/>
          <w:color w:val="231F20"/>
        </w:rPr>
        <w:t>In addition, further changes in the tax laws of other jurisdictions will likely arise, including as a result of the base erosion and profit shifting ("BEPS") project undertaken by the Organization for Economic Cooperation and Development ("OECD"). The OECD, which represents a coalition of member countries, has issued recommendations that, in some cases, would make substantial changes to numerous long-standing tax positions and principles. Following the issuance of such recommendation, in December 2022, the European Union issued a directive to adopt Global Base Erosion laws ("GloBE" or "Pillar Two") in the EU member countries, in most cases beginning in fiscal year 2024. Most EU member countries and many non-EU member countries have already adopted local legislation based on GloBE Model Rules. Some of the countries that have not yet adopted GloBE are expected to do so in the near future. In addition, the GloBE rules have certain transition period provisions that apply to certain intercompany transactions occurring between December 1, 2021 and the effective date of the GloBE rules in a given jurisdiction. These transition period provisions may have an adverse impact on our effective tax rate, and subject us to additional income tax, in some of the jurisdictions that adopt the GloBE rules. OECD continues to issue guidance under GloBE which could result in amendments and modifications of the local GloBE rules and further uncertainty of GloBE’s impact on our income tax expense. In the most recent guidance, issued in January of 2026, OECD modified, among other things, certain rules relating to the one-year extension of the transitional country-by-country reporting safe harbor and the addition of both a permanent simplified effective tax rate safe harbor and a substance-based tax incentive safe harbor. This guidance also introduced a so-called “side-by-side” safe harbor pursuant to which multinational groups with an ultimate parent entity (or a "UPE") located in a qualifying jurisdiction are effectively exempt from certain GloBE taxes. At this time, only the United States is included on the list of qualifying jurisdictions allowing U.S.-parented multinational companies to avoid such GloBE taxes. While we have substantial presence in the U.S., we do not anticipate to benefit from the side-by-side safe harbor at this time, because we are a multinational enterprise with a UPE organized in Ireland. As a result, the GloBE rules could subject us to additional income taxes in the jurisdictions that adopted GloBE if our effective corporate tax rate in those jurisdictions (determined under the GloBE rules) is below 15%. Accordingly, the GloBE rules could increase tax uncertainty and adversely impact our provision for income taxes.</w:t>
      </w:r>
    </w:p>
    <w:p>
      <w:pPr>
        <w:spacing w:after="0" w:line="318" w:lineRule="exact"/>
        <w:rPr>
          <w:sz w:val="20"/>
          <w:szCs w:val="20"/>
          <w:color w:val="auto"/>
        </w:rPr>
      </w:pPr>
    </w:p>
    <w:p>
      <w:pPr>
        <w:ind w:right="520"/>
        <w:spacing w:after="0" w:line="298" w:lineRule="auto"/>
        <w:rPr>
          <w:sz w:val="20"/>
          <w:szCs w:val="20"/>
          <w:color w:val="auto"/>
        </w:rPr>
      </w:pPr>
      <w:r>
        <w:rPr>
          <w:rFonts w:ascii="Times New Roman" w:cs="Times New Roman" w:eastAsia="Times New Roman" w:hAnsi="Times New Roman"/>
          <w:sz w:val="19"/>
          <w:szCs w:val="19"/>
          <w:b w:val="1"/>
          <w:bCs w:val="1"/>
          <w:i w:val="1"/>
          <w:iCs w:val="1"/>
          <w:color w:val="231F20"/>
        </w:rPr>
        <w:t>Changes in tax treaties and trade agreements could negatively impact our costs, results of operations and earnings per share.</w:t>
      </w:r>
    </w:p>
    <w:p>
      <w:pPr>
        <w:spacing w:after="0" w:line="47" w:lineRule="exact"/>
        <w:rPr>
          <w:sz w:val="20"/>
          <w:szCs w:val="20"/>
          <w:color w:val="auto"/>
        </w:rPr>
      </w:pPr>
    </w:p>
    <w:p>
      <w:pPr>
        <w:ind w:right="60" w:firstLine="349"/>
        <w:spacing w:after="0" w:line="259" w:lineRule="auto"/>
        <w:rPr>
          <w:sz w:val="20"/>
          <w:szCs w:val="20"/>
          <w:color w:val="auto"/>
        </w:rPr>
      </w:pPr>
      <w:r>
        <w:rPr>
          <w:rFonts w:ascii="Times New Roman" w:cs="Times New Roman" w:eastAsia="Times New Roman" w:hAnsi="Times New Roman"/>
          <w:sz w:val="19"/>
          <w:szCs w:val="19"/>
          <w:color w:val="231F20"/>
        </w:rPr>
        <w:t>Legislative and regulatory action may be taken in the U.S. which, if ultimately adopted, could override or otherwise adversely impact tax treaties upon which we rely or broaden the circumstances under which STERIS plc would be considered a U.S. resident, each of which could materially and adversely affect our tax obligations. We cannot predict the outcome of any specific legislative or regulatory proposals. However, if proposals are adopted that have the effect of disregarding our organization in Ireland or limiting our ability as an Irish company to take advantage of tax treaties with the U.S., we could be subject to increased taxation and/or potentially significant expense. Further, our organization under the laws of Ireland could be challenged by the IRS. Should the IRS assert that we should be treated as a U.S. corporation for U.S. federal tax purposes, we could be subject to substantial additional U.S. tax liability and non-U.S. holders of our ordinary shares would be subject to U.S. withholding tax on the gross amount of any dividends we paid to such shareholders. For Irish tax purposes, we are expected, regardless of our U.S. tax resident status, to be treated as an Irish tax resident. Consequently, if we are treated as a U.S. corporation for U.S. federal tax purposes, we could be liable for both U.S. and Ireland taxes, which could have a material adverse effect on our financial condition and results of operations.</w:t>
      </w:r>
    </w:p>
    <w:p>
      <w:pPr>
        <w:spacing w:after="0" w:line="81" w:lineRule="exact"/>
        <w:rPr>
          <w:sz w:val="20"/>
          <w:szCs w:val="20"/>
          <w:color w:val="auto"/>
        </w:rPr>
      </w:pPr>
    </w:p>
    <w:p>
      <w:pPr>
        <w:ind w:right="40" w:firstLine="349"/>
        <w:spacing w:after="0" w:line="260" w:lineRule="auto"/>
        <w:rPr>
          <w:sz w:val="20"/>
          <w:szCs w:val="20"/>
          <w:color w:val="auto"/>
        </w:rPr>
      </w:pPr>
      <w:r>
        <w:rPr>
          <w:rFonts w:ascii="Times New Roman" w:cs="Times New Roman" w:eastAsia="Times New Roman" w:hAnsi="Times New Roman"/>
          <w:sz w:val="19"/>
          <w:szCs w:val="19"/>
          <w:color w:val="231F20"/>
        </w:rPr>
        <w:t>On June 7, 2017, several countries, including many countries in which we operate and have subsidiaries, adopted the OECD’s Multilateral Convention to Implement Tax Treaty Related Measures to Prevent Base Erosion and Profit Shifting (the "MLI"), which generally is meant to prevent treaty abuse, improve dispute resolution, prevent the artificial avoidance of permanent establishment status and neutralize the effect of hybrid mismatch agreements. The MLI came into effect on July 1, 2018. The MLI may modify effected tax treaties making it more difficult for us to obtain advantageous tax-treaty benefits. The number of affected tax treaties could eventually be significant. To date, more than 100 jurisdictions have joined the BEPS MLI, out of which most jurisdictions have ratified, accepted, or approved the MLI, and it covers almost 2,000 bilateral tax treaties worldwide. Signatories include jurisdictions from all continents and all levels of development and other jurisdictions are also actively working towards signature. As a result, our income may be taxed in jurisdictions where it is not currently taxed and at higher rates than it is currently taxed, all of which may increase our effective tax rate.</w:t>
      </w:r>
    </w:p>
    <w:p>
      <w:pPr>
        <w:spacing w:after="0" w:line="78" w:lineRule="exact"/>
        <w:rPr>
          <w:sz w:val="20"/>
          <w:szCs w:val="20"/>
          <w:color w:val="auto"/>
        </w:rPr>
      </w:pPr>
    </w:p>
    <w:p>
      <w:pPr>
        <w:jc w:val="both"/>
        <w:ind w:right="320" w:firstLine="349"/>
        <w:spacing w:after="0" w:line="268" w:lineRule="auto"/>
        <w:rPr>
          <w:sz w:val="20"/>
          <w:szCs w:val="20"/>
          <w:color w:val="auto"/>
        </w:rPr>
      </w:pPr>
      <w:r>
        <w:rPr>
          <w:rFonts w:ascii="Times New Roman" w:cs="Times New Roman" w:eastAsia="Times New Roman" w:hAnsi="Times New Roman"/>
          <w:sz w:val="19"/>
          <w:szCs w:val="19"/>
          <w:color w:val="231F20"/>
        </w:rPr>
        <w:t>Existing free trade laws and regulations provide certain beneficial duties and tariffs for qualifying imports and exports, subject to compliance with the applicable classification and other requirements. Changes in laws and regulations or policies governing the terms of foreign trade, and in particular, increased trade restrictions, tariffs or taxes on imports from countries where we manufacture products could have a material adverse impact on our business and financial results.</w:t>
      </w:r>
    </w:p>
    <w:p>
      <w:pPr>
        <w:sectPr>
          <w:pgSz w:w="11880" w:h="15480" w:orient="portrait"/>
          <w:cols w:equalWidth="0" w:num="1">
            <w:col w:w="9960"/>
          </w:cols>
          <w:pgMar w:left="960" w:top="82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17</w:t>
      </w:r>
    </w:p>
    <w:p>
      <w:pPr>
        <w:sectPr>
          <w:pgSz w:w="11880" w:h="15480" w:orient="portrait"/>
          <w:cols w:equalWidth="0" w:num="1">
            <w:col w:w="9960"/>
          </w:cols>
          <w:pgMar w:left="960" w:top="825" w:right="960" w:bottom="0" w:gutter="0" w:footer="0" w:header="0"/>
          <w:type w:val="continuous"/>
        </w:sectPr>
      </w:pPr>
    </w:p>
    <w:bookmarkStart w:id="18" w:name="page19"/>
    <w:bookmarkEnd w:id="18"/>
    <w:p>
      <w:pPr>
        <w:ind w:right="220"/>
        <w:spacing w:after="0" w:line="297" w:lineRule="auto"/>
        <w:rPr>
          <w:sz w:val="20"/>
          <w:szCs w:val="20"/>
          <w:color w:val="auto"/>
        </w:rPr>
      </w:pPr>
      <w:r>
        <w:rPr>
          <w:rFonts w:ascii="Times New Roman" w:cs="Times New Roman" w:eastAsia="Times New Roman" w:hAnsi="Times New Roman"/>
          <w:sz w:val="19"/>
          <w:szCs w:val="19"/>
          <w:b w:val="1"/>
          <w:bCs w:val="1"/>
          <w:i w:val="1"/>
          <w:iCs w:val="1"/>
          <w:color w:val="231F20"/>
        </w:rPr>
        <w:t>Legislation relating to the denial of U.S. federal or state governmental contracts to U.S. companies that redomicile abroad could adversely affect our business.</w:t>
      </w:r>
    </w:p>
    <w:p>
      <w:pPr>
        <w:spacing w:after="0" w:line="48" w:lineRule="exact"/>
        <w:rPr>
          <w:sz w:val="20"/>
          <w:szCs w:val="20"/>
          <w:color w:val="auto"/>
        </w:rPr>
      </w:pPr>
    </w:p>
    <w:p>
      <w:pPr>
        <w:ind w:firstLine="349"/>
        <w:spacing w:after="0" w:line="268" w:lineRule="auto"/>
        <w:rPr>
          <w:sz w:val="20"/>
          <w:szCs w:val="20"/>
          <w:color w:val="auto"/>
        </w:rPr>
      </w:pPr>
      <w:r>
        <w:rPr>
          <w:rFonts w:ascii="Times New Roman" w:cs="Times New Roman" w:eastAsia="Times New Roman" w:hAnsi="Times New Roman"/>
          <w:sz w:val="19"/>
          <w:szCs w:val="19"/>
          <w:color w:val="231F20"/>
        </w:rPr>
        <w:t>Various U.S. federal and state legislative proposals that would deny governmental contracts to redomiciled companies may, and future proposals could, adversely affect us if adopted into law. We are unable to predict the likelihood that any such proposed legislation might become law, the nature of regulations that may be promulgated under any future legislative enactments, or the effect such enactments or increased regulatory scrutiny could have on our business.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BUSINESS AND OPERATIONAL RISKS</w:t>
      </w:r>
    </w:p>
    <w:p>
      <w:pPr>
        <w:spacing w:after="0" w:line="131" w:lineRule="exact"/>
        <w:rPr>
          <w:sz w:val="20"/>
          <w:szCs w:val="20"/>
          <w:color w:val="auto"/>
        </w:rPr>
      </w:pPr>
    </w:p>
    <w:p>
      <w:pPr>
        <w:ind w:right="820"/>
        <w:spacing w:after="0" w:line="301" w:lineRule="auto"/>
        <w:rPr>
          <w:sz w:val="20"/>
          <w:szCs w:val="20"/>
          <w:color w:val="auto"/>
        </w:rPr>
      </w:pPr>
      <w:r>
        <w:rPr>
          <w:rFonts w:ascii="Times New Roman" w:cs="Times New Roman" w:eastAsia="Times New Roman" w:hAnsi="Times New Roman"/>
          <w:sz w:val="19"/>
          <w:szCs w:val="19"/>
          <w:b w:val="1"/>
          <w:bCs w:val="1"/>
          <w:i w:val="1"/>
          <w:iCs w:val="1"/>
          <w:color w:val="231F20"/>
        </w:rPr>
        <w:t>Our business environment is highly competitive, and if we fail to compete successfully, our revenues and results of operations may be negatively impacted</w:t>
      </w:r>
      <w:r>
        <w:rPr>
          <w:rFonts w:ascii="Times New Roman" w:cs="Times New Roman" w:eastAsia="Times New Roman" w:hAnsi="Times New Roman"/>
          <w:sz w:val="19"/>
          <w:szCs w:val="19"/>
          <w:color w:val="231F20"/>
        </w:rPr>
        <w:t>.</w:t>
      </w:r>
    </w:p>
    <w:p>
      <w:pPr>
        <w:spacing w:after="0" w:line="41" w:lineRule="exact"/>
        <w:rPr>
          <w:sz w:val="20"/>
          <w:szCs w:val="20"/>
          <w:color w:val="auto"/>
        </w:rPr>
      </w:pPr>
    </w:p>
    <w:p>
      <w:pPr>
        <w:ind w:right="20" w:firstLine="349"/>
        <w:spacing w:after="0" w:line="258" w:lineRule="auto"/>
        <w:rPr>
          <w:sz w:val="20"/>
          <w:szCs w:val="20"/>
          <w:color w:val="auto"/>
        </w:rPr>
      </w:pPr>
      <w:r>
        <w:rPr>
          <w:rFonts w:ascii="Times New Roman" w:cs="Times New Roman" w:eastAsia="Times New Roman" w:hAnsi="Times New Roman"/>
          <w:sz w:val="19"/>
          <w:szCs w:val="19"/>
          <w:color w:val="231F20"/>
        </w:rPr>
        <w:t>We operate in a highly competitive environment. Our businesses compete with other broad-line manufacturers, as well as many smaller businesses specializing in particular products or services, primarily on the basis of brand, design, quality, safety, ease of use, serviceability, price, product features, warranty, delivery, service, and technical support. We also continue to work with our suppliers to implement plans to improve our competitive position by reducing material costs and manufacturing inefficiencies and realize productivity gains and distribution and supply chain efficiencies. Maintaining and improving our competitive position will require continued investment by us in manufacturing, engineering, quality standards, marketing, Customer service and support of our distribution networks. We also face increased competition from new infection prevention, sterile processing, contamination control, surgical support, cleaning consumables, gastrointestinal endoscopy accessories, contract sterilization, and other products and services entering the market. Competitors and potential competitors also are attempting to develop alternate technologies and sterilizing agents, as well as disposable medical instruments and other devices designed to address the risk of contamination. In addition, we also face competition within our AST segment from our Customers who may insource their sterilization needs by utilizing their own technology and systems. If we cannot successfully implement our strategies to compete, our revenues and results of operations may be negatively impacted, which could adversely affect our business, financial condition and results of operations or our long-term prospects.</w:t>
      </w:r>
    </w:p>
    <w:p>
      <w:pPr>
        <w:spacing w:after="0" w:line="81" w:lineRule="exact"/>
        <w:rPr>
          <w:sz w:val="20"/>
          <w:szCs w:val="20"/>
          <w:color w:val="auto"/>
        </w:rPr>
      </w:pPr>
    </w:p>
    <w:p>
      <w:pPr>
        <w:ind w:right="100"/>
        <w:spacing w:after="0" w:line="301" w:lineRule="auto"/>
        <w:rPr>
          <w:sz w:val="20"/>
          <w:szCs w:val="20"/>
          <w:color w:val="auto"/>
        </w:rPr>
      </w:pPr>
      <w:r>
        <w:rPr>
          <w:rFonts w:ascii="Times New Roman" w:cs="Times New Roman" w:eastAsia="Times New Roman" w:hAnsi="Times New Roman"/>
          <w:sz w:val="19"/>
          <w:szCs w:val="19"/>
          <w:b w:val="1"/>
          <w:bCs w:val="1"/>
          <w:i w:val="1"/>
          <w:iCs w:val="1"/>
          <w:color w:val="231F20"/>
        </w:rPr>
        <w:t>Consolidations among our healthcare and pharmaceutical Customers may result in a loss of Customers or more significant pricing pressures</w:t>
      </w:r>
      <w:r>
        <w:rPr>
          <w:rFonts w:ascii="Times New Roman" w:cs="Times New Roman" w:eastAsia="Times New Roman" w:hAnsi="Times New Roman"/>
          <w:sz w:val="19"/>
          <w:szCs w:val="19"/>
          <w:color w:val="231F20"/>
        </w:rPr>
        <w:t>.</w:t>
      </w:r>
    </w:p>
    <w:p>
      <w:pPr>
        <w:spacing w:after="0" w:line="41" w:lineRule="exact"/>
        <w:rPr>
          <w:sz w:val="20"/>
          <w:szCs w:val="20"/>
          <w:color w:val="auto"/>
        </w:rPr>
      </w:pPr>
    </w:p>
    <w:p>
      <w:pPr>
        <w:ind w:right="140" w:firstLine="349"/>
        <w:spacing w:after="0" w:line="265" w:lineRule="auto"/>
        <w:rPr>
          <w:sz w:val="20"/>
          <w:szCs w:val="20"/>
          <w:color w:val="auto"/>
        </w:rPr>
      </w:pPr>
      <w:r>
        <w:rPr>
          <w:rFonts w:ascii="Times New Roman" w:cs="Times New Roman" w:eastAsia="Times New Roman" w:hAnsi="Times New Roman"/>
          <w:sz w:val="19"/>
          <w:szCs w:val="19"/>
          <w:color w:val="231F20"/>
        </w:rPr>
        <w:t>A number of our Customers have consolidated. These consolidations are due in part to healthcare cost reduction measures initiated by competitive pressures as well as legislators, regulators and third-party payors. This may result in greater pricing pressures on us and in some cases loss of Customers. Furthermore, consolidation in healthcare may continue, including as a result of trends regarding increasing vertical integration and corporate ownership. Additional consolidations could result in a loss of Customers or more significant pricing pressures.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Supply chain disruption might increase our production costs, limit our production capabilities or curtail our operations.</w:t>
      </w:r>
    </w:p>
    <w:p>
      <w:pPr>
        <w:spacing w:after="0" w:line="138" w:lineRule="exact"/>
        <w:rPr>
          <w:sz w:val="20"/>
          <w:szCs w:val="20"/>
          <w:color w:val="auto"/>
        </w:rPr>
      </w:pPr>
    </w:p>
    <w:p>
      <w:pPr>
        <w:ind w:firstLine="349"/>
        <w:spacing w:after="0" w:line="258" w:lineRule="auto"/>
        <w:rPr>
          <w:sz w:val="20"/>
          <w:szCs w:val="20"/>
          <w:color w:val="auto"/>
        </w:rPr>
      </w:pPr>
      <w:r>
        <w:rPr>
          <w:rFonts w:ascii="Times New Roman" w:cs="Times New Roman" w:eastAsia="Times New Roman" w:hAnsi="Times New Roman"/>
          <w:sz w:val="19"/>
          <w:szCs w:val="19"/>
          <w:color w:val="231F20"/>
        </w:rPr>
        <w:t>We purchase raw materials, fabricated and other components, and energy supplies from a variety of suppliers. Key raw materials include stainless steel, organic and inorganic chemicals, fuel, cobalt-60 and EO, and key components include plastic components, as well as various electronics including control boards and computer chips. The availability and prices of raw materials and energy supplies are subject to volatility and are influenced by worldwide economic conditions, speculative action, world supply and demand balances, inventory levels, availability of substitute materials, currency exchange rates, anticipated or perceived shortages, and other factors. In addition, administrations in the U.S. and other countries continue to announce plans to implement or increase tariffs and other trade barriers, and it remains unclear what the ultimate outcome of these policy changes will be on our supply chains. Also, certain of our key materials and components have a limited number of suppliers, and some are single-sourced in certain regions of the world, such as cobalt-60 and EO, which are necessary for our AST operations. Given the limited number of suppliers for such materials, they may become subject to supply shortages or unavailability or increasing prices which could have a negative impact on our operations. Further, changes in regulatory requirements regarding the use of these materials might disrupt or cause shutdowns of portions of our AST operations or have other adverse consequences. Shortages in supply, increased regulatory or security requirements, or increases in the price of any of the raw materials, components and energy supplies used in our operations may adversely affect us.</w:t>
      </w:r>
    </w:p>
    <w:p>
      <w:pPr>
        <w:sectPr>
          <w:pgSz w:w="11880" w:h="15480" w:orient="portrait"/>
          <w:cols w:equalWidth="0" w:num="1">
            <w:col w:w="9960"/>
          </w:cols>
          <w:pgMar w:left="960" w:top="81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18</w:t>
      </w:r>
    </w:p>
    <w:p>
      <w:pPr>
        <w:sectPr>
          <w:pgSz w:w="11880" w:h="15480" w:orient="portrait"/>
          <w:cols w:equalWidth="0" w:num="1">
            <w:col w:w="9960"/>
          </w:cols>
          <w:pgMar w:left="960" w:top="818" w:right="960" w:bottom="0" w:gutter="0" w:footer="0" w:header="0"/>
          <w:type w:val="continuous"/>
        </w:sectPr>
      </w:pPr>
    </w:p>
    <w:bookmarkStart w:id="19" w:name="page20"/>
    <w:bookmarkEnd w:id="19"/>
    <w:p>
      <w:pPr>
        <w:ind w:right="300"/>
        <w:spacing w:after="0" w:line="297" w:lineRule="auto"/>
        <w:rPr>
          <w:sz w:val="20"/>
          <w:szCs w:val="20"/>
          <w:color w:val="auto"/>
        </w:rPr>
      </w:pPr>
      <w:r>
        <w:rPr>
          <w:rFonts w:ascii="Times New Roman" w:cs="Times New Roman" w:eastAsia="Times New Roman" w:hAnsi="Times New Roman"/>
          <w:sz w:val="19"/>
          <w:szCs w:val="19"/>
          <w:b w:val="1"/>
          <w:bCs w:val="1"/>
          <w:i w:val="1"/>
          <w:iCs w:val="1"/>
          <w:color w:val="231F20"/>
        </w:rPr>
        <w:t>Our operations, and those of our suppliers, are subject to a variety of business continuity hazards and risks, any of which could interrupt production or operations or otherwise adversely affect our performance, results, or value.</w:t>
      </w:r>
    </w:p>
    <w:p>
      <w:pPr>
        <w:spacing w:after="0" w:line="48" w:lineRule="exact"/>
        <w:rPr>
          <w:sz w:val="20"/>
          <w:szCs w:val="20"/>
          <w:color w:val="auto"/>
        </w:rPr>
      </w:pPr>
    </w:p>
    <w:p>
      <w:pPr>
        <w:ind w:right="100" w:firstLine="349"/>
        <w:spacing w:after="0" w:line="263" w:lineRule="auto"/>
        <w:rPr>
          <w:sz w:val="20"/>
          <w:szCs w:val="20"/>
          <w:color w:val="auto"/>
        </w:rPr>
      </w:pPr>
      <w:r>
        <w:rPr>
          <w:rFonts w:ascii="Times New Roman" w:cs="Times New Roman" w:eastAsia="Times New Roman" w:hAnsi="Times New Roman"/>
          <w:sz w:val="19"/>
          <w:szCs w:val="19"/>
          <w:color w:val="231F20"/>
        </w:rPr>
        <w:t>Business continuity hazards and other risks include: explosions, fires, earthquakes, public health crises, extreme weather conditions, and other disasters, including those associated with climate change; disruptions of supply chains, or distribution for certain products or commodities; utility or other mechanical failures; unscheduled downtime; labor difficulties; inability to obtain or maintain any required licenses or permits; disruption of communications; data security, preservation and redundancy disruptions; inability to hire or retain key management or employees; and regulation of the safety, security or other aspects of our operations.</w:t>
      </w:r>
    </w:p>
    <w:p>
      <w:pPr>
        <w:spacing w:after="0" w:line="77" w:lineRule="exact"/>
        <w:rPr>
          <w:sz w:val="20"/>
          <w:szCs w:val="20"/>
          <w:color w:val="auto"/>
        </w:rPr>
      </w:pPr>
    </w:p>
    <w:p>
      <w:pPr>
        <w:ind w:right="160" w:firstLine="349"/>
        <w:spacing w:after="0" w:line="260" w:lineRule="auto"/>
        <w:rPr>
          <w:sz w:val="20"/>
          <w:szCs w:val="20"/>
          <w:color w:val="auto"/>
        </w:rPr>
      </w:pPr>
      <w:r>
        <w:rPr>
          <w:rFonts w:ascii="Times New Roman" w:cs="Times New Roman" w:eastAsia="Times New Roman" w:hAnsi="Times New Roman"/>
          <w:sz w:val="19"/>
          <w:szCs w:val="19"/>
          <w:color w:val="231F20"/>
        </w:rPr>
        <w:t>The occurrence of these types of events has disrupted and may in the future disrupt or shut down operations, or otherwise adversely impact the production or profitability of a particular facility, or our operations as a whole. These events also might cause personal injury, loss of life, and other social and human effects (such as population dislocations), compliance costs and transition risks (such as regulatory or technology changes) or severe damage to or destruction of inventory, equipment, and other property, and for injuries occurring at our facilities or as a result of actions of our employees, result in liability claims against us. Although we maintain property and casualty insurance and liability and similar insurance of the types and in the amounts that we believe are appropriate for our business, there can be no assurance that we will be able to continue our insurance with acceptable terms, conditions or limits or that our insurance policies will provide adequate protection against all potential significant risks and liabilities.</w:t>
      </w:r>
    </w:p>
    <w:p>
      <w:pPr>
        <w:spacing w:after="0" w:line="75" w:lineRule="exact"/>
        <w:rPr>
          <w:sz w:val="20"/>
          <w:szCs w:val="20"/>
          <w:color w:val="auto"/>
        </w:rPr>
      </w:pPr>
    </w:p>
    <w:p>
      <w:pPr>
        <w:ind w:right="1020"/>
        <w:spacing w:after="0" w:line="298" w:lineRule="auto"/>
        <w:rPr>
          <w:sz w:val="20"/>
          <w:szCs w:val="20"/>
          <w:color w:val="auto"/>
        </w:rPr>
      </w:pPr>
      <w:r>
        <w:rPr>
          <w:rFonts w:ascii="Times New Roman" w:cs="Times New Roman" w:eastAsia="Times New Roman" w:hAnsi="Times New Roman"/>
          <w:sz w:val="19"/>
          <w:szCs w:val="19"/>
          <w:b w:val="1"/>
          <w:bCs w:val="1"/>
          <w:i w:val="1"/>
          <w:iCs w:val="1"/>
          <w:color w:val="231F20"/>
        </w:rPr>
        <w:t>Expectations relating to corporate responsibility considerations expose us to potential liabilities, increased costs, reputational harm and other adverse effects on our business.</w:t>
      </w:r>
    </w:p>
    <w:p>
      <w:pPr>
        <w:spacing w:after="0" w:line="47"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231F20"/>
        </w:rPr>
        <w:t>Many governments, regulators, investors, employees, Customers and other stakeholders continue to be focused on corporate responsibility, including policies regarding climate change and greenhouse gas emissions. Other stakeholders, including governments, regulators, and elected officials have expressed concerns about or opposition to businesses' social commitments, and sustainability goals, and other ESG-focused policies, including concerns about or allegations of "greenwashing". Responding to these considerations involves risks and uncertainties, requires significant investments and is impacted by factors that may be outside our control. In addition, some stakeholders may disagree with our priorities, statements and initiatives and the focus of stakeholders may change and evolve over time. Stakeholders also may have very different views on where corporate focus should be placed, including differing or conflicting views of regulators or elected officials in the various jurisdictions in which we operate. For instance, the European Union has generally adopted more extensive sustainability reporting requirements and environmental regulations, while certain U.S. federal and state authorities have adopted or proposed measures that may restrict or penalize companies for adopting certain ESG-related practices, targets or investment criteria.</w:t>
      </w:r>
    </w:p>
    <w:p>
      <w:pPr>
        <w:spacing w:after="0" w:line="84" w:lineRule="exact"/>
        <w:rPr>
          <w:sz w:val="20"/>
          <w:szCs w:val="20"/>
          <w:color w:val="auto"/>
        </w:rPr>
      </w:pPr>
    </w:p>
    <w:p>
      <w:pPr>
        <w:ind w:right="40" w:firstLine="349"/>
        <w:spacing w:after="0" w:line="268" w:lineRule="auto"/>
        <w:rPr>
          <w:sz w:val="20"/>
          <w:szCs w:val="20"/>
          <w:color w:val="auto"/>
        </w:rPr>
      </w:pPr>
      <w:r>
        <w:rPr>
          <w:rFonts w:ascii="Times New Roman" w:cs="Times New Roman" w:eastAsia="Times New Roman" w:hAnsi="Times New Roman"/>
          <w:sz w:val="19"/>
          <w:szCs w:val="19"/>
          <w:color w:val="231F20"/>
        </w:rPr>
        <w:t>Any failure, or perceived failure, by us to achieve our goals, further our initiatives, adhere to our public statements, comply with federal, state or international laws and regulations or meet evolving and varied stakeholder expectations and standards could result in reputational harm or advocacy group campaigns or legal and regulatory proceedings against us that could materially adversely affect our business, reputation, results of operations, financial condition and stock price.</w:t>
      </w:r>
    </w:p>
    <w:p>
      <w:pPr>
        <w:spacing w:after="0" w:line="72" w:lineRule="exact"/>
        <w:rPr>
          <w:sz w:val="20"/>
          <w:szCs w:val="20"/>
          <w:color w:val="auto"/>
        </w:rPr>
      </w:pPr>
    </w:p>
    <w:p>
      <w:pPr>
        <w:ind w:right="140" w:firstLine="349"/>
        <w:spacing w:after="0" w:line="260" w:lineRule="auto"/>
        <w:rPr>
          <w:sz w:val="20"/>
          <w:szCs w:val="20"/>
          <w:color w:val="auto"/>
        </w:rPr>
      </w:pPr>
      <w:r>
        <w:rPr>
          <w:rFonts w:ascii="Times New Roman" w:cs="Times New Roman" w:eastAsia="Times New Roman" w:hAnsi="Times New Roman"/>
          <w:sz w:val="19"/>
          <w:szCs w:val="19"/>
          <w:color w:val="231F20"/>
        </w:rPr>
        <w:t>Many of our Customers are also committing to, and may become subject to legal or regulatory requirements with respect to, long-term targets to reduce greenhouse gas emissions within their supply chains and associated emissions reporting. If we are unable to support Customers in fulfilling these obligations or achieving reductions, we may lose revenue if our Customers find other suppliers who are better able to support such efforts. A failure, or perceived failure, to respond to expectations of all key stakeholders could cause harm to our business and reputation and have a negative impact on the market price of our ordinary shares. Further, organizations that provide information to investors on corporate governance and related matters have developed ratings processes for evaluating companies on social and environmental disclosures and commitments. Such ratings are used by some investors to inform their investment or voting decisions. Unfavorable ratings could lead to negative investor sentiment toward us and/or our industry, which could have a negative impact on our access to and costs of capital.</w:t>
      </w:r>
    </w:p>
    <w:p>
      <w:pPr>
        <w:spacing w:after="0" w:line="75" w:lineRule="exact"/>
        <w:rPr>
          <w:sz w:val="20"/>
          <w:szCs w:val="20"/>
          <w:color w:val="auto"/>
        </w:rPr>
      </w:pPr>
    </w:p>
    <w:p>
      <w:pPr>
        <w:ind w:right="340"/>
        <w:spacing w:after="0" w:line="297" w:lineRule="auto"/>
        <w:rPr>
          <w:sz w:val="20"/>
          <w:szCs w:val="20"/>
          <w:color w:val="auto"/>
        </w:rPr>
      </w:pPr>
      <w:r>
        <w:rPr>
          <w:rFonts w:ascii="Times New Roman" w:cs="Times New Roman" w:eastAsia="Times New Roman" w:hAnsi="Times New Roman"/>
          <w:sz w:val="19"/>
          <w:szCs w:val="19"/>
          <w:b w:val="1"/>
          <w:bCs w:val="1"/>
          <w:i w:val="1"/>
          <w:iCs w:val="1"/>
          <w:color w:val="231F20"/>
        </w:rPr>
        <w:t>We may be adversely affected by global climate change or by existing and future legal, regulatory or market responses to such change.</w:t>
      </w:r>
    </w:p>
    <w:p>
      <w:pPr>
        <w:spacing w:after="0" w:line="48" w:lineRule="exact"/>
        <w:rPr>
          <w:sz w:val="20"/>
          <w:szCs w:val="20"/>
          <w:color w:val="auto"/>
        </w:rPr>
      </w:pPr>
    </w:p>
    <w:p>
      <w:pPr>
        <w:ind w:right="440" w:firstLine="349"/>
        <w:spacing w:after="0" w:line="268" w:lineRule="auto"/>
        <w:rPr>
          <w:sz w:val="20"/>
          <w:szCs w:val="20"/>
          <w:color w:val="auto"/>
        </w:rPr>
      </w:pPr>
      <w:r>
        <w:rPr>
          <w:rFonts w:ascii="Times New Roman" w:cs="Times New Roman" w:eastAsia="Times New Roman" w:hAnsi="Times New Roman"/>
          <w:sz w:val="19"/>
          <w:szCs w:val="19"/>
          <w:color w:val="231F20"/>
        </w:rPr>
        <w:t>The long-term effects of climate change are difficult to assess and predict. The impacts may include social and human effects (such as population dislocations or harm to health and well-being), compliance costs and transition risks (such as regulatory or technology changes) and others. The effects could impair, for example, the availability and cost of energy (including utilities), and we may bear losses as a result.</w:t>
      </w:r>
    </w:p>
    <w:p>
      <w:pPr>
        <w:spacing w:after="0" w:line="72" w:lineRule="exact"/>
        <w:rPr>
          <w:sz w:val="20"/>
          <w:szCs w:val="20"/>
          <w:color w:val="auto"/>
        </w:rPr>
      </w:pPr>
    </w:p>
    <w:p>
      <w:pPr>
        <w:ind w:right="300" w:firstLine="349"/>
        <w:spacing w:after="0" w:line="265" w:lineRule="auto"/>
        <w:rPr>
          <w:sz w:val="20"/>
          <w:szCs w:val="20"/>
          <w:color w:val="auto"/>
        </w:rPr>
      </w:pPr>
      <w:r>
        <w:rPr>
          <w:rFonts w:ascii="Times New Roman" w:cs="Times New Roman" w:eastAsia="Times New Roman" w:hAnsi="Times New Roman"/>
          <w:sz w:val="19"/>
          <w:szCs w:val="19"/>
          <w:color w:val="231F20"/>
        </w:rPr>
        <w:t>The regulations surrounding greenhouse gas emissions disclosures and sustainability reporting have also continued to evolve, with compliance and other requirements varying by jurisdiction, which subjects us to transition risks. Governments, regulatory bodies and other stakeholders vary in their support of or opposition to sustainability and environmental matters in different jurisdictions in which we operate, which can lead to rapid shifts in reporting obligations and differing obligations across these jurisdictions. Both the standard setting and regulatory landscapes are also extremely complex and present</w:t>
      </w:r>
    </w:p>
    <w:p>
      <w:pPr>
        <w:sectPr>
          <w:pgSz w:w="11880" w:h="15480" w:orient="portrait"/>
          <w:cols w:equalWidth="0" w:num="1">
            <w:col w:w="9960"/>
          </w:cols>
          <w:pgMar w:left="960" w:top="818" w:right="960" w:bottom="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19</w:t>
      </w:r>
    </w:p>
    <w:p>
      <w:pPr>
        <w:sectPr>
          <w:pgSz w:w="11880" w:h="15480" w:orient="portrait"/>
          <w:cols w:equalWidth="0" w:num="1">
            <w:col w:w="9960"/>
          </w:cols>
          <w:pgMar w:left="960" w:top="818" w:right="960" w:bottom="0" w:gutter="0" w:footer="0" w:header="0"/>
          <w:type w:val="continuous"/>
        </w:sectPr>
      </w:pPr>
    </w:p>
    <w:bookmarkStart w:id="20" w:name="page21"/>
    <w:bookmarkEnd w:id="20"/>
    <w:p>
      <w:pPr>
        <w:ind w:right="140"/>
        <w:spacing w:after="0" w:line="262" w:lineRule="auto"/>
        <w:rPr>
          <w:sz w:val="20"/>
          <w:szCs w:val="20"/>
          <w:color w:val="auto"/>
        </w:rPr>
      </w:pPr>
      <w:r>
        <w:rPr>
          <w:rFonts w:ascii="Times New Roman" w:cs="Times New Roman" w:eastAsia="Times New Roman" w:hAnsi="Times New Roman"/>
          <w:sz w:val="19"/>
          <w:szCs w:val="19"/>
          <w:color w:val="231F20"/>
        </w:rPr>
        <w:t>significant compliance and communication challenges in light of these uncertain and varied approaches to greenhouse gas emissions disclosures and sustainability reporting. If our greenhouse gas emissions-related data, processes or reporting are incomplete or inaccurate, we fail to comply with relevant reporting frameworks or efficiency standards from existing or newly emerging regulations, or we become subject to expanded carbon pricing mechanisms, we may incur enhanced costs, monetary penalties and reputational harm, investor demand for our securities could decrease, or we could become subject to litigation or governmental investigations, any of which may have a material adverse effect on our financial condition and results of operations.</w:t>
      </w:r>
    </w:p>
    <w:p>
      <w:pPr>
        <w:spacing w:after="0" w:line="77" w:lineRule="exact"/>
        <w:rPr>
          <w:sz w:val="20"/>
          <w:szCs w:val="20"/>
          <w:color w:val="auto"/>
        </w:rPr>
      </w:pPr>
    </w:p>
    <w:p>
      <w:pPr>
        <w:jc w:val="both"/>
        <w:ind w:right="120" w:firstLine="398"/>
        <w:spacing w:after="0" w:line="261" w:lineRule="auto"/>
        <w:rPr>
          <w:sz w:val="20"/>
          <w:szCs w:val="20"/>
          <w:color w:val="auto"/>
        </w:rPr>
      </w:pPr>
      <w:r>
        <w:rPr>
          <w:rFonts w:ascii="Times New Roman" w:cs="Times New Roman" w:eastAsia="Times New Roman" w:hAnsi="Times New Roman"/>
          <w:sz w:val="19"/>
          <w:szCs w:val="19"/>
          <w:color w:val="231F20"/>
        </w:rPr>
        <w:t>The introduction and evolution of climate- and sustainability-related laws, regulations and reporting requirements—many of which are not uniform across jurisdictions—can increase the complexity and cost of compliance and heighten our exposure to enforcement actions, litigation and reputational harm. For example, the European Union adopted the CSRD in 2023, and in 2025 the European Commission proposed amendments to the CSRD aimed at simplifying sustainability reporting in Europe.</w:t>
      </w:r>
    </w:p>
    <w:p>
      <w:pPr>
        <w:spacing w:after="0" w:line="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9"/>
          <w:szCs w:val="19"/>
          <w:color w:val="231F20"/>
        </w:rPr>
        <w:t>Such amendments entered into force in March 2026, with transposition into national law by EU member states required in 2027, while changes to the ESRS are expected to be finalized later in calendar year 2026. While the EU has adopted extensive requirements through CSRD and ESRS, which continue to evolve, other jurisdictions, including, for example, the United Kingdom and California, have their own sustainability reporting frameworks. Managing compliance across these inconsistent regimes is complex and costly, and may result in disclosures that emphasize different metrics, use different methodologies or reach different conclusions depending on the applicable frameworks. We may also face challenges in presenting consistent and comparable sustainability information to global stakeholders.</w:t>
      </w:r>
    </w:p>
    <w:p>
      <w:pPr>
        <w:spacing w:after="0" w:line="82" w:lineRule="exact"/>
        <w:rPr>
          <w:sz w:val="20"/>
          <w:szCs w:val="20"/>
          <w:color w:val="auto"/>
        </w:rPr>
      </w:pPr>
    </w:p>
    <w:p>
      <w:pPr>
        <w:ind w:right="260" w:firstLine="349"/>
        <w:spacing w:after="0" w:line="274" w:lineRule="auto"/>
        <w:rPr>
          <w:sz w:val="20"/>
          <w:szCs w:val="20"/>
          <w:color w:val="auto"/>
        </w:rPr>
      </w:pPr>
      <w:r>
        <w:rPr>
          <w:rFonts w:ascii="Times New Roman" w:cs="Times New Roman" w:eastAsia="Times New Roman" w:hAnsi="Times New Roman"/>
          <w:sz w:val="19"/>
          <w:szCs w:val="19"/>
          <w:color w:val="231F20"/>
        </w:rPr>
        <w:t>These changes, and any other new or pending legal or regulatory matters, may result in the expenditure of additional resources or costs to comply with such requirements, which could affect our financial condition, results of operations or cash flows.</w:t>
      </w:r>
    </w:p>
    <w:p>
      <w:pPr>
        <w:spacing w:after="0" w:line="60"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9"/>
          <w:szCs w:val="19"/>
          <w:b w:val="1"/>
          <w:bCs w:val="1"/>
          <w:i w:val="1"/>
          <w:iCs w:val="1"/>
          <w:color w:val="231F20"/>
        </w:rPr>
        <w:t>Our operations are subject to regulations and permitting, which may be changed or amended by the relevant authorities, and which may limit or eliminate our current operations or increase the complexity, burden, or expense of compliance, and regulated materials or processes that we use in our operations are, and may in the future become subject to litigation.</w:t>
      </w:r>
    </w:p>
    <w:p>
      <w:pPr>
        <w:spacing w:after="0" w:line="68" w:lineRule="exact"/>
        <w:rPr>
          <w:sz w:val="20"/>
          <w:szCs w:val="20"/>
          <w:color w:val="auto"/>
        </w:rPr>
      </w:pPr>
    </w:p>
    <w:p>
      <w:pPr>
        <w:ind w:right="20" w:firstLine="349"/>
        <w:spacing w:after="0" w:line="257" w:lineRule="auto"/>
        <w:rPr>
          <w:sz w:val="20"/>
          <w:szCs w:val="20"/>
          <w:color w:val="auto"/>
        </w:rPr>
      </w:pPr>
      <w:r>
        <w:rPr>
          <w:rFonts w:ascii="Times New Roman" w:cs="Times New Roman" w:eastAsia="Times New Roman" w:hAnsi="Times New Roman"/>
          <w:sz w:val="19"/>
          <w:szCs w:val="19"/>
          <w:color w:val="231F20"/>
        </w:rPr>
        <w:t>Our AST segment is a technology-neutral contract sterilization service that offers our Customers a wide range of sterilization modalities through a worldwide network of over 60 contract sterilization and laboratory facilities. One of the modalities offered by our AST operations is EO sterilization. In the U.S., several regulators, including the EPA, FDA, and agencies at the state and local level, play a role in regulating the use of EO sterilization. In 2016, the EPA changed the cancer risk basis for EO and determined that EO is carcinogenic to humans. Announcements of the temporary or permanent closure of EO sterilization facilities operated by others have been associated with state and/or local regulatory or other legal action related to EO emissions at those facilities. Our AST operations have taken and will continue to take measures to comply with all applicable emissions regulations and to reduce emissions. However, no assurance can be given that current or future legislative or regulatory action, or current or future litigation to which we are or may become a party, will not significantly affect the costs of conducting our EO contract sterilization operations or impact the use of EO in our contract sterilization operations. A significant reduction in our EO contract sterilization activities may have a material adverse effect on our financial condition and results of operations. Further, we have settled claims of liability resulting from EO sterilization activities in the past and could in the future be liable for further material damages and fines as a result of legislative or regulatory action or litigation, and any current or future liability could exceed our insurance and indemnification coverage, if any, and have a material adverse effect on our financial condition. Additionally, for many medical devices, EO sterilization may be the only current method of sterilization that effectively sterilizes and does not damage the device during the sterilization process. In the event of regulatory, legislative, or legal action that curtails or eliminates EO sterilization, there could be a shortage of medical devices and consequently a decline in surgical procedures. A decline in surgical procedures could result in a decline in demand for the products and services provided by our Healthcare business, which may have a material adverse effect on our financial condition and results of operations.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Our EO sterilization operations subject us to claims of liability and associated adverse effects</w:t>
      </w:r>
      <w:r>
        <w:rPr>
          <w:rFonts w:ascii="Times New Roman" w:cs="Times New Roman" w:eastAsia="Times New Roman" w:hAnsi="Times New Roman"/>
          <w:sz w:val="19"/>
          <w:szCs w:val="19"/>
          <w:color w:val="231F20"/>
        </w:rPr>
        <w:t>.</w:t>
      </w:r>
    </w:p>
    <w:p>
      <w:pPr>
        <w:spacing w:after="0" w:line="135" w:lineRule="exact"/>
        <w:rPr>
          <w:sz w:val="20"/>
          <w:szCs w:val="20"/>
          <w:color w:val="auto"/>
        </w:rPr>
      </w:pPr>
    </w:p>
    <w:p>
      <w:pPr>
        <w:ind w:right="20" w:firstLine="349"/>
        <w:spacing w:after="0" w:line="265" w:lineRule="auto"/>
        <w:rPr>
          <w:sz w:val="20"/>
          <w:szCs w:val="20"/>
          <w:color w:val="auto"/>
        </w:rPr>
      </w:pPr>
      <w:r>
        <w:rPr>
          <w:rFonts w:ascii="Times New Roman" w:cs="Times New Roman" w:eastAsia="Times New Roman" w:hAnsi="Times New Roman"/>
          <w:sz w:val="19"/>
          <w:szCs w:val="19"/>
          <w:color w:val="231F20"/>
        </w:rPr>
        <w:t>Some current or past operators of EO sterilization facilities, including us, have been the target of litigation on behalf of private plaintiffs alleging personal and other injuries as a result of exposure to emissions from such facilities and have experienced adverse judgments and entered into settlements. These developments, as well as other publicity related to EO litigation or regulatory activity, may increase the likelihood that we will continue to be subject to these claims or that we will be subject to more claims on behalf of similar plaintiffs in the future.</w:t>
      </w:r>
    </w:p>
    <w:p>
      <w:pPr>
        <w:spacing w:after="0" w:line="75" w:lineRule="exact"/>
        <w:rPr>
          <w:sz w:val="20"/>
          <w:szCs w:val="20"/>
          <w:color w:val="auto"/>
        </w:rPr>
      </w:pPr>
    </w:p>
    <w:p>
      <w:pPr>
        <w:ind w:right="20" w:firstLine="349"/>
        <w:spacing w:after="0" w:line="265" w:lineRule="auto"/>
        <w:rPr>
          <w:sz w:val="20"/>
          <w:szCs w:val="20"/>
          <w:color w:val="auto"/>
        </w:rPr>
      </w:pPr>
      <w:r>
        <w:rPr>
          <w:rFonts w:ascii="Times New Roman" w:cs="Times New Roman" w:eastAsia="Times New Roman" w:hAnsi="Times New Roman"/>
          <w:sz w:val="19"/>
          <w:szCs w:val="19"/>
          <w:color w:val="231F20"/>
        </w:rPr>
        <w:t>Although we believe we have valid defenses to such claims, there can be no assurance that we will prevail on the merits, as the outcome of trials before juries and other aspects of litigation can be highly unpredictable, and, as a result, we have chosen to pursue a settlement process with respect to certain pending cases in Illinois. Pursuant to binding confidential settlement agreements entered into in March and October 2025, we agreed to pay up to approximately $48.2 million to resolve substantially all of the claims for personal injury against a subsidiary related to EO exposure that are pending in the Circuit</w:t>
      </w:r>
    </w:p>
    <w:p>
      <w:pPr>
        <w:sectPr>
          <w:pgSz w:w="11880" w:h="15480" w:orient="portrait"/>
          <w:cols w:equalWidth="0" w:num="1">
            <w:col w:w="9960"/>
          </w:cols>
          <w:pgMar w:left="960" w:top="825" w:right="960" w:bottom="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20</w:t>
      </w:r>
    </w:p>
    <w:p>
      <w:pPr>
        <w:sectPr>
          <w:pgSz w:w="11880" w:h="15480" w:orient="portrait"/>
          <w:cols w:equalWidth="0" w:num="1">
            <w:col w:w="9960"/>
          </w:cols>
          <w:pgMar w:left="960" w:top="825" w:right="960" w:bottom="0" w:gutter="0" w:footer="0" w:header="0"/>
          <w:type w:val="continuous"/>
        </w:sectPr>
      </w:pPr>
    </w:p>
    <w:bookmarkStart w:id="21" w:name="page22"/>
    <w:bookmarkEnd w:id="21"/>
    <w:p>
      <w:pPr>
        <w:ind w:right="200"/>
        <w:spacing w:after="0" w:line="268" w:lineRule="auto"/>
        <w:rPr>
          <w:sz w:val="20"/>
          <w:szCs w:val="20"/>
          <w:color w:val="auto"/>
        </w:rPr>
      </w:pPr>
      <w:r>
        <w:rPr>
          <w:rFonts w:ascii="Times New Roman" w:cs="Times New Roman" w:eastAsia="Times New Roman" w:hAnsi="Times New Roman"/>
          <w:sz w:val="19"/>
          <w:szCs w:val="19"/>
          <w:color w:val="231F20"/>
        </w:rPr>
        <w:t>Court of Cook County, Illinois. A claims process regarding confidential settlement agreements is ongoing and subject to final court approval. Furthermore, some claims would be subject to further litigation if certain terms of the applicable settlement agreements are not fulfilled and we exercise our walkaway rights. Please refer to Note 12 to our consolidated financial statements titled “Commitments and Contingencies” for further information.</w:t>
      </w:r>
    </w:p>
    <w:p>
      <w:pPr>
        <w:spacing w:after="0" w:line="72" w:lineRule="exact"/>
        <w:rPr>
          <w:sz w:val="20"/>
          <w:szCs w:val="20"/>
          <w:color w:val="auto"/>
        </w:rPr>
      </w:pPr>
    </w:p>
    <w:p>
      <w:pPr>
        <w:ind w:right="140" w:firstLine="349"/>
        <w:spacing w:after="0" w:line="263" w:lineRule="auto"/>
        <w:rPr>
          <w:sz w:val="20"/>
          <w:szCs w:val="20"/>
          <w:color w:val="auto"/>
        </w:rPr>
      </w:pPr>
      <w:r>
        <w:rPr>
          <w:rFonts w:ascii="Times New Roman" w:cs="Times New Roman" w:eastAsia="Times New Roman" w:hAnsi="Times New Roman"/>
          <w:sz w:val="19"/>
          <w:szCs w:val="19"/>
          <w:color w:val="231F20"/>
        </w:rPr>
        <w:t>The financial impact of litigation, particularly mass tort action lawsuits, is also difficult to predict and a judgment entered or settlement reached in one case or group of cases is not necessarily representative of the outcome of other comparable cases. Regardless of the merits of the claims at issue or the ultimate outcome of cases, any future litigation related to our EO operations may be costly to defend, could result in an increase of our insurance premiums, reduction of limits and terms and could exhaust available insurance coverage. Defense of litigation may also result in diversion of management attention from other priorities, which could have a material adverse effect on our financial condition and results of operations.</w:t>
      </w:r>
    </w:p>
    <w:p>
      <w:pPr>
        <w:spacing w:after="0" w:line="70" w:lineRule="exact"/>
        <w:rPr>
          <w:sz w:val="20"/>
          <w:szCs w:val="20"/>
          <w:color w:val="auto"/>
        </w:rPr>
      </w:pPr>
    </w:p>
    <w:p>
      <w:pPr>
        <w:ind w:right="120"/>
        <w:spacing w:after="0" w:line="301" w:lineRule="auto"/>
        <w:rPr>
          <w:sz w:val="20"/>
          <w:szCs w:val="20"/>
          <w:color w:val="auto"/>
        </w:rPr>
      </w:pPr>
      <w:r>
        <w:rPr>
          <w:rFonts w:ascii="Times New Roman" w:cs="Times New Roman" w:eastAsia="Times New Roman" w:hAnsi="Times New Roman"/>
          <w:sz w:val="19"/>
          <w:szCs w:val="19"/>
          <w:b w:val="1"/>
          <w:bCs w:val="1"/>
          <w:i w:val="1"/>
          <w:iCs w:val="1"/>
          <w:color w:val="231F20"/>
        </w:rPr>
        <w:t>If our continuing efforts to create a Lean business, to in-source production and to support smart manufacturing to reduce costs are not successful, our profitability may be negatively impacted or our business otherwise might be adversely affected</w:t>
      </w:r>
      <w:r>
        <w:rPr>
          <w:rFonts w:ascii="Times New Roman" w:cs="Times New Roman" w:eastAsia="Times New Roman" w:hAnsi="Times New Roman"/>
          <w:sz w:val="19"/>
          <w:szCs w:val="19"/>
          <w:color w:val="231F20"/>
        </w:rPr>
        <w:t>.</w:t>
      </w:r>
    </w:p>
    <w:p>
      <w:pPr>
        <w:spacing w:after="0" w:line="41" w:lineRule="exact"/>
        <w:rPr>
          <w:sz w:val="20"/>
          <w:szCs w:val="20"/>
          <w:color w:val="auto"/>
        </w:rPr>
      </w:pPr>
    </w:p>
    <w:p>
      <w:pPr>
        <w:ind w:right="100" w:firstLine="349"/>
        <w:spacing w:after="0" w:line="262" w:lineRule="auto"/>
        <w:rPr>
          <w:sz w:val="20"/>
          <w:szCs w:val="20"/>
          <w:color w:val="auto"/>
        </w:rPr>
      </w:pPr>
      <w:r>
        <w:rPr>
          <w:rFonts w:ascii="Times New Roman" w:cs="Times New Roman" w:eastAsia="Times New Roman" w:hAnsi="Times New Roman"/>
          <w:sz w:val="19"/>
          <w:szCs w:val="19"/>
          <w:color w:val="231F20"/>
        </w:rPr>
        <w:t>We have undertaken various activities to incorporate Lean concepts and practices to more efficiently operate our business, including in-sourcing and smart manufacturing. We continue to look for opportunities to in-source production that is currently provided by third parties. These activities may not produce the full efficiencies and cost reduction benefits that we expect, or efficiencies and benefits might be delayed. Implementing these activities can be complex and time-consuming, and anticipated initial costs may exceed expectations. The failure to realize such efficiencies and cost reduction benefits, or increases in the costs of doing business related to in-sourced production, could adversely impact our financial condition and results of operations.</w:t>
      </w:r>
    </w:p>
    <w:p>
      <w:pPr>
        <w:spacing w:after="0" w:line="315" w:lineRule="exact"/>
        <w:rPr>
          <w:sz w:val="20"/>
          <w:szCs w:val="20"/>
          <w:color w:val="auto"/>
        </w:rPr>
      </w:pPr>
    </w:p>
    <w:p>
      <w:pPr>
        <w:ind w:right="220" w:firstLine="349"/>
        <w:spacing w:after="0" w:line="262" w:lineRule="auto"/>
        <w:rPr>
          <w:sz w:val="20"/>
          <w:szCs w:val="20"/>
          <w:color w:val="auto"/>
        </w:rPr>
      </w:pPr>
      <w:r>
        <w:rPr>
          <w:rFonts w:ascii="Times New Roman" w:cs="Times New Roman" w:eastAsia="Times New Roman" w:hAnsi="Times New Roman"/>
          <w:sz w:val="19"/>
          <w:szCs w:val="19"/>
          <w:color w:val="231F20"/>
        </w:rPr>
        <w:t>Similarly, we continue to invest in smart manufacturing to drive structural cost reduction in our facilities, including aligning work to more efficient manufacturing centers, implementing advanced manufacturing capabilities such as digital initiatives, automation and robots, and closing facilities that are not required to meet future capacity and work needs. Our success will depend on various factors, including our ability to either source or custom develop the necessary technology and components, and the digital transformation initiative’s cost-effectiveness, utility and competitive positioning. If our digital transformation initiative fails to develop as we expect, or progresses more slowly than expected, such failure to realize efficiencies and cost reduction benefits could adversely impact our financial condition and results of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A pandemic or similar public health crisis could have a material adverse impact on our ability to staff our operations.</w:t>
      </w:r>
    </w:p>
    <w:p>
      <w:pPr>
        <w:spacing w:after="0" w:line="138" w:lineRule="exact"/>
        <w:rPr>
          <w:sz w:val="20"/>
          <w:szCs w:val="20"/>
          <w:color w:val="auto"/>
        </w:rPr>
      </w:pPr>
    </w:p>
    <w:p>
      <w:pPr>
        <w:ind w:right="200" w:firstLine="349"/>
        <w:spacing w:after="0" w:line="262" w:lineRule="auto"/>
        <w:rPr>
          <w:sz w:val="20"/>
          <w:szCs w:val="20"/>
          <w:color w:val="auto"/>
        </w:rPr>
      </w:pPr>
      <w:r>
        <w:rPr>
          <w:rFonts w:ascii="Times New Roman" w:cs="Times New Roman" w:eastAsia="Times New Roman" w:hAnsi="Times New Roman"/>
          <w:sz w:val="19"/>
          <w:szCs w:val="19"/>
          <w:color w:val="231F20"/>
        </w:rPr>
        <w:t>There can be no assurances that our measures to protect the health and wellbeing of our employees in the event of future health crises will be sufficient to protect our employees or that they may not otherwise be exposed to an illness outside of our workplace. If a large or otherwise impactful number of our employees, including key employees, become ill, incapacitated or are otherwise unable or unwilling to continue working during any future health crises, our operations may be adversely impacted. Furthermore, restrictive measures implemented by us or governmental entities in response to a future pandemic or similar public health crisis could adversely impact our ability to hire and retain employees. Any failure to staff our operations resulting from an emergent public health crisis could adversely impact our financial condition and results of operations.</w:t>
      </w:r>
    </w:p>
    <w:p>
      <w:pPr>
        <w:spacing w:after="0" w:line="70" w:lineRule="exact"/>
        <w:rPr>
          <w:sz w:val="20"/>
          <w:szCs w:val="20"/>
          <w:color w:val="auto"/>
        </w:rPr>
      </w:pPr>
    </w:p>
    <w:p>
      <w:pPr>
        <w:ind w:right="1020"/>
        <w:spacing w:after="0" w:line="297" w:lineRule="auto"/>
        <w:rPr>
          <w:sz w:val="20"/>
          <w:szCs w:val="20"/>
          <w:color w:val="auto"/>
        </w:rPr>
      </w:pPr>
      <w:r>
        <w:rPr>
          <w:rFonts w:ascii="Times New Roman" w:cs="Times New Roman" w:eastAsia="Times New Roman" w:hAnsi="Times New Roman"/>
          <w:sz w:val="19"/>
          <w:szCs w:val="19"/>
          <w:b w:val="1"/>
          <w:bCs w:val="1"/>
          <w:i w:val="1"/>
          <w:iCs w:val="1"/>
          <w:color w:val="231F20"/>
        </w:rPr>
        <w:t>Our business and results of operations may be adversely affected if we are unable to recruit and retain qualified management and other personnel.</w:t>
      </w:r>
    </w:p>
    <w:p>
      <w:pPr>
        <w:spacing w:after="0" w:line="48" w:lineRule="exact"/>
        <w:rPr>
          <w:sz w:val="20"/>
          <w:szCs w:val="20"/>
          <w:color w:val="auto"/>
        </w:rPr>
      </w:pPr>
    </w:p>
    <w:p>
      <w:pPr>
        <w:ind w:firstLine="349"/>
        <w:spacing w:after="0" w:line="263" w:lineRule="auto"/>
        <w:rPr>
          <w:sz w:val="20"/>
          <w:szCs w:val="20"/>
          <w:color w:val="auto"/>
        </w:rPr>
      </w:pPr>
      <w:r>
        <w:rPr>
          <w:rFonts w:ascii="Times New Roman" w:cs="Times New Roman" w:eastAsia="Times New Roman" w:hAnsi="Times New Roman"/>
          <w:sz w:val="19"/>
          <w:szCs w:val="19"/>
          <w:color w:val="231F20"/>
        </w:rPr>
        <w:t>Our continued success depends, in large part, on our ability to hire and retain highly qualified people, and if we are unable to do so, our business and operations may be impaired or disrupted. There is no assurance that we will be successful in attracting replacements to fill vacant positions, retaining successors to fill retirements or employees moving to new positions, or otherwise retaining qualified personnel. In addition, the increasing complexity of legal, regulatory and compliance matters have created additional responsibilities for our management and other personnel and can create significant distraction or diversion of their attention, which could have a material adverse effect on our ability to attract and retain such personnel.</w:t>
      </w:r>
    </w:p>
    <w:p>
      <w:pPr>
        <w:spacing w:after="0" w:line="7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9"/>
          <w:szCs w:val="19"/>
          <w:b w:val="1"/>
          <w:bCs w:val="1"/>
          <w:i w:val="1"/>
          <w:iCs w:val="1"/>
          <w:color w:val="231F20"/>
        </w:rPr>
        <w:t>We could experience a failure of a key information technology system, process or site or a breach of information security, including a cybersecurity breach of one or more key information technology systems, networks, processes, associated sites or service providers; failure to manage these and other risks associated with the use of sophisticated technology could materially impact our business.</w:t>
      </w:r>
    </w:p>
    <w:p>
      <w:pPr>
        <w:spacing w:after="0" w:line="75" w:lineRule="exact"/>
        <w:rPr>
          <w:sz w:val="20"/>
          <w:szCs w:val="20"/>
          <w:color w:val="auto"/>
        </w:rPr>
      </w:pPr>
    </w:p>
    <w:p>
      <w:pPr>
        <w:ind w:right="60" w:firstLine="349"/>
        <w:spacing w:after="0" w:line="261" w:lineRule="auto"/>
        <w:rPr>
          <w:sz w:val="20"/>
          <w:szCs w:val="20"/>
          <w:color w:val="auto"/>
        </w:rPr>
      </w:pPr>
      <w:r>
        <w:rPr>
          <w:rFonts w:ascii="Times New Roman" w:cs="Times New Roman" w:eastAsia="Times New Roman" w:hAnsi="Times New Roman"/>
          <w:sz w:val="19"/>
          <w:szCs w:val="19"/>
          <w:color w:val="231F20"/>
        </w:rPr>
        <w:t>We rely extensively on information technology (“IT”) systems to conduct business, including but not limited to interacting with Customers and suppliers, fulfilling orders, generating invoices, collecting and making payments, manufacturing and shipping products, providing Customer support, and fulfilling contractual obligations. In addition, we rely on networks and services, including internet sites, cloud and software-as-a-service solutions, data hosting, electronic payment systems, and processing facilities and tools and other hardware, software and technical applications and platforms, including some that employ artificial intelligence (“AI”), some of which are managed, hosted, provided and/or used by third-parties or their vendors, to assist in conducting our business. While we have been the previous target of cyberattacks and security breaches, none of these attacks or breaches to date have had a material adverse effect on the Company. We cannot guarantee that future</w:t>
      </w:r>
    </w:p>
    <w:p>
      <w:pPr>
        <w:sectPr>
          <w:pgSz w:w="11880" w:h="15480" w:orient="portrait"/>
          <w:cols w:equalWidth="0" w:num="1">
            <w:col w:w="9940"/>
          </w:cols>
          <w:pgMar w:left="960" w:top="825" w:right="980" w:bottom="0"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21</w:t>
      </w:r>
    </w:p>
    <w:p>
      <w:pPr>
        <w:sectPr>
          <w:pgSz w:w="11880" w:h="15480" w:orient="portrait"/>
          <w:cols w:equalWidth="0" w:num="1">
            <w:col w:w="9940"/>
          </w:cols>
          <w:pgMar w:left="960" w:top="825" w:right="980" w:bottom="0" w:gutter="0" w:footer="0" w:header="0"/>
          <w:type w:val="continuous"/>
        </w:sectPr>
      </w:pPr>
    </w:p>
    <w:bookmarkStart w:id="22" w:name="page23"/>
    <w:bookmarkEnd w:id="22"/>
    <w:p>
      <w:pPr>
        <w:ind w:right="120"/>
        <w:spacing w:after="0" w:line="263" w:lineRule="auto"/>
        <w:rPr>
          <w:sz w:val="20"/>
          <w:szCs w:val="20"/>
          <w:color w:val="auto"/>
        </w:rPr>
      </w:pPr>
      <w:r>
        <w:rPr>
          <w:rFonts w:ascii="Times New Roman" w:cs="Times New Roman" w:eastAsia="Times New Roman" w:hAnsi="Times New Roman"/>
          <w:sz w:val="19"/>
          <w:szCs w:val="19"/>
          <w:color w:val="231F20"/>
        </w:rPr>
        <w:t>cyberattacks, if successful, will not have a material effect on our business or financial results. Numerous and evolving cybersecurity threats continue to pose potential risks to the security of our IT systems, networks and services, as well as the confidentiality, availability and integrity of our data, and we may fail to sufficiently adapt to them. For instance, generative AI and other artificial intelligence technologies may be used by malicious actors to create more targeted phishing narratives, develop sophisticated malware, spread false information about us or our products, or otherwise enhance the social engineering and attack capabilities of such malicious actors.</w:t>
      </w:r>
    </w:p>
    <w:p>
      <w:pPr>
        <w:spacing w:after="0" w:line="77" w:lineRule="exact"/>
        <w:rPr>
          <w:sz w:val="20"/>
          <w:szCs w:val="20"/>
          <w:color w:val="auto"/>
        </w:rPr>
      </w:pPr>
    </w:p>
    <w:p>
      <w:pPr>
        <w:ind w:right="20" w:firstLine="349"/>
        <w:spacing w:after="0" w:line="258" w:lineRule="auto"/>
        <w:rPr>
          <w:sz w:val="20"/>
          <w:szCs w:val="20"/>
          <w:color w:val="auto"/>
        </w:rPr>
      </w:pPr>
      <w:r>
        <w:rPr>
          <w:rFonts w:ascii="Times New Roman" w:cs="Times New Roman" w:eastAsia="Times New Roman" w:hAnsi="Times New Roman"/>
          <w:sz w:val="19"/>
          <w:szCs w:val="19"/>
          <w:color w:val="231F20"/>
        </w:rPr>
        <w:t>Some of our products, services, and information technology systems contain or use open-source software, which poses additional risks, including potential security vulnerabilities, licensing compliance issues, and quality issues. A security breach, whether of our products, of our Customers’ network security and systems or of third-party hosting services, could impact the use of such products and the security of information stored therein. While we have made investments seeking to address these threats, including monitoring of networks and systems, hiring of experts, employee training and security policies for employees and third-party providers, the techniques used in these attacks change frequently and may be difficult to detect for periods of time and we may face difficulties in anticipating and implementing adequate preventative measures. When cybersecurity incidents occur, we expect to follow our incident response policy and address them in accordance with applicable governmental regulations and other legal requirements. Our response to these incidents and our investments to protect our information technology infrastructure and data may not shield us from significant losses and potential liability or prevent any future interruption or breach of our systems. We maintain cyber liability insurance with terms, conditions, and limits believed to be adequate. However, cybersecurity-related liability or other claims may exceed insurance coverage limits, fines, penalties and regulatory sanctions may not be covered by insurance, or insurance may not continue to be available or available on commercially reasonable terms. Additionally, our insurers might deny claim coverage for valid or other reasons or may become insolvent.</w:t>
      </w:r>
    </w:p>
    <w:p>
      <w:pPr>
        <w:spacing w:after="0" w:line="321" w:lineRule="exact"/>
        <w:rPr>
          <w:sz w:val="20"/>
          <w:szCs w:val="20"/>
          <w:color w:val="auto"/>
        </w:rPr>
      </w:pPr>
    </w:p>
    <w:p>
      <w:pPr>
        <w:ind w:firstLine="349"/>
        <w:spacing w:after="0" w:line="261" w:lineRule="auto"/>
        <w:rPr>
          <w:sz w:val="20"/>
          <w:szCs w:val="20"/>
          <w:color w:val="auto"/>
        </w:rPr>
      </w:pPr>
      <w:r>
        <w:rPr>
          <w:rFonts w:ascii="Times New Roman" w:cs="Times New Roman" w:eastAsia="Times New Roman" w:hAnsi="Times New Roman"/>
          <w:sz w:val="19"/>
          <w:szCs w:val="19"/>
          <w:color w:val="231F20"/>
        </w:rPr>
        <w:t>If our IT systems are damaged or cease to function properly, the networks or service providers we rely upon fail to function properly, or we or one of our third-party providers suffer a loss or disclosure of our business or stakeholder information due to any number of causes ranging from catastrophic events or power outages to improper data handling or security breaches or other cyber incidents, and our business continuity plans do not effectively address these failures on a timely basis, we may be exposed to reputational, competitive and business harm as well as litigation and regulatory action. In the past, our Customers and resellers of our products have experienced cybersecurity attacks and incidents that have impacted their ability to do business, process payments and sell products, and there can be no assurance that future cybersecurity attacks and incidents affecting our Customers and resellers will not impact our business if and when they occur.</w:t>
      </w:r>
    </w:p>
    <w:p>
      <w:pPr>
        <w:spacing w:after="0" w:line="79" w:lineRule="exact"/>
        <w:rPr>
          <w:sz w:val="20"/>
          <w:szCs w:val="20"/>
          <w:color w:val="auto"/>
        </w:rPr>
      </w:pPr>
    </w:p>
    <w:p>
      <w:pPr>
        <w:ind w:right="80" w:firstLine="349"/>
        <w:spacing w:after="0" w:line="261" w:lineRule="auto"/>
        <w:rPr>
          <w:sz w:val="20"/>
          <w:szCs w:val="20"/>
          <w:color w:val="auto"/>
        </w:rPr>
      </w:pPr>
      <w:r>
        <w:rPr>
          <w:rFonts w:ascii="Times New Roman" w:cs="Times New Roman" w:eastAsia="Times New Roman" w:hAnsi="Times New Roman"/>
          <w:sz w:val="19"/>
          <w:szCs w:val="19"/>
          <w:color w:val="231F20"/>
        </w:rPr>
        <w:t>In addition, a large number of our employees, as well as those of our Customers and suppliers, work remotely part of the time, which may increase the risk of IT systems vulnerabilities and attacks and unauthorized access of information. Furthermore, future geopolitical conflicts could result in increases in cybersecurity incidents. The General Data Protection Regulation (“GDPR”) is focused on the protection of personal data, not merely the privacy of personal data. The GDPR has created a range of compliance obligations and can impose significant financial penalties for noncompliance (including possible fines of up to 4% of global annual revenues for the preceding financial year or €20 million (whichever is higher) for the most serious infringements). Other legislative or governmental regulatory requirements may come into effect that may similarly increase our compliance obligations or significantly increase our exposure to financial penalties for noncompliance.</w:t>
      </w:r>
    </w:p>
    <w:p>
      <w:pPr>
        <w:spacing w:after="0" w:line="79" w:lineRule="exact"/>
        <w:rPr>
          <w:sz w:val="20"/>
          <w:szCs w:val="20"/>
          <w:color w:val="auto"/>
        </w:rPr>
      </w:pPr>
    </w:p>
    <w:p>
      <w:pPr>
        <w:ind w:right="300" w:firstLine="349"/>
        <w:spacing w:after="0" w:line="261" w:lineRule="auto"/>
        <w:rPr>
          <w:sz w:val="20"/>
          <w:szCs w:val="20"/>
          <w:color w:val="auto"/>
        </w:rPr>
      </w:pPr>
      <w:r>
        <w:rPr>
          <w:rFonts w:ascii="Times New Roman" w:cs="Times New Roman" w:eastAsia="Times New Roman" w:hAnsi="Times New Roman"/>
          <w:sz w:val="19"/>
          <w:szCs w:val="19"/>
          <w:color w:val="231F20"/>
        </w:rPr>
        <w:t>Likewise, governments and regulatory bodies worldwide are actively developing new laws, regulations and ethical guidelines governing AI use, including the European Union’s Artificial Intelligence Act. Compliance with evolving and potentially inconsistent AI regulations across jurisdictions may be costly and complex. Failure to comply could result in significant penalties, restrictions on our use of AI, or reputational harm. The use of AI may also raise data privacy concerns, particularly if AI systems process sensitive health information subject to GDPR, HIPAA or other privacy regulations. If our competitors deploy AI technologies more effectively than we do, we may lose market share or be unable to maintain our competitive position. Failure to adequately manage AI-related risks could have a material adverse effect on our business, reputation, financial condition,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Our debt level or access to credit markets may limit our financial and business flexibility.</w:t>
      </w:r>
    </w:p>
    <w:p>
      <w:pPr>
        <w:spacing w:after="0" w:line="138" w:lineRule="exact"/>
        <w:rPr>
          <w:sz w:val="20"/>
          <w:szCs w:val="20"/>
          <w:color w:val="auto"/>
        </w:rPr>
      </w:pPr>
    </w:p>
    <w:p>
      <w:pPr>
        <w:ind w:right="40" w:firstLine="349"/>
        <w:spacing w:after="0" w:line="265" w:lineRule="auto"/>
        <w:rPr>
          <w:sz w:val="20"/>
          <w:szCs w:val="20"/>
          <w:color w:val="auto"/>
        </w:rPr>
      </w:pPr>
      <w:r>
        <w:rPr>
          <w:rFonts w:ascii="Times New Roman" w:cs="Times New Roman" w:eastAsia="Times New Roman" w:hAnsi="Times New Roman"/>
          <w:sz w:val="19"/>
          <w:szCs w:val="19"/>
          <w:color w:val="231F20"/>
        </w:rPr>
        <w:t>As of March 31, 2026, STERIS had approximately $1,931.7 million of indebtedness outstanding (net of deferred financing fees), which included $1,350.0 million of Senior Public Notes issued April 1, 2021, $557.8 million of Private Placement Senior Notes, and $37.8 million of borrowings outstanding under our Revolving Credit Facility (each as defined below). STERIS’s ability to repay all the foregoing obligations will depend on, among other things, STERIS’s financial position and performance, as well as prevailing market conditions and other factors beyond our control.</w:t>
      </w:r>
    </w:p>
    <w:p>
      <w:pPr>
        <w:spacing w:after="0" w:line="74" w:lineRule="exact"/>
        <w:rPr>
          <w:sz w:val="20"/>
          <w:szCs w:val="20"/>
          <w:color w:val="auto"/>
        </w:rPr>
      </w:pPr>
    </w:p>
    <w:p>
      <w:pPr>
        <w:ind w:right="20" w:firstLine="349"/>
        <w:spacing w:after="0" w:line="268" w:lineRule="auto"/>
        <w:rPr>
          <w:sz w:val="20"/>
          <w:szCs w:val="20"/>
          <w:color w:val="auto"/>
        </w:rPr>
      </w:pPr>
      <w:r>
        <w:rPr>
          <w:rFonts w:ascii="Times New Roman" w:cs="Times New Roman" w:eastAsia="Times New Roman" w:hAnsi="Times New Roman"/>
          <w:sz w:val="19"/>
          <w:szCs w:val="19"/>
          <w:color w:val="231F20"/>
        </w:rPr>
        <w:t>Our indebtedness could have important consequences to our shareholders, including increasing risk associated with general adverse economic and industry conditions, limiting our ability to obtain additional financing to fund future working capital, capital expenditures and other general corporate requirements, requiring the use of a substantial portion of our cash flow from operations for the payment of principal and interest on indebtedness, thereby reducing our ability to use our cash flow to fund</w:t>
      </w:r>
    </w:p>
    <w:p>
      <w:pPr>
        <w:sectPr>
          <w:pgSz w:w="11880" w:h="15480" w:orient="portrait"/>
          <w:cols w:equalWidth="0" w:num="1">
            <w:col w:w="9940"/>
          </w:cols>
          <w:pgMar w:left="960" w:top="825" w:right="980" w:bottom="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22</w:t>
      </w:r>
    </w:p>
    <w:p>
      <w:pPr>
        <w:sectPr>
          <w:pgSz w:w="11880" w:h="15480" w:orient="portrait"/>
          <w:cols w:equalWidth="0" w:num="1">
            <w:col w:w="9940"/>
          </w:cols>
          <w:pgMar w:left="960" w:top="825" w:right="980" w:bottom="0" w:gutter="0" w:footer="0" w:header="0"/>
          <w:type w:val="continuous"/>
        </w:sectPr>
      </w:pPr>
    </w:p>
    <w:bookmarkStart w:id="23" w:name="page24"/>
    <w:bookmarkEnd w:id="23"/>
    <w:p>
      <w:pPr>
        <w:jc w:val="both"/>
        <w:ind w:right="480"/>
        <w:spacing w:after="0" w:line="274" w:lineRule="auto"/>
        <w:rPr>
          <w:sz w:val="20"/>
          <w:szCs w:val="20"/>
          <w:color w:val="auto"/>
        </w:rPr>
      </w:pPr>
      <w:r>
        <w:rPr>
          <w:rFonts w:ascii="Times New Roman" w:cs="Times New Roman" w:eastAsia="Times New Roman" w:hAnsi="Times New Roman"/>
          <w:sz w:val="19"/>
          <w:szCs w:val="19"/>
          <w:color w:val="231F20"/>
        </w:rPr>
        <w:t>working capital, acquisitions, capital expenditures and general corporate matters, including dividend payments and stock repurchases, limiting our flexibility in planning for, or reacting to, changes in our business and our industry and creating a disadvantage compared to our competitors with less indebtedness.</w:t>
      </w:r>
    </w:p>
    <w:p>
      <w:pPr>
        <w:spacing w:after="0" w:line="67" w:lineRule="exact"/>
        <w:rPr>
          <w:sz w:val="20"/>
          <w:szCs w:val="20"/>
          <w:color w:val="auto"/>
        </w:rPr>
      </w:pPr>
    </w:p>
    <w:p>
      <w:pPr>
        <w:ind w:firstLine="699"/>
        <w:spacing w:after="0" w:line="265" w:lineRule="auto"/>
        <w:rPr>
          <w:sz w:val="20"/>
          <w:szCs w:val="20"/>
          <w:color w:val="auto"/>
        </w:rPr>
      </w:pPr>
      <w:r>
        <w:rPr>
          <w:rFonts w:ascii="Times New Roman" w:cs="Times New Roman" w:eastAsia="Times New Roman" w:hAnsi="Times New Roman"/>
          <w:sz w:val="19"/>
          <w:szCs w:val="19"/>
          <w:color w:val="231F20"/>
        </w:rPr>
        <w:t>In addition, our ability and the ability of our Customers, suppliers and other business counterparties to obtain indebtedness and the cost thereof is dependent on credit profiles, prevailing market interest rates and other factors. Credit rating downgrades, a high interest rate environment, market volatility, market disruptions and other factors may limit our and our Customers’, suppliers’ and other counterparties’ access to credit markets or increase the cost of financing activities which may have an adverse effect on our operations.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RISKS RELATED TO BUSINESS DEVELOPMENT</w:t>
      </w:r>
    </w:p>
    <w:p>
      <w:pPr>
        <w:spacing w:after="0" w:line="131"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9"/>
          <w:szCs w:val="19"/>
          <w:b w:val="1"/>
          <w:bCs w:val="1"/>
          <w:i w:val="1"/>
          <w:iCs w:val="1"/>
          <w:color w:val="231F20"/>
        </w:rPr>
        <w:t>We engage in acquisitions and affiliations, divestitures, and other business arrangements. Our growth may be adversely affected if we are unable to successfully identify and price strategic business candidates or otherwise optimize our business portfolio.</w:t>
      </w:r>
    </w:p>
    <w:p>
      <w:pPr>
        <w:spacing w:after="0" w:line="68" w:lineRule="exact"/>
        <w:rPr>
          <w:sz w:val="20"/>
          <w:szCs w:val="20"/>
          <w:color w:val="auto"/>
        </w:rPr>
      </w:pPr>
    </w:p>
    <w:p>
      <w:pPr>
        <w:ind w:right="60" w:firstLine="349"/>
        <w:spacing w:after="0" w:line="262" w:lineRule="auto"/>
        <w:rPr>
          <w:sz w:val="20"/>
          <w:szCs w:val="20"/>
          <w:color w:val="auto"/>
        </w:rPr>
      </w:pPr>
      <w:r>
        <w:rPr>
          <w:rFonts w:ascii="Times New Roman" w:cs="Times New Roman" w:eastAsia="Times New Roman" w:hAnsi="Times New Roman"/>
          <w:sz w:val="19"/>
          <w:szCs w:val="19"/>
          <w:color w:val="231F20"/>
        </w:rPr>
        <w:t>Our success depends, in part, on strategic acquisitions and joint ventures, which are intended to complement or expand our businesses, divestiture of non-strategic businesses, and other assets, and other actions intended to optimize our portfolio of businesses. This strategy depends upon our ability to identify, appropriately price, and complete these types of business development transactions or arrangements and to obtain any necessary financing. In recent fiscal years we have made a number of acquisitions, joint ventures and dispositions. We may be unable to find or consummate future acquisitions, joint ventures opportunities and divestitures at acceptable prices and terms. We continually evaluate potential business developments opportunities in the ordinary course of business.</w:t>
      </w:r>
    </w:p>
    <w:p>
      <w:pPr>
        <w:spacing w:after="0" w:line="77" w:lineRule="exact"/>
        <w:rPr>
          <w:sz w:val="20"/>
          <w:szCs w:val="20"/>
          <w:color w:val="auto"/>
        </w:rPr>
      </w:pPr>
    </w:p>
    <w:p>
      <w:pPr>
        <w:ind w:right="120" w:firstLine="349"/>
        <w:spacing w:after="0" w:line="259" w:lineRule="auto"/>
        <w:rPr>
          <w:sz w:val="20"/>
          <w:szCs w:val="20"/>
          <w:color w:val="auto"/>
        </w:rPr>
      </w:pPr>
      <w:r>
        <w:rPr>
          <w:rFonts w:ascii="Times New Roman" w:cs="Times New Roman" w:eastAsia="Times New Roman" w:hAnsi="Times New Roman"/>
          <w:sz w:val="19"/>
          <w:szCs w:val="19"/>
          <w:color w:val="231F20"/>
        </w:rPr>
        <w:t>Competition for strategic business candidates may result in increases in costs and price for acquisition candidates and market valuation issues may reduce the value available for divestiture of non-strategic businesses. These types of transactions are also subject to a number of other risks and uncertainties, including: delays in realizing or failure to realize anticipated benefits of the transactions; a termination or delay in the consummation of acquisition or disposition transactions by counterparties; diversion of management’s time and attention from other business concerns; difficulties in retaining key employees, Customers, or suppliers of the acquired or divested businesses; difficulties in maintaining uniform standards, controls, procedures and policies, or other integration or divestiture difficulties, including those that may expose us to greater cybersecurity risk; adverse effects on existing business relationships with suppliers or Customers; other events contributing to difficulties in generating future cash flows; risks associated with the assumption of contingent or other liabilities of acquisition targets or retention of liabilities for divested businesses and difficulties in obtaining financing.</w:t>
      </w:r>
    </w:p>
    <w:p>
      <w:pPr>
        <w:spacing w:after="0" w:line="87" w:lineRule="exact"/>
        <w:rPr>
          <w:sz w:val="20"/>
          <w:szCs w:val="20"/>
          <w:color w:val="auto"/>
        </w:rPr>
      </w:pPr>
    </w:p>
    <w:p>
      <w:pPr>
        <w:ind w:right="20" w:firstLine="349"/>
        <w:spacing w:after="0" w:line="259" w:lineRule="auto"/>
        <w:rPr>
          <w:sz w:val="20"/>
          <w:szCs w:val="20"/>
          <w:color w:val="auto"/>
        </w:rPr>
      </w:pPr>
      <w:r>
        <w:rPr>
          <w:rFonts w:ascii="Times New Roman" w:cs="Times New Roman" w:eastAsia="Times New Roman" w:hAnsi="Times New Roman"/>
          <w:sz w:val="19"/>
          <w:szCs w:val="19"/>
          <w:color w:val="231F20"/>
        </w:rPr>
        <w:t>Furthermore, assumptions that we have made with respect to acquisitions, dispositions or joint ventures, such as with respect to anticipated operating synergies or the costs associated with realizing such synergies, significant long-term cash flow generation, and the continuation of our investment grade credit profile, may not be realized. The processes involved with disposing of our businesses, entering into joint ventures or post-acquisition integration, as well as the implementation of other strategic initiatives, may result in the loss of key employees, the disruption of ongoing business, changes in strategy or inconsistencies in standards, controls, procedures and policies. There could also be potential unknown liabilities and unforeseen expenses that were not discovered or previously expected. Although we conduct what we believe to be a prudent level of investigation regarding the operating and financial condition of the businesses, product or service lines, assets or technologies we purchase, divest or invest in, an unavoidable level of risk remains regarding their actual operating and financial condition, as well as their strategic fit. We may not be able to ascertain actual value or understand potential liabilities until or after we actually assume operational control of these businesses, product or service lines, assets or technologies.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Our investments in our business and product offerings may not be as successful as anticipated.</w:t>
      </w:r>
    </w:p>
    <w:p>
      <w:pPr>
        <w:spacing w:after="0" w:line="138" w:lineRule="exact"/>
        <w:rPr>
          <w:sz w:val="20"/>
          <w:szCs w:val="20"/>
          <w:color w:val="auto"/>
        </w:rPr>
      </w:pPr>
    </w:p>
    <w:p>
      <w:pPr>
        <w:ind w:right="220" w:firstLine="349"/>
        <w:spacing w:after="0" w:line="263" w:lineRule="auto"/>
        <w:rPr>
          <w:sz w:val="20"/>
          <w:szCs w:val="20"/>
          <w:color w:val="auto"/>
        </w:rPr>
      </w:pPr>
      <w:r>
        <w:rPr>
          <w:rFonts w:ascii="Times New Roman" w:cs="Times New Roman" w:eastAsia="Times New Roman" w:hAnsi="Times New Roman"/>
          <w:sz w:val="19"/>
          <w:szCs w:val="19"/>
          <w:color w:val="231F20"/>
        </w:rPr>
        <w:t>From time to time, we may invest in technology, business infrastructure, new businesses, product offerings and manufacturing innovations and expansion of existing businesses, each of which may require substantial cash investments and management attention. We believe cost-effective investments are essential to business growth and profitability; however, significant investments are subject to typical risks and uncertainties inherent in developing a new business or expanding an existing business. The failure of any significant investment to provide expected returns or profitability could have a material adverse effect on our financial results and divert management attention from more profitable business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Our business realignment initiatives may not be as successful as anticipated.</w:t>
      </w:r>
    </w:p>
    <w:p>
      <w:pPr>
        <w:spacing w:after="0" w:line="138" w:lineRule="exact"/>
        <w:rPr>
          <w:sz w:val="20"/>
          <w:szCs w:val="20"/>
          <w:color w:val="auto"/>
        </w:rPr>
      </w:pPr>
    </w:p>
    <w:p>
      <w:pPr>
        <w:ind w:right="160" w:firstLine="349"/>
        <w:spacing w:after="0" w:line="263" w:lineRule="auto"/>
        <w:rPr>
          <w:sz w:val="20"/>
          <w:szCs w:val="20"/>
          <w:color w:val="auto"/>
        </w:rPr>
      </w:pPr>
      <w:r>
        <w:rPr>
          <w:rFonts w:ascii="Times New Roman" w:cs="Times New Roman" w:eastAsia="Times New Roman" w:hAnsi="Times New Roman"/>
          <w:sz w:val="19"/>
          <w:szCs w:val="19"/>
          <w:color w:val="231F20"/>
        </w:rPr>
        <w:t>We execute organizational realignments to support our growth and cost management strategies. We also engage in initiatives aimed to increase productivity, efficiencies and cash flow and to reduce costs. If we are unable to successfully manage these and other organizational changes, the ability to complete such activities and realize anticipated synergies or cost savings as well as our results of operations and financial condition could be materially adversely affected. We cannot offer assurances that any of these initiatives will be beneficial to the extent anticipated, or that the estimated efficiency improvements, incremental cost savings or cash flow improvements will be realized as anticipated or at all.</w:t>
      </w:r>
    </w:p>
    <w:p>
      <w:pPr>
        <w:sectPr>
          <w:pgSz w:w="11880" w:h="15480" w:orient="portrait"/>
          <w:cols w:equalWidth="0" w:num="1">
            <w:col w:w="9960"/>
          </w:cols>
          <w:pgMar w:left="960" w:top="825" w:right="960" w:bottom="0" w:gutter="0" w:footer="0" w:header="0"/>
        </w:sect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23</w:t>
      </w:r>
    </w:p>
    <w:p>
      <w:pPr>
        <w:sectPr>
          <w:pgSz w:w="11880" w:h="15480" w:orient="portrait"/>
          <w:cols w:equalWidth="0" w:num="1">
            <w:col w:w="9960"/>
          </w:cols>
          <w:pgMar w:left="960" w:top="825" w:right="960" w:bottom="0" w:gutter="0" w:footer="0" w:header="0"/>
          <w:type w:val="continuous"/>
        </w:sectPr>
      </w:pPr>
    </w:p>
    <w:bookmarkStart w:id="24" w:name="page25"/>
    <w:bookmarkEnd w:id="24"/>
    <w:p>
      <w:pPr>
        <w:ind w:right="160"/>
        <w:spacing w:after="0" w:line="301" w:lineRule="auto"/>
        <w:rPr>
          <w:sz w:val="20"/>
          <w:szCs w:val="20"/>
          <w:color w:val="auto"/>
        </w:rPr>
      </w:pPr>
      <w:r>
        <w:rPr>
          <w:rFonts w:ascii="Times New Roman" w:cs="Times New Roman" w:eastAsia="Times New Roman" w:hAnsi="Times New Roman"/>
          <w:sz w:val="19"/>
          <w:szCs w:val="19"/>
          <w:b w:val="1"/>
          <w:bCs w:val="1"/>
          <w:i w:val="1"/>
          <w:iCs w:val="1"/>
          <w:color w:val="231F20"/>
        </w:rPr>
        <w:t>Our acquisition activity and ability to grow organically may be adversely affected if we are unable to continue to access the financial markets</w:t>
      </w:r>
      <w:r>
        <w:rPr>
          <w:rFonts w:ascii="Times New Roman" w:cs="Times New Roman" w:eastAsia="Times New Roman" w:hAnsi="Times New Roman"/>
          <w:sz w:val="19"/>
          <w:szCs w:val="19"/>
          <w:color w:val="231F20"/>
        </w:rPr>
        <w:t>.</w:t>
      </w:r>
    </w:p>
    <w:p>
      <w:pPr>
        <w:spacing w:after="0" w:line="41" w:lineRule="exact"/>
        <w:rPr>
          <w:sz w:val="20"/>
          <w:szCs w:val="20"/>
          <w:color w:val="auto"/>
        </w:rPr>
      </w:pPr>
    </w:p>
    <w:p>
      <w:pPr>
        <w:ind w:right="40" w:firstLine="349"/>
        <w:spacing w:after="0" w:line="263" w:lineRule="auto"/>
        <w:rPr>
          <w:sz w:val="20"/>
          <w:szCs w:val="20"/>
          <w:color w:val="auto"/>
        </w:rPr>
      </w:pPr>
      <w:r>
        <w:rPr>
          <w:rFonts w:ascii="Times New Roman" w:cs="Times New Roman" w:eastAsia="Times New Roman" w:hAnsi="Times New Roman"/>
          <w:sz w:val="19"/>
          <w:szCs w:val="19"/>
          <w:color w:val="231F20"/>
        </w:rPr>
        <w:t>We have financed acquisitions through cash on hand, borrowings under our bank credit facilities and through public note offerings. Future acquisitions or other capital requirements and investments will necessitate additional cash. To the extent our existing sources of cash are insufficient to fund these or other future activities, we have in the past needed and may in the future need to raise additional funds through new or expanded financing arrangements, which could include further borrowings or equity issuances. There can be no assurance that we will be able to obtain additional funds on terms favorable to us, or at all, or that our existing bank credit facilities or other indebtedness can be replaced or refinanced when they mature or terminate.</w:t>
      </w:r>
    </w:p>
    <w:p>
      <w:pPr>
        <w:spacing w:after="0" w:line="70" w:lineRule="exact"/>
        <w:rPr>
          <w:sz w:val="20"/>
          <w:szCs w:val="20"/>
          <w:color w:val="auto"/>
        </w:rPr>
      </w:pPr>
    </w:p>
    <w:p>
      <w:pPr>
        <w:ind w:right="380"/>
        <w:spacing w:after="0" w:line="297" w:lineRule="auto"/>
        <w:rPr>
          <w:sz w:val="20"/>
          <w:szCs w:val="20"/>
          <w:color w:val="auto"/>
        </w:rPr>
      </w:pPr>
      <w:r>
        <w:rPr>
          <w:rFonts w:ascii="Times New Roman" w:cs="Times New Roman" w:eastAsia="Times New Roman" w:hAnsi="Times New Roman"/>
          <w:sz w:val="19"/>
          <w:szCs w:val="19"/>
          <w:b w:val="1"/>
          <w:bCs w:val="1"/>
          <w:i w:val="1"/>
          <w:iCs w:val="1"/>
          <w:color w:val="231F20"/>
        </w:rPr>
        <w:t>The integration of acquired businesses into STERIS or working arrangements with joint venture partners may not be as successful as anticipated.</w:t>
      </w:r>
    </w:p>
    <w:p>
      <w:pPr>
        <w:spacing w:after="0" w:line="48" w:lineRule="exact"/>
        <w:rPr>
          <w:sz w:val="20"/>
          <w:szCs w:val="20"/>
          <w:color w:val="auto"/>
        </w:rPr>
      </w:pPr>
    </w:p>
    <w:p>
      <w:pPr>
        <w:ind w:right="20" w:firstLine="349"/>
        <w:spacing w:after="0" w:line="262" w:lineRule="auto"/>
        <w:rPr>
          <w:sz w:val="20"/>
          <w:szCs w:val="20"/>
          <w:color w:val="auto"/>
        </w:rPr>
      </w:pPr>
      <w:r>
        <w:rPr>
          <w:rFonts w:ascii="Times New Roman" w:cs="Times New Roman" w:eastAsia="Times New Roman" w:hAnsi="Times New Roman"/>
          <w:sz w:val="19"/>
          <w:szCs w:val="19"/>
          <w:color w:val="231F20"/>
        </w:rPr>
        <w:t>The integration of acquired businesses into STERIS as well as the entry into and operation of strategic joint ventures involves numerous operational, strategic, financial, accounting, legal, tax and other risks; potential liabilities associated with the acquired businesses or partners; and uncertainties related to design, operation and integration of internal controls over financial reporting. These risks and difficulties may result in the business performing differently than expected, in operational challenges, in strategic changes or in the failure to realize anticipated expense-related efficiencies. STERIS’s existing businesses could also be negatively impacted by integration actions or the administration of joint ventures. Potential difficulties that may be encountered include, among other factors:</w:t>
      </w:r>
    </w:p>
    <w:p>
      <w:pPr>
        <w:spacing w:after="0" w:line="128" w:lineRule="exact"/>
        <w:rPr>
          <w:sz w:val="20"/>
          <w:szCs w:val="20"/>
          <w:color w:val="auto"/>
        </w:rPr>
      </w:pPr>
    </w:p>
    <w:p>
      <w:pPr>
        <w:ind w:left="580" w:right="700" w:hanging="351"/>
        <w:spacing w:after="0" w:line="247" w:lineRule="auto"/>
        <w:tabs>
          <w:tab w:leader="none" w:pos="580" w:val="left"/>
        </w:tabs>
        <w:numPr>
          <w:ilvl w:val="0"/>
          <w:numId w:val="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inability to successfully integrate the business of an acquired business into STERIS in a manner that permits STERIS to achieve the full revenue and cost savings anticipated from the acquisition;</w:t>
      </w:r>
    </w:p>
    <w:p>
      <w:pPr>
        <w:spacing w:after="0" w:line="1" w:lineRule="exact"/>
        <w:rPr>
          <w:rFonts w:ascii="Times New Roman" w:cs="Times New Roman" w:eastAsia="Times New Roman" w:hAnsi="Times New Roman"/>
          <w:sz w:val="19"/>
          <w:szCs w:val="19"/>
          <w:color w:val="231F20"/>
        </w:rPr>
      </w:pPr>
    </w:p>
    <w:p>
      <w:pPr>
        <w:ind w:left="580" w:hanging="351"/>
        <w:spacing w:after="0"/>
        <w:tabs>
          <w:tab w:leader="none" w:pos="580" w:val="left"/>
        </w:tabs>
        <w:numPr>
          <w:ilvl w:val="0"/>
          <w:numId w:val="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complexities associated with managing the larger, more complex, integrated business;</w:t>
      </w:r>
    </w:p>
    <w:p>
      <w:pPr>
        <w:spacing w:after="0" w:line="58" w:lineRule="exact"/>
        <w:rPr>
          <w:rFonts w:ascii="Times New Roman" w:cs="Times New Roman" w:eastAsia="Times New Roman" w:hAnsi="Times New Roman"/>
          <w:sz w:val="19"/>
          <w:szCs w:val="19"/>
          <w:color w:val="231F20"/>
        </w:rPr>
      </w:pPr>
    </w:p>
    <w:p>
      <w:pPr>
        <w:ind w:left="580" w:hanging="351"/>
        <w:spacing w:after="0"/>
        <w:tabs>
          <w:tab w:leader="none" w:pos="580" w:val="left"/>
        </w:tabs>
        <w:numPr>
          <w:ilvl w:val="0"/>
          <w:numId w:val="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not realizing anticipated operating synergies or incurring unexpected costs to realize such synergies;</w:t>
      </w:r>
    </w:p>
    <w:p>
      <w:pPr>
        <w:spacing w:after="0" w:line="72" w:lineRule="exact"/>
        <w:rPr>
          <w:rFonts w:ascii="Times New Roman" w:cs="Times New Roman" w:eastAsia="Times New Roman" w:hAnsi="Times New Roman"/>
          <w:sz w:val="19"/>
          <w:szCs w:val="19"/>
          <w:color w:val="231F20"/>
        </w:rPr>
      </w:pPr>
    </w:p>
    <w:p>
      <w:pPr>
        <w:ind w:left="580" w:right="380" w:hanging="351"/>
        <w:spacing w:after="0" w:line="250" w:lineRule="auto"/>
        <w:tabs>
          <w:tab w:leader="none" w:pos="580" w:val="left"/>
        </w:tabs>
        <w:numPr>
          <w:ilvl w:val="0"/>
          <w:numId w:val="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integrating personnel from acquired businesses into STERIS while maintaining focus on providing consistent, high-quality products and services;</w:t>
      </w:r>
    </w:p>
    <w:p>
      <w:pPr>
        <w:spacing w:after="0" w:line="10" w:lineRule="exact"/>
        <w:rPr>
          <w:rFonts w:ascii="Times New Roman" w:cs="Times New Roman" w:eastAsia="Times New Roman" w:hAnsi="Times New Roman"/>
          <w:sz w:val="19"/>
          <w:szCs w:val="19"/>
          <w:color w:val="231F20"/>
        </w:rPr>
      </w:pPr>
    </w:p>
    <w:p>
      <w:pPr>
        <w:ind w:left="580" w:hanging="351"/>
        <w:spacing w:after="0"/>
        <w:tabs>
          <w:tab w:leader="none" w:pos="580" w:val="left"/>
        </w:tabs>
        <w:numPr>
          <w:ilvl w:val="0"/>
          <w:numId w:val="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potential unknown liabilities and unforeseen expenses;</w:t>
      </w:r>
    </w:p>
    <w:p>
      <w:pPr>
        <w:spacing w:after="0" w:line="58" w:lineRule="exact"/>
        <w:rPr>
          <w:rFonts w:ascii="Times New Roman" w:cs="Times New Roman" w:eastAsia="Times New Roman" w:hAnsi="Times New Roman"/>
          <w:sz w:val="19"/>
          <w:szCs w:val="19"/>
          <w:color w:val="231F20"/>
        </w:rPr>
      </w:pPr>
    </w:p>
    <w:p>
      <w:pPr>
        <w:ind w:left="580" w:hanging="351"/>
        <w:spacing w:after="0"/>
        <w:tabs>
          <w:tab w:leader="none" w:pos="580" w:val="left"/>
        </w:tabs>
        <w:numPr>
          <w:ilvl w:val="0"/>
          <w:numId w:val="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loss of key employees;</w:t>
      </w:r>
    </w:p>
    <w:p>
      <w:pPr>
        <w:spacing w:after="0" w:line="34" w:lineRule="exact"/>
        <w:rPr>
          <w:rFonts w:ascii="Times New Roman" w:cs="Times New Roman" w:eastAsia="Times New Roman" w:hAnsi="Times New Roman"/>
          <w:sz w:val="19"/>
          <w:szCs w:val="19"/>
          <w:color w:val="231F20"/>
        </w:rPr>
      </w:pPr>
    </w:p>
    <w:p>
      <w:pPr>
        <w:ind w:left="580" w:hanging="351"/>
        <w:spacing w:after="0"/>
        <w:tabs>
          <w:tab w:leader="none" w:pos="580" w:val="left"/>
        </w:tabs>
        <w:numPr>
          <w:ilvl w:val="0"/>
          <w:numId w:val="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integrating relationships with Customers, vendors and business partners;</w:t>
      </w:r>
    </w:p>
    <w:p>
      <w:pPr>
        <w:spacing w:after="0" w:line="38" w:lineRule="exact"/>
        <w:rPr>
          <w:rFonts w:ascii="Times New Roman" w:cs="Times New Roman" w:eastAsia="Times New Roman" w:hAnsi="Times New Roman"/>
          <w:sz w:val="19"/>
          <w:szCs w:val="19"/>
          <w:color w:val="231F20"/>
        </w:rPr>
      </w:pPr>
    </w:p>
    <w:p>
      <w:pPr>
        <w:ind w:left="580" w:right="480" w:hanging="351"/>
        <w:spacing w:after="0" w:line="250" w:lineRule="auto"/>
        <w:tabs>
          <w:tab w:leader="none" w:pos="580" w:val="left"/>
        </w:tabs>
        <w:numPr>
          <w:ilvl w:val="0"/>
          <w:numId w:val="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performance shortfalls as a result of the diversion of management’s attention caused by integration or joint venture activities; and</w:t>
      </w:r>
    </w:p>
    <w:p>
      <w:pPr>
        <w:spacing w:after="0" w:line="10" w:lineRule="exact"/>
        <w:rPr>
          <w:rFonts w:ascii="Times New Roman" w:cs="Times New Roman" w:eastAsia="Times New Roman" w:hAnsi="Times New Roman"/>
          <w:sz w:val="19"/>
          <w:szCs w:val="19"/>
          <w:color w:val="231F20"/>
        </w:rPr>
      </w:pPr>
    </w:p>
    <w:p>
      <w:pPr>
        <w:ind w:left="580" w:right="460" w:hanging="351"/>
        <w:spacing w:after="0" w:line="250" w:lineRule="auto"/>
        <w:tabs>
          <w:tab w:leader="none" w:pos="580" w:val="left"/>
        </w:tabs>
        <w:numPr>
          <w:ilvl w:val="0"/>
          <w:numId w:val="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disruption of, or the loss of momentum in a new business and STERIS’s ongoing business or inconsistencies in standards, controls, procedures and policies.</w:t>
      </w:r>
    </w:p>
    <w:p>
      <w:pPr>
        <w:spacing w:after="0" w:line="35" w:lineRule="exact"/>
        <w:rPr>
          <w:sz w:val="20"/>
          <w:szCs w:val="20"/>
          <w:color w:val="auto"/>
        </w:rPr>
      </w:pPr>
    </w:p>
    <w:p>
      <w:pPr>
        <w:ind w:right="880"/>
        <w:spacing w:after="0" w:line="297" w:lineRule="auto"/>
        <w:rPr>
          <w:sz w:val="20"/>
          <w:szCs w:val="20"/>
          <w:color w:val="auto"/>
        </w:rPr>
      </w:pPr>
      <w:r>
        <w:rPr>
          <w:rFonts w:ascii="Times New Roman" w:cs="Times New Roman" w:eastAsia="Times New Roman" w:hAnsi="Times New Roman"/>
          <w:sz w:val="19"/>
          <w:szCs w:val="19"/>
          <w:b w:val="1"/>
          <w:bCs w:val="1"/>
          <w:i w:val="1"/>
          <w:iCs w:val="1"/>
          <w:color w:val="231F20"/>
        </w:rPr>
        <w:t>Past and future business acquisitions may not be as accretive to STERIS’s earnings per share and cash flow from operations per share, which may negatively affect the market price of STERIS shares.</w:t>
      </w:r>
    </w:p>
    <w:p>
      <w:pPr>
        <w:spacing w:after="0" w:line="48" w:lineRule="exact"/>
        <w:rPr>
          <w:sz w:val="20"/>
          <w:szCs w:val="20"/>
          <w:color w:val="auto"/>
        </w:rPr>
      </w:pPr>
    </w:p>
    <w:p>
      <w:pPr>
        <w:ind w:right="60" w:firstLine="349"/>
        <w:spacing w:after="0" w:line="265" w:lineRule="auto"/>
        <w:rPr>
          <w:sz w:val="20"/>
          <w:szCs w:val="20"/>
          <w:color w:val="auto"/>
        </w:rPr>
      </w:pPr>
      <w:r>
        <w:rPr>
          <w:rFonts w:ascii="Times New Roman" w:cs="Times New Roman" w:eastAsia="Times New Roman" w:hAnsi="Times New Roman"/>
          <w:sz w:val="19"/>
          <w:szCs w:val="19"/>
          <w:color w:val="231F20"/>
        </w:rPr>
        <w:t>Past and future acquisitions may not be as accretive to STERIS’s earnings per share and cash flow from operations per share as expected. Future events and conditions could decrease or delay any expected accretion, result in dilution or cause greater dilution than is currently expected, including adverse changes in market conditions, production levels, operating results, competitive conditions, laws and regulations affecting STERIS, capital expenditure obligations, higher than expected integration costs, lower than expected synergies and general economic conditions.</w:t>
      </w:r>
    </w:p>
    <w:p>
      <w:pPr>
        <w:spacing w:after="0" w:line="74" w:lineRule="exact"/>
        <w:rPr>
          <w:sz w:val="20"/>
          <w:szCs w:val="20"/>
          <w:color w:val="auto"/>
        </w:rPr>
      </w:pPr>
    </w:p>
    <w:p>
      <w:pPr>
        <w:jc w:val="both"/>
        <w:ind w:right="80" w:firstLine="349"/>
        <w:spacing w:after="0" w:line="293" w:lineRule="auto"/>
        <w:rPr>
          <w:sz w:val="20"/>
          <w:szCs w:val="20"/>
          <w:color w:val="auto"/>
        </w:rPr>
      </w:pPr>
      <w:r>
        <w:rPr>
          <w:rFonts w:ascii="Times New Roman" w:cs="Times New Roman" w:eastAsia="Times New Roman" w:hAnsi="Times New Roman"/>
          <w:sz w:val="19"/>
          <w:szCs w:val="19"/>
          <w:color w:val="231F20"/>
        </w:rPr>
        <w:t>Any decrease or delay of any accretion to STERIS’s earnings per share or cash flow from operations per share could cause the price of the STERIS’s ordinary shares to decline.</w:t>
      </w:r>
    </w:p>
    <w:p>
      <w:pPr>
        <w:spacing w:after="0" w:line="42" w:lineRule="exact"/>
        <w:rPr>
          <w:sz w:val="20"/>
          <w:szCs w:val="20"/>
          <w:color w:val="auto"/>
        </w:rPr>
      </w:pPr>
    </w:p>
    <w:p>
      <w:pPr>
        <w:ind w:right="1060"/>
        <w:spacing w:after="0" w:line="298" w:lineRule="auto"/>
        <w:rPr>
          <w:sz w:val="20"/>
          <w:szCs w:val="20"/>
          <w:color w:val="auto"/>
        </w:rPr>
      </w:pPr>
      <w:r>
        <w:rPr>
          <w:rFonts w:ascii="Times New Roman" w:cs="Times New Roman" w:eastAsia="Times New Roman" w:hAnsi="Times New Roman"/>
          <w:sz w:val="19"/>
          <w:szCs w:val="19"/>
          <w:b w:val="1"/>
          <w:bCs w:val="1"/>
          <w:i w:val="1"/>
          <w:iCs w:val="1"/>
          <w:color w:val="231F20"/>
        </w:rPr>
        <w:t>STERIS has incurred and expects to incur significant transaction and related costs in connection with strategic transactions, which may be in excess of those anticipated.</w:t>
      </w:r>
    </w:p>
    <w:p>
      <w:pPr>
        <w:spacing w:after="0" w:line="47" w:lineRule="exact"/>
        <w:rPr>
          <w:sz w:val="20"/>
          <w:szCs w:val="20"/>
          <w:color w:val="auto"/>
        </w:rPr>
      </w:pPr>
    </w:p>
    <w:p>
      <w:pPr>
        <w:jc w:val="both"/>
        <w:ind w:right="80" w:firstLine="349"/>
        <w:spacing w:after="0" w:line="265" w:lineRule="auto"/>
        <w:rPr>
          <w:sz w:val="20"/>
          <w:szCs w:val="20"/>
          <w:color w:val="auto"/>
        </w:rPr>
      </w:pPr>
      <w:r>
        <w:rPr>
          <w:rFonts w:ascii="Times New Roman" w:cs="Times New Roman" w:eastAsia="Times New Roman" w:hAnsi="Times New Roman"/>
          <w:sz w:val="19"/>
          <w:szCs w:val="19"/>
          <w:color w:val="231F20"/>
        </w:rPr>
        <w:t>STERIS has incurred substantial expenses in connection with the negotiation and completion of past business acquisitions, dispositions and joint ventures, and expects to incur similar costs for any future strategic transactions. The anticipated benefits and cost savings from such initiatives may not be realized fully or at all, may take longer to realize than expected, may require more non-recurring costs and expenditures to realize than expected or could have other adverse effects that we do not currently foresee.</w:t>
      </w:r>
    </w:p>
    <w:p>
      <w:pPr>
        <w:spacing w:after="0" w:line="75" w:lineRule="exact"/>
        <w:rPr>
          <w:sz w:val="20"/>
          <w:szCs w:val="20"/>
          <w:color w:val="auto"/>
        </w:rPr>
      </w:pPr>
    </w:p>
    <w:p>
      <w:pPr>
        <w:ind w:right="20" w:firstLine="349"/>
        <w:spacing w:after="0" w:line="268" w:lineRule="auto"/>
        <w:rPr>
          <w:sz w:val="20"/>
          <w:szCs w:val="20"/>
          <w:color w:val="auto"/>
        </w:rPr>
      </w:pPr>
      <w:r>
        <w:rPr>
          <w:rFonts w:ascii="Times New Roman" w:cs="Times New Roman" w:eastAsia="Times New Roman" w:hAnsi="Times New Roman"/>
          <w:sz w:val="19"/>
          <w:szCs w:val="19"/>
          <w:color w:val="231F20"/>
        </w:rPr>
        <w:t>STERIS expects to incur non-recurring costs associated with the integrations of recent acquisitions into STERIS, joint ventures and working towards achieving desired synergies. These fees and costs have been, and may continue to be, substantial. The non-recurring expenses include, among others, employee retention costs, fees paid to financial, legal and accounting advisors, and severance and benefit costs.</w:t>
      </w:r>
    </w:p>
    <w:p>
      <w:pPr>
        <w:spacing w:after="0" w:line="72" w:lineRule="exact"/>
        <w:rPr>
          <w:sz w:val="20"/>
          <w:szCs w:val="20"/>
          <w:color w:val="auto"/>
        </w:rPr>
      </w:pPr>
    </w:p>
    <w:p>
      <w:pPr>
        <w:ind w:firstLine="349"/>
        <w:spacing w:after="0" w:line="293" w:lineRule="auto"/>
        <w:rPr>
          <w:sz w:val="20"/>
          <w:szCs w:val="20"/>
          <w:color w:val="auto"/>
        </w:rPr>
      </w:pPr>
      <w:r>
        <w:rPr>
          <w:rFonts w:ascii="Times New Roman" w:cs="Times New Roman" w:eastAsia="Times New Roman" w:hAnsi="Times New Roman"/>
          <w:sz w:val="19"/>
          <w:szCs w:val="19"/>
          <w:color w:val="231F20"/>
        </w:rPr>
        <w:t>STERIS also expects to incur and has incurred costs to consolidate facilities and systems. Additional unanticipated costs may be incurred in connection with strategic transactions. Although STERIS expects that the elimination of duplicative costs, as</w:t>
      </w:r>
    </w:p>
    <w:p>
      <w:pPr>
        <w:sectPr>
          <w:pgSz w:w="11880" w:h="15480" w:orient="portrait"/>
          <w:cols w:equalWidth="0" w:num="1">
            <w:col w:w="9960"/>
          </w:cols>
          <w:pgMar w:left="960" w:top="818" w:right="960" w:bottom="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24</w:t>
      </w:r>
    </w:p>
    <w:p>
      <w:pPr>
        <w:sectPr>
          <w:pgSz w:w="11880" w:h="15480" w:orient="portrait"/>
          <w:cols w:equalWidth="0" w:num="1">
            <w:col w:w="9960"/>
          </w:cols>
          <w:pgMar w:left="960" w:top="818" w:right="960" w:bottom="0" w:gutter="0" w:footer="0" w:header="0"/>
          <w:type w:val="continuous"/>
        </w:sectPr>
      </w:pPr>
    </w:p>
    <w:bookmarkStart w:id="25" w:name="page26"/>
    <w:bookmarkEnd w:id="25"/>
    <w:p>
      <w:pPr>
        <w:ind w:right="420"/>
        <w:spacing w:after="0" w:line="293" w:lineRule="auto"/>
        <w:rPr>
          <w:sz w:val="20"/>
          <w:szCs w:val="20"/>
          <w:color w:val="auto"/>
        </w:rPr>
      </w:pPr>
      <w:r>
        <w:rPr>
          <w:rFonts w:ascii="Times New Roman" w:cs="Times New Roman" w:eastAsia="Times New Roman" w:hAnsi="Times New Roman"/>
          <w:sz w:val="19"/>
          <w:szCs w:val="19"/>
          <w:color w:val="231F20"/>
        </w:rPr>
        <w:t>well as the realization of other efficiencies related to the integration of acquired businesses, should allow STERIS to offset integration-related costs over time, this net benefit may not be achieved in the near term, or at all.</w:t>
      </w:r>
    </w:p>
    <w:p>
      <w:pPr>
        <w:spacing w:after="0" w:line="49" w:lineRule="exact"/>
        <w:rPr>
          <w:sz w:val="20"/>
          <w:szCs w:val="20"/>
          <w:color w:val="auto"/>
        </w:rPr>
      </w:pPr>
    </w:p>
    <w:p>
      <w:pPr>
        <w:ind w:right="100" w:firstLine="349"/>
        <w:spacing w:after="0" w:line="265" w:lineRule="auto"/>
        <w:rPr>
          <w:sz w:val="20"/>
          <w:szCs w:val="20"/>
          <w:color w:val="auto"/>
        </w:rPr>
      </w:pPr>
      <w:r>
        <w:rPr>
          <w:rFonts w:ascii="Times New Roman" w:cs="Times New Roman" w:eastAsia="Times New Roman" w:hAnsi="Times New Roman"/>
          <w:sz w:val="19"/>
          <w:szCs w:val="19"/>
          <w:color w:val="231F20"/>
        </w:rPr>
        <w:t>STERIS may not achieve expected returns and benefits in connection with dispositions, which may require continued involvement in a divested business, such as through transition service agreements, guarantees, indemnities or other financial obligations. Under these arrangements, the performance of the divested business, or other conditions outside our control, could affect our future financial results. The costs described above, as well as other unanticipated costs and expenses, could have a material adverse effect on the financial condition and operating results.</w:t>
      </w:r>
    </w:p>
    <w:p>
      <w:pPr>
        <w:spacing w:after="0" w:line="67"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19"/>
          <w:szCs w:val="19"/>
          <w:b w:val="1"/>
          <w:bCs w:val="1"/>
          <w:i w:val="1"/>
          <w:iCs w:val="1"/>
          <w:color w:val="231F20"/>
        </w:rPr>
        <w:t>We have recorded goodwill and other intangible assets that could become impaired and result in material non-cash charges to our results of operation in the future.</w:t>
      </w:r>
    </w:p>
    <w:p>
      <w:pPr>
        <w:spacing w:after="0" w:line="48" w:lineRule="exact"/>
        <w:rPr>
          <w:sz w:val="20"/>
          <w:szCs w:val="20"/>
          <w:color w:val="auto"/>
        </w:rPr>
      </w:pPr>
    </w:p>
    <w:p>
      <w:pPr>
        <w:jc w:val="both"/>
        <w:ind w:right="220" w:firstLine="349"/>
        <w:spacing w:after="0" w:line="263" w:lineRule="auto"/>
        <w:rPr>
          <w:sz w:val="20"/>
          <w:szCs w:val="20"/>
          <w:color w:val="auto"/>
        </w:rPr>
      </w:pPr>
      <w:r>
        <w:rPr>
          <w:rFonts w:ascii="Times New Roman" w:cs="Times New Roman" w:eastAsia="Times New Roman" w:hAnsi="Times New Roman"/>
          <w:sz w:val="19"/>
          <w:szCs w:val="19"/>
          <w:color w:val="231F20"/>
        </w:rPr>
        <w:t>Our total assets include goodwill, intangibles and other long-lived assets. If we determine that these items have become impaired in the future, it may have a material adverse effect on our financial condition and results of operations. As of March 31, 2026, we had recorded goodwill of $4 billion and other intangible assets, net of accumulated amortization of $2 billion.</w:t>
      </w:r>
    </w:p>
    <w:p>
      <w:pPr>
        <w:ind w:right="40"/>
        <w:spacing w:after="0" w:line="259" w:lineRule="auto"/>
        <w:rPr>
          <w:sz w:val="20"/>
          <w:szCs w:val="20"/>
          <w:color w:val="auto"/>
        </w:rPr>
      </w:pPr>
      <w:r>
        <w:rPr>
          <w:rFonts w:ascii="Times New Roman" w:cs="Times New Roman" w:eastAsia="Times New Roman" w:hAnsi="Times New Roman"/>
          <w:sz w:val="19"/>
          <w:szCs w:val="19"/>
          <w:color w:val="231F20"/>
        </w:rPr>
        <w:t>Goodwill represents the excess of purchase price over the estimated fair value assigned to the net tangible and identifiable intangible assets of a business acquired. Goodwill is evaluated for impairment annually or more frequently, if indicators of impairment exist. If the impairment evaluations for goodwill indicate the carrying amount exceeds the estimated fair value, an impairment loss is recognized in an amount equal to that excess. Our operating results may be significantly impacted from both the impairment and the underlying trends in the business that triggered the impairment.</w:t>
      </w:r>
    </w:p>
    <w:p>
      <w:pPr>
        <w:spacing w:after="0" w:line="5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7"/>
          <w:szCs w:val="27"/>
          <w:color w:val="231F20"/>
        </w:rPr>
        <w:t>ITEM 1B.</w:t>
        <w:tab/>
        <w:t>UNRESOLVED STAFF COMMENTS</w:t>
      </w:r>
    </w:p>
    <w:p>
      <w:pPr>
        <w:spacing w:after="0" w:line="1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None.</w:t>
      </w:r>
    </w:p>
    <w:p>
      <w:pPr>
        <w:spacing w:after="0" w:line="107"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7"/>
          <w:szCs w:val="27"/>
          <w:color w:val="231F20"/>
        </w:rPr>
        <w:t>ITEM 1C.</w:t>
      </w:r>
      <w:r>
        <w:rPr>
          <w:sz w:val="20"/>
          <w:szCs w:val="20"/>
          <w:color w:val="auto"/>
        </w:rPr>
        <w:tab/>
      </w:r>
      <w:r>
        <w:rPr>
          <w:rFonts w:ascii="Times New Roman" w:cs="Times New Roman" w:eastAsia="Times New Roman" w:hAnsi="Times New Roman"/>
          <w:sz w:val="26"/>
          <w:szCs w:val="26"/>
          <w:color w:val="231F20"/>
        </w:rPr>
        <w:t>CYBERSECURITY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Cybersecurity Risk Management and Strategy</w:t>
      </w:r>
    </w:p>
    <w:p>
      <w:pPr>
        <w:spacing w:after="0" w:line="138"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231F20"/>
        </w:rPr>
        <w:t>At STERIS, the ERM program is designed to identify, assess, and manage risks across STERIS’s enterprise. Cybersecurity risk management is integrated into STERIS’s ERM program, under which we regularly assess cybersecurity risks in accordance with what we believe are industry cybersecurity best practices. Further, we implement controls to protect the confidentiality, integrity and availability of STERIS’s information systems and information. We maintain cybersecurity and incident response procedures to address our security standards and requirements and provide a framework for assessing and responding to cybersecurity threats and incidents. Additionally, as part of our ERM program, STERIS oversees and identifies risks associated with third-party service providers with whom we do business, which process includes due diligence, risk management assessments and contractual safeguards. We also maintain cyber liability insurance to help mitigate potential liabilities resulting from cybersecurity issues.</w:t>
      </w:r>
    </w:p>
    <w:p>
      <w:pPr>
        <w:spacing w:after="0" w:line="82" w:lineRule="exact"/>
        <w:rPr>
          <w:sz w:val="20"/>
          <w:szCs w:val="20"/>
          <w:color w:val="auto"/>
        </w:rPr>
      </w:pPr>
    </w:p>
    <w:p>
      <w:pPr>
        <w:ind w:right="20" w:firstLine="349"/>
        <w:spacing w:after="0" w:line="258" w:lineRule="auto"/>
        <w:rPr>
          <w:sz w:val="20"/>
          <w:szCs w:val="20"/>
          <w:color w:val="auto"/>
        </w:rPr>
      </w:pPr>
      <w:r>
        <w:rPr>
          <w:rFonts w:ascii="Times New Roman" w:cs="Times New Roman" w:eastAsia="Times New Roman" w:hAnsi="Times New Roman"/>
          <w:sz w:val="19"/>
          <w:szCs w:val="19"/>
          <w:color w:val="231F20"/>
        </w:rPr>
        <w:t>STERIS has an Executive Cybersecurity Steering Committee consisting of the Senior Vice President &amp; Chief Financial Officer, the Vice President, Corporate Controller, the Vice President, Investor Relations &amp; Corporate Communications, the Vice President &amp; Chief Information Officer (“CIO”), the Vice President, Chief Compliance and Quality Officer, the Senior Vice President, General Counsel &amp; Company Secretary, and the Vice President, Chief Information Security Officer (“CISO”) that is responsible for providing governance, risk and compliance oversight for STERIS’s incident response program, providing guidance and support for cybersecurity non-technical initiatives, and for verifying that appropriate actions are taken following an incident occurrence. We have adopted and maintain an incident response policy that covers our incident response program and the duties and responsibilities of our Incident Response Team (“IRT”) responsible for managing and responding to cybersecurity incidents, including data breaches. Our IRT is led by the CISO and is comprised of senior management and others, including external resources, as required. Our incident response policy includes steps for detecting and investigating cybersecurity incidents, assessing the nature, scope, and severity of cybersecurity threats, identifying the impact of cybersecurity incidents, communicating cybersecurity incident disclosures, and implementing cybersecurity countermeasures and mitigation strategies. A subcommittee of our IRT reviews and assesses associated public reporting implications of cybersecurity incidents. Our process also includes informing the Board of Directors and the Audit Committee following a material cybersecurity incident.</w:t>
      </w:r>
    </w:p>
    <w:p>
      <w:pPr>
        <w:spacing w:after="0" w:line="321" w:lineRule="exact"/>
        <w:rPr>
          <w:sz w:val="20"/>
          <w:szCs w:val="20"/>
          <w:color w:val="auto"/>
        </w:rPr>
      </w:pPr>
    </w:p>
    <w:p>
      <w:pPr>
        <w:ind w:right="480" w:firstLine="349"/>
        <w:spacing w:after="0" w:line="274" w:lineRule="auto"/>
        <w:rPr>
          <w:sz w:val="20"/>
          <w:szCs w:val="20"/>
          <w:color w:val="auto"/>
        </w:rPr>
      </w:pPr>
      <w:r>
        <w:rPr>
          <w:rFonts w:ascii="Times New Roman" w:cs="Times New Roman" w:eastAsia="Times New Roman" w:hAnsi="Times New Roman"/>
          <w:sz w:val="19"/>
          <w:szCs w:val="19"/>
          <w:color w:val="231F20"/>
        </w:rPr>
        <w:t>We engage third-party security experts to support our risk assessment activities and to provide system security enhancements. Our program includes regular vulnerability and penetration testing (internal and external) of our enterprise systems by independent external security experts.</w:t>
      </w:r>
    </w:p>
    <w:p>
      <w:pPr>
        <w:spacing w:after="0" w:line="67" w:lineRule="exact"/>
        <w:rPr>
          <w:sz w:val="20"/>
          <w:szCs w:val="20"/>
          <w:color w:val="auto"/>
        </w:rPr>
      </w:pPr>
    </w:p>
    <w:p>
      <w:pPr>
        <w:ind w:firstLine="349"/>
        <w:spacing w:after="0" w:line="274" w:lineRule="auto"/>
        <w:rPr>
          <w:sz w:val="20"/>
          <w:szCs w:val="20"/>
          <w:color w:val="auto"/>
        </w:rPr>
      </w:pPr>
      <w:r>
        <w:rPr>
          <w:rFonts w:ascii="Times New Roman" w:cs="Times New Roman" w:eastAsia="Times New Roman" w:hAnsi="Times New Roman"/>
          <w:sz w:val="19"/>
          <w:szCs w:val="19"/>
          <w:color w:val="231F20"/>
        </w:rPr>
        <w:t>Education and awareness training on information security and data protection is conducted regularly for employees. Members of the IRT, the Executive Cybersecurity Steering Committee and the Board of Directors receive additional training on responding to cybersecurity incidents.</w:t>
      </w:r>
    </w:p>
    <w:p>
      <w:pPr>
        <w:sectPr>
          <w:pgSz w:w="11880" w:h="15480" w:orient="portrait"/>
          <w:cols w:equalWidth="0" w:num="1">
            <w:col w:w="9940"/>
          </w:cols>
          <w:pgMar w:left="960" w:top="82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25</w:t>
      </w:r>
    </w:p>
    <w:p>
      <w:pPr>
        <w:sectPr>
          <w:pgSz w:w="11880" w:h="15480" w:orient="portrait"/>
          <w:cols w:equalWidth="0" w:num="1">
            <w:col w:w="9940"/>
          </w:cols>
          <w:pgMar w:left="960" w:top="825" w:right="980" w:bottom="0" w:gutter="0" w:footer="0" w:header="0"/>
          <w:type w:val="continuous"/>
        </w:sectPr>
      </w:pPr>
    </w:p>
    <w:bookmarkStart w:id="26" w:name="page27"/>
    <w:bookmarkEnd w:id="26"/>
    <w:p>
      <w:pPr>
        <w:jc w:val="both"/>
        <w:ind w:right="100" w:firstLine="349"/>
        <w:spacing w:after="0" w:line="274" w:lineRule="auto"/>
        <w:rPr>
          <w:sz w:val="20"/>
          <w:szCs w:val="20"/>
          <w:color w:val="auto"/>
        </w:rPr>
      </w:pPr>
      <w:r>
        <w:rPr>
          <w:rFonts w:ascii="Times New Roman" w:cs="Times New Roman" w:eastAsia="Times New Roman" w:hAnsi="Times New Roman"/>
          <w:sz w:val="19"/>
          <w:szCs w:val="19"/>
          <w:color w:val="231F20"/>
        </w:rPr>
        <w:t>Our Board of Directors has oversight responsibility for the ERM program, and delegates the risk management assessment and risk management approach, including risks related to cybersecurity, to its Audit Committee. Among other responsibilities, the Audit Committee is responsible for monitoring internal controls, including those related to cybersecurity risk.</w:t>
      </w:r>
    </w:p>
    <w:p>
      <w:pPr>
        <w:spacing w:after="0" w:line="67" w:lineRule="exact"/>
        <w:rPr>
          <w:sz w:val="20"/>
          <w:szCs w:val="20"/>
          <w:color w:val="auto"/>
        </w:rPr>
      </w:pPr>
    </w:p>
    <w:p>
      <w:pPr>
        <w:jc w:val="both"/>
        <w:ind w:firstLine="349"/>
        <w:spacing w:after="0" w:line="259" w:lineRule="auto"/>
        <w:rPr>
          <w:sz w:val="20"/>
          <w:szCs w:val="20"/>
          <w:color w:val="auto"/>
        </w:rPr>
      </w:pPr>
      <w:r>
        <w:rPr>
          <w:rFonts w:ascii="Times New Roman" w:cs="Times New Roman" w:eastAsia="Times New Roman" w:hAnsi="Times New Roman"/>
          <w:sz w:val="19"/>
          <w:szCs w:val="19"/>
          <w:color w:val="231F20"/>
        </w:rPr>
        <w:t>Management is responsible for identifying, considering, and assessing material cybersecurity risks on an ongoing basis, establishing processes to monitor such potential cybersecurity risk exposures, putting in place appropriate mitigation measures and maintaining the cybersecurity program. Our cybersecurity program for our information systems is directed by our CIO and, with the cybersecurity team, our CIO monitors the prevention, detection, mitigation, and remediation of cybersecurity incidents. Our CIO has a Bachelor of Science in Computer Engineering, a Master of Business Administration, and over 35 years of experience working in the information technology field, including approximately 20 years of CIO positions. Our CISO is CISSP-ISSMP and CISM certified and is part of a team of experienced information system security professionals with diverse certifications, including CISSP, CISM, CNSS, CEH, CySA+, CompTIA - Security+, CySA+, PenTest+, and CASP+ and others. Management, including the CIO and CISO, update the Audit Committee on a regular basis on our cybersecurity program, material cybersecurity risks, mitigation strategies, cybersecurity metrics, developments in cybersecurity and proposed updates to our cybersecurity program.</w:t>
      </w:r>
    </w:p>
    <w:p>
      <w:pPr>
        <w:spacing w:after="0" w:line="84" w:lineRule="exact"/>
        <w:rPr>
          <w:sz w:val="20"/>
          <w:szCs w:val="20"/>
          <w:color w:val="auto"/>
        </w:rPr>
      </w:pPr>
    </w:p>
    <w:p>
      <w:pPr>
        <w:jc w:val="both"/>
        <w:ind w:firstLine="349"/>
        <w:spacing w:after="0" w:line="265" w:lineRule="auto"/>
        <w:rPr>
          <w:sz w:val="20"/>
          <w:szCs w:val="20"/>
          <w:color w:val="auto"/>
        </w:rPr>
      </w:pPr>
      <w:r>
        <w:rPr>
          <w:rFonts w:ascii="Times New Roman" w:cs="Times New Roman" w:eastAsia="Times New Roman" w:hAnsi="Times New Roman"/>
          <w:sz w:val="19"/>
          <w:szCs w:val="19"/>
          <w:color w:val="231F20"/>
        </w:rPr>
        <w:t>In fiscal year 2026, STERIS did not experience any known cyberattack or other attempted intrusion or other incident with respect to our information systems that materially affected or was likely to materially affect our business strategy, results of operations, financial condition or cash flows. However, despite our efforts, we cannot eliminate all risks from cybersecurity threats, or provide assurances that we have not experienced or will not experience in the future undetected cybersecurity incidents. For more information about these risks, please see “Item 1A Risk Factors” in this annual report on Form 10-K.</w:t>
      </w:r>
    </w:p>
    <w:p>
      <w:pPr>
        <w:spacing w:after="0" w:line="51"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7"/>
          <w:szCs w:val="27"/>
          <w:color w:val="231F20"/>
        </w:rPr>
        <w:t>ITEM 2.</w:t>
      </w:r>
      <w:r>
        <w:rPr>
          <w:sz w:val="20"/>
          <w:szCs w:val="20"/>
          <w:color w:val="auto"/>
        </w:rPr>
        <w:tab/>
      </w:r>
      <w:r>
        <w:rPr>
          <w:rFonts w:ascii="Times New Roman" w:cs="Times New Roman" w:eastAsia="Times New Roman" w:hAnsi="Times New Roman"/>
          <w:sz w:val="27"/>
          <w:szCs w:val="27"/>
          <w:color w:val="231F20"/>
        </w:rPr>
        <w:t>PROPERTIES</w:t>
      </w:r>
    </w:p>
    <w:p>
      <w:pPr>
        <w:spacing w:after="0" w:line="155" w:lineRule="exact"/>
        <w:rPr>
          <w:sz w:val="20"/>
          <w:szCs w:val="20"/>
          <w:color w:val="auto"/>
        </w:rPr>
      </w:pPr>
    </w:p>
    <w:p>
      <w:pPr>
        <w:ind w:right="100" w:firstLine="349"/>
        <w:spacing w:after="0" w:line="274" w:lineRule="auto"/>
        <w:rPr>
          <w:sz w:val="20"/>
          <w:szCs w:val="20"/>
          <w:color w:val="auto"/>
        </w:rPr>
      </w:pPr>
      <w:r>
        <w:rPr>
          <w:rFonts w:ascii="Times New Roman" w:cs="Times New Roman" w:eastAsia="Times New Roman" w:hAnsi="Times New Roman"/>
          <w:sz w:val="19"/>
          <w:szCs w:val="19"/>
          <w:color w:val="231F20"/>
        </w:rPr>
        <w:t>The following discussion sets forth materially important properties of the Company and its subsidiaries as of March 31, 2026. The Company believes that its facilities are adequate for operations and are maintained in good condition. The Company is confident that, if needed, it will be able to acquire additional facilities at commercially reasonable rates.</w:t>
      </w:r>
    </w:p>
    <w:p>
      <w:pPr>
        <w:spacing w:after="0" w:line="67" w:lineRule="exact"/>
        <w:rPr>
          <w:sz w:val="20"/>
          <w:szCs w:val="20"/>
          <w:color w:val="auto"/>
        </w:rPr>
      </w:pPr>
    </w:p>
    <w:p>
      <w:pPr>
        <w:ind w:right="60" w:firstLine="349"/>
        <w:spacing w:after="0" w:line="293" w:lineRule="auto"/>
        <w:rPr>
          <w:sz w:val="20"/>
          <w:szCs w:val="20"/>
          <w:color w:val="auto"/>
        </w:rPr>
      </w:pPr>
      <w:r>
        <w:rPr>
          <w:rFonts w:ascii="Times New Roman" w:cs="Times New Roman" w:eastAsia="Times New Roman" w:hAnsi="Times New Roman"/>
          <w:sz w:val="19"/>
          <w:szCs w:val="19"/>
          <w:color w:val="231F20"/>
        </w:rPr>
        <w:t>The Company’s principal executive office is located in Dublin, Ireland and its primary administrative offices are located in Mentor, OH (U.S.).</w:t>
      </w:r>
    </w:p>
    <w:p>
      <w:pPr>
        <w:spacing w:after="0" w:line="49" w:lineRule="exact"/>
        <w:rPr>
          <w:sz w:val="20"/>
          <w:szCs w:val="20"/>
          <w:color w:val="auto"/>
        </w:rPr>
      </w:pPr>
    </w:p>
    <w:p>
      <w:pPr>
        <w:ind w:right="240" w:firstLine="349"/>
        <w:spacing w:after="0" w:line="274" w:lineRule="auto"/>
        <w:rPr>
          <w:sz w:val="20"/>
          <w:szCs w:val="20"/>
          <w:color w:val="auto"/>
        </w:rPr>
      </w:pPr>
      <w:r>
        <w:rPr>
          <w:rFonts w:ascii="Times New Roman" w:cs="Times New Roman" w:eastAsia="Times New Roman" w:hAnsi="Times New Roman"/>
          <w:sz w:val="19"/>
          <w:szCs w:val="19"/>
          <w:color w:val="231F20"/>
        </w:rPr>
        <w:t>In our AST segment, we operate over 60 owned or leased facilities dedicated to delivering contract sterilization services. These strategically positioned locations are situated near Customer manufacturing and distribution sites, as well as key distribution corridors across Africa, Asia, Europe, and North America.</w:t>
      </w:r>
    </w:p>
    <w:p>
      <w:pPr>
        <w:spacing w:after="0" w:line="67" w:lineRule="exact"/>
        <w:rPr>
          <w:sz w:val="20"/>
          <w:szCs w:val="20"/>
          <w:color w:val="auto"/>
        </w:rPr>
      </w:pPr>
    </w:p>
    <w:p>
      <w:pPr>
        <w:ind w:right="280" w:firstLine="349"/>
        <w:spacing w:after="0" w:line="263" w:lineRule="auto"/>
        <w:rPr>
          <w:sz w:val="20"/>
          <w:szCs w:val="20"/>
          <w:color w:val="auto"/>
        </w:rPr>
      </w:pPr>
      <w:r>
        <w:rPr>
          <w:rFonts w:ascii="Times New Roman" w:cs="Times New Roman" w:eastAsia="Times New Roman" w:hAnsi="Times New Roman"/>
          <w:sz w:val="19"/>
          <w:szCs w:val="19"/>
          <w:color w:val="231F20"/>
        </w:rPr>
        <w:t>The Company operates approximately 250 locations representing sales, administrative, manufacturing and operational locations in the U.S. and more than 35 other countries, the majority of which are leased and support one or multiple business segments. In addition to these locations, the Company partners with third-party logistics service providers to streamline the distribution of product and materials. Operational locations are primarily comprised of service centers, manufacturing and distribution warehouses. Our locations are geographically spread to be in close proximity to our Customers to ensure timely delivery of products and services.</w:t>
      </w:r>
    </w:p>
    <w:p>
      <w:pPr>
        <w:sectPr>
          <w:pgSz w:w="11880" w:h="15480" w:orient="portrait"/>
          <w:cols w:equalWidth="0" w:num="1">
            <w:col w:w="9960"/>
          </w:cols>
          <w:pgMar w:left="960" w:top="82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26</w:t>
      </w:r>
    </w:p>
    <w:p>
      <w:pPr>
        <w:sectPr>
          <w:pgSz w:w="11880" w:h="15480" w:orient="portrait"/>
          <w:cols w:equalWidth="0" w:num="1">
            <w:col w:w="9960"/>
          </w:cols>
          <w:pgMar w:left="960" w:top="825" w:right="960" w:bottom="0" w:gutter="0" w:footer="0" w:header="0"/>
          <w:type w:val="continuous"/>
        </w:sectPr>
      </w:pPr>
    </w:p>
    <w:bookmarkStart w:id="27" w:name="page28"/>
    <w:bookmarkEnd w:id="27"/>
    <w:p>
      <w:pPr>
        <w:ind w:firstLine="349"/>
        <w:spacing w:after="0" w:line="293" w:lineRule="auto"/>
        <w:rPr>
          <w:sz w:val="20"/>
          <w:szCs w:val="20"/>
          <w:color w:val="auto"/>
        </w:rPr>
      </w:pPr>
      <w:r>
        <w:rPr>
          <w:rFonts w:ascii="Times New Roman" w:cs="Times New Roman" w:eastAsia="Times New Roman" w:hAnsi="Times New Roman"/>
          <w:sz w:val="19"/>
          <w:szCs w:val="19"/>
          <w:color w:val="231F20"/>
        </w:rPr>
        <w:t>Included among totals listed above, the Company owns and leases manufacturing facilities that support the Healthcare, Life Sciences, and AST segments. The locations we deem to be material are disclosed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56515</wp:posOffset>
            </wp:positionV>
            <wp:extent cx="174434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44345" cy="25400"/>
                    </a:xfrm>
                    <a:prstGeom prst="rect">
                      <a:avLst/>
                    </a:prstGeom>
                    <a:noFill/>
                  </pic:spPr>
                </pic:pic>
              </a:graphicData>
            </a:graphic>
          </wp:anchor>
        </w:drawing>
      </w:r>
    </w:p>
    <w:p>
      <w:pPr>
        <w:spacing w:after="0" w:line="96" w:lineRule="exact"/>
        <w:rPr>
          <w:sz w:val="20"/>
          <w:szCs w:val="20"/>
          <w:color w:val="auto"/>
        </w:rPr>
      </w:pPr>
    </w:p>
    <w:tbl>
      <w:tblPr>
        <w:tblLayout w:type="fixed"/>
        <w:tblInd w:w="360" w:type="dxa"/>
        <w:tblCellMar>
          <w:top w:w="0" w:type="dxa"/>
          <w:left w:w="0" w:type="dxa"/>
          <w:bottom w:w="0" w:type="dxa"/>
          <w:right w:w="0" w:type="dxa"/>
        </w:tblCellMar>
      </w:tblPr>
      <w:tr>
        <w:trPr>
          <w:trHeight w:val="259"/>
        </w:trPr>
        <w:tc>
          <w:tcPr>
            <w:tcW w:w="4600" w:type="dxa"/>
            <w:vAlign w:val="bottom"/>
            <w:tcBorders>
              <w:bottom w:val="single" w:sz="8" w:color="231F20"/>
            </w:tcBorders>
          </w:tcPr>
          <w:p>
            <w:pPr>
              <w:ind w:left="40"/>
              <w:spacing w:after="0"/>
              <w:rPr>
                <w:sz w:val="20"/>
                <w:szCs w:val="20"/>
                <w:color w:val="auto"/>
              </w:rPr>
            </w:pPr>
            <w:r>
              <w:rPr>
                <w:rFonts w:ascii="Times New Roman" w:cs="Times New Roman" w:eastAsia="Times New Roman" w:hAnsi="Times New Roman"/>
                <w:sz w:val="19"/>
                <w:szCs w:val="19"/>
                <w:b w:val="1"/>
                <w:bCs w:val="1"/>
                <w:i w:val="1"/>
                <w:iCs w:val="1"/>
                <w:color w:val="231F20"/>
              </w:rPr>
              <w:t>Location</w:t>
            </w:r>
          </w:p>
        </w:tc>
        <w:tc>
          <w:tcPr>
            <w:tcW w:w="4320" w:type="dxa"/>
            <w:vAlign w:val="bottom"/>
            <w:tcBorders>
              <w:bottom w:val="single" w:sz="8" w:color="231F20"/>
            </w:tcBorders>
          </w:tcPr>
          <w:p>
            <w:pPr>
              <w:jc w:val="center"/>
              <w:ind w:left="1523"/>
              <w:spacing w:after="0"/>
              <w:rPr>
                <w:sz w:val="20"/>
                <w:szCs w:val="20"/>
                <w:color w:val="auto"/>
              </w:rPr>
            </w:pPr>
            <w:r>
              <w:rPr>
                <w:rFonts w:ascii="Times New Roman" w:cs="Times New Roman" w:eastAsia="Times New Roman" w:hAnsi="Times New Roman"/>
                <w:sz w:val="19"/>
                <w:szCs w:val="19"/>
                <w:b w:val="1"/>
                <w:bCs w:val="1"/>
                <w:i w:val="1"/>
                <w:iCs w:val="1"/>
                <w:color w:val="231F20"/>
              </w:rPr>
              <w:t>Owned/Leased</w:t>
            </w:r>
          </w:p>
        </w:tc>
      </w:tr>
      <w:tr>
        <w:trPr>
          <w:trHeight w:val="269"/>
        </w:trPr>
        <w:tc>
          <w:tcPr>
            <w:tcW w:w="460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Conroe, TX</w:t>
            </w:r>
          </w:p>
        </w:tc>
        <w:tc>
          <w:tcPr>
            <w:tcW w:w="4320" w:type="dxa"/>
            <w:vAlign w:val="bottom"/>
          </w:tcPr>
          <w:p>
            <w:pPr>
              <w:jc w:val="center"/>
              <w:ind w:left="1543"/>
              <w:spacing w:after="0"/>
              <w:rPr>
                <w:sz w:val="20"/>
                <w:szCs w:val="20"/>
                <w:color w:val="auto"/>
              </w:rPr>
            </w:pPr>
            <w:r>
              <w:rPr>
                <w:rFonts w:ascii="Times New Roman" w:cs="Times New Roman" w:eastAsia="Times New Roman" w:hAnsi="Times New Roman"/>
                <w:sz w:val="19"/>
                <w:szCs w:val="19"/>
                <w:color w:val="231F20"/>
              </w:rPr>
              <w:t>Owned</w:t>
            </w:r>
          </w:p>
        </w:tc>
      </w:tr>
      <w:tr>
        <w:trPr>
          <w:trHeight w:val="291"/>
        </w:trPr>
        <w:tc>
          <w:tcPr>
            <w:tcW w:w="460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Guadalupe, Mexico</w:t>
            </w:r>
          </w:p>
        </w:tc>
        <w:tc>
          <w:tcPr>
            <w:tcW w:w="4320" w:type="dxa"/>
            <w:vAlign w:val="bottom"/>
          </w:tcPr>
          <w:p>
            <w:pPr>
              <w:jc w:val="center"/>
              <w:ind w:left="1543"/>
              <w:spacing w:after="0"/>
              <w:rPr>
                <w:sz w:val="20"/>
                <w:szCs w:val="20"/>
                <w:color w:val="auto"/>
              </w:rPr>
            </w:pPr>
            <w:r>
              <w:rPr>
                <w:rFonts w:ascii="Times New Roman" w:cs="Times New Roman" w:eastAsia="Times New Roman" w:hAnsi="Times New Roman"/>
                <w:sz w:val="19"/>
                <w:szCs w:val="19"/>
                <w:color w:val="231F20"/>
              </w:rPr>
              <w:t>Owned</w:t>
            </w:r>
          </w:p>
        </w:tc>
      </w:tr>
      <w:tr>
        <w:trPr>
          <w:trHeight w:val="291"/>
        </w:trPr>
        <w:tc>
          <w:tcPr>
            <w:tcW w:w="460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Mentor, OH</w:t>
            </w:r>
          </w:p>
        </w:tc>
        <w:tc>
          <w:tcPr>
            <w:tcW w:w="4320" w:type="dxa"/>
            <w:vAlign w:val="bottom"/>
          </w:tcPr>
          <w:p>
            <w:pPr>
              <w:jc w:val="center"/>
              <w:ind w:left="1543"/>
              <w:spacing w:after="0"/>
              <w:rPr>
                <w:sz w:val="20"/>
                <w:szCs w:val="20"/>
                <w:color w:val="auto"/>
              </w:rPr>
            </w:pPr>
            <w:r>
              <w:rPr>
                <w:rFonts w:ascii="Times New Roman" w:cs="Times New Roman" w:eastAsia="Times New Roman" w:hAnsi="Times New Roman"/>
                <w:sz w:val="19"/>
                <w:szCs w:val="19"/>
                <w:color w:val="231F20"/>
              </w:rPr>
              <w:t>Owned/Leased</w:t>
            </w:r>
          </w:p>
        </w:tc>
      </w:tr>
      <w:tr>
        <w:trPr>
          <w:trHeight w:val="291"/>
        </w:trPr>
        <w:tc>
          <w:tcPr>
            <w:tcW w:w="460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Montgomery, AL</w:t>
            </w:r>
          </w:p>
        </w:tc>
        <w:tc>
          <w:tcPr>
            <w:tcW w:w="4320" w:type="dxa"/>
            <w:vAlign w:val="bottom"/>
          </w:tcPr>
          <w:p>
            <w:pPr>
              <w:jc w:val="center"/>
              <w:ind w:left="1543"/>
              <w:spacing w:after="0"/>
              <w:rPr>
                <w:sz w:val="20"/>
                <w:szCs w:val="20"/>
                <w:color w:val="auto"/>
              </w:rPr>
            </w:pPr>
            <w:r>
              <w:rPr>
                <w:rFonts w:ascii="Times New Roman" w:cs="Times New Roman" w:eastAsia="Times New Roman" w:hAnsi="Times New Roman"/>
                <w:sz w:val="19"/>
                <w:szCs w:val="19"/>
                <w:color w:val="231F20"/>
              </w:rPr>
              <w:t>Owned/Leased</w:t>
            </w:r>
          </w:p>
        </w:tc>
      </w:tr>
      <w:tr>
        <w:trPr>
          <w:trHeight w:val="291"/>
        </w:trPr>
        <w:tc>
          <w:tcPr>
            <w:tcW w:w="460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Plymouth, MN</w:t>
            </w:r>
          </w:p>
        </w:tc>
        <w:tc>
          <w:tcPr>
            <w:tcW w:w="4320" w:type="dxa"/>
            <w:vAlign w:val="bottom"/>
          </w:tcPr>
          <w:p>
            <w:pPr>
              <w:jc w:val="center"/>
              <w:ind w:left="1543"/>
              <w:spacing w:after="0"/>
              <w:rPr>
                <w:sz w:val="20"/>
                <w:szCs w:val="20"/>
                <w:color w:val="auto"/>
              </w:rPr>
            </w:pPr>
            <w:r>
              <w:rPr>
                <w:rFonts w:ascii="Times New Roman" w:cs="Times New Roman" w:eastAsia="Times New Roman" w:hAnsi="Times New Roman"/>
                <w:sz w:val="19"/>
                <w:szCs w:val="19"/>
                <w:color w:val="231F20"/>
              </w:rPr>
              <w:t>Owned/Leased</w:t>
            </w:r>
          </w:p>
        </w:tc>
      </w:tr>
      <w:tr>
        <w:trPr>
          <w:trHeight w:val="291"/>
        </w:trPr>
        <w:tc>
          <w:tcPr>
            <w:tcW w:w="460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Quebec City, Canada</w:t>
            </w:r>
          </w:p>
        </w:tc>
        <w:tc>
          <w:tcPr>
            <w:tcW w:w="4320" w:type="dxa"/>
            <w:vAlign w:val="bottom"/>
          </w:tcPr>
          <w:p>
            <w:pPr>
              <w:jc w:val="center"/>
              <w:ind w:left="1543"/>
              <w:spacing w:after="0"/>
              <w:rPr>
                <w:sz w:val="20"/>
                <w:szCs w:val="20"/>
                <w:color w:val="auto"/>
              </w:rPr>
            </w:pPr>
            <w:r>
              <w:rPr>
                <w:rFonts w:ascii="Times New Roman" w:cs="Times New Roman" w:eastAsia="Times New Roman" w:hAnsi="Times New Roman"/>
                <w:sz w:val="19"/>
                <w:szCs w:val="19"/>
                <w:color w:val="231F20"/>
              </w:rPr>
              <w:t>Owned</w:t>
            </w:r>
          </w:p>
        </w:tc>
      </w:tr>
      <w:tr>
        <w:trPr>
          <w:trHeight w:val="291"/>
        </w:trPr>
        <w:tc>
          <w:tcPr>
            <w:tcW w:w="460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St. Louis, MO</w:t>
            </w:r>
          </w:p>
        </w:tc>
        <w:tc>
          <w:tcPr>
            <w:tcW w:w="4320" w:type="dxa"/>
            <w:vAlign w:val="bottom"/>
          </w:tcPr>
          <w:p>
            <w:pPr>
              <w:jc w:val="center"/>
              <w:ind w:left="1543"/>
              <w:spacing w:after="0"/>
              <w:rPr>
                <w:sz w:val="20"/>
                <w:szCs w:val="20"/>
                <w:color w:val="auto"/>
              </w:rPr>
            </w:pPr>
            <w:r>
              <w:rPr>
                <w:rFonts w:ascii="Times New Roman" w:cs="Times New Roman" w:eastAsia="Times New Roman" w:hAnsi="Times New Roman"/>
                <w:sz w:val="19"/>
                <w:szCs w:val="19"/>
                <w:color w:val="231F20"/>
              </w:rPr>
              <w:t>Owned/Leased</w:t>
            </w:r>
          </w:p>
        </w:tc>
      </w:tr>
      <w:tr>
        <w:trPr>
          <w:trHeight w:val="291"/>
        </w:trPr>
        <w:tc>
          <w:tcPr>
            <w:tcW w:w="460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Leicester, England</w:t>
            </w:r>
          </w:p>
        </w:tc>
        <w:tc>
          <w:tcPr>
            <w:tcW w:w="4320" w:type="dxa"/>
            <w:vAlign w:val="bottom"/>
          </w:tcPr>
          <w:p>
            <w:pPr>
              <w:jc w:val="center"/>
              <w:ind w:left="1543"/>
              <w:spacing w:after="0"/>
              <w:rPr>
                <w:sz w:val="20"/>
                <w:szCs w:val="20"/>
                <w:color w:val="auto"/>
              </w:rPr>
            </w:pPr>
            <w:r>
              <w:rPr>
                <w:rFonts w:ascii="Times New Roman" w:cs="Times New Roman" w:eastAsia="Times New Roman" w:hAnsi="Times New Roman"/>
                <w:sz w:val="19"/>
                <w:szCs w:val="19"/>
                <w:color w:val="231F20"/>
              </w:rPr>
              <w:t>Owned</w:t>
            </w:r>
          </w:p>
        </w:tc>
      </w:tr>
      <w:tr>
        <w:trPr>
          <w:trHeight w:val="291"/>
        </w:trPr>
        <w:tc>
          <w:tcPr>
            <w:tcW w:w="460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Ottawa, Canada</w:t>
            </w:r>
          </w:p>
        </w:tc>
        <w:tc>
          <w:tcPr>
            <w:tcW w:w="4320" w:type="dxa"/>
            <w:vAlign w:val="bottom"/>
          </w:tcPr>
          <w:p>
            <w:pPr>
              <w:jc w:val="center"/>
              <w:ind w:left="1523"/>
              <w:spacing w:after="0"/>
              <w:rPr>
                <w:sz w:val="20"/>
                <w:szCs w:val="20"/>
                <w:color w:val="auto"/>
              </w:rPr>
            </w:pPr>
            <w:r>
              <w:rPr>
                <w:rFonts w:ascii="Times New Roman" w:cs="Times New Roman" w:eastAsia="Times New Roman" w:hAnsi="Times New Roman"/>
                <w:sz w:val="19"/>
                <w:szCs w:val="19"/>
                <w:color w:val="231F20"/>
              </w:rPr>
              <w:t>Leased</w:t>
            </w:r>
          </w:p>
        </w:tc>
      </w:tr>
      <w:tr>
        <w:trPr>
          <w:trHeight w:val="291"/>
        </w:trPr>
        <w:tc>
          <w:tcPr>
            <w:tcW w:w="460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Point Richmond, CA</w:t>
            </w:r>
          </w:p>
        </w:tc>
        <w:tc>
          <w:tcPr>
            <w:tcW w:w="4320" w:type="dxa"/>
            <w:vAlign w:val="bottom"/>
          </w:tcPr>
          <w:p>
            <w:pPr>
              <w:jc w:val="center"/>
              <w:ind w:left="1523"/>
              <w:spacing w:after="0"/>
              <w:rPr>
                <w:sz w:val="20"/>
                <w:szCs w:val="20"/>
                <w:color w:val="auto"/>
              </w:rPr>
            </w:pPr>
            <w:r>
              <w:rPr>
                <w:rFonts w:ascii="Times New Roman" w:cs="Times New Roman" w:eastAsia="Times New Roman" w:hAnsi="Times New Roman"/>
                <w:sz w:val="19"/>
                <w:szCs w:val="19"/>
                <w:color w:val="231F20"/>
              </w:rPr>
              <w:t>Leased</w:t>
            </w:r>
          </w:p>
        </w:tc>
      </w:tr>
      <w:tr>
        <w:trPr>
          <w:trHeight w:val="291"/>
        </w:trPr>
        <w:tc>
          <w:tcPr>
            <w:tcW w:w="460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Tuusula, Finland</w:t>
            </w:r>
          </w:p>
        </w:tc>
        <w:tc>
          <w:tcPr>
            <w:tcW w:w="4320" w:type="dxa"/>
            <w:vAlign w:val="bottom"/>
          </w:tcPr>
          <w:p>
            <w:pPr>
              <w:jc w:val="center"/>
              <w:ind w:left="1543"/>
              <w:spacing w:after="0"/>
              <w:rPr>
                <w:sz w:val="20"/>
                <w:szCs w:val="20"/>
                <w:color w:val="auto"/>
              </w:rPr>
            </w:pPr>
            <w:r>
              <w:rPr>
                <w:rFonts w:ascii="Times New Roman" w:cs="Times New Roman" w:eastAsia="Times New Roman" w:hAnsi="Times New Roman"/>
                <w:sz w:val="19"/>
                <w:szCs w:val="19"/>
                <w:color w:val="231F20"/>
              </w:rPr>
              <w:t>Owned</w:t>
            </w:r>
          </w:p>
        </w:tc>
      </w:tr>
      <w:tr>
        <w:trPr>
          <w:trHeight w:val="291"/>
        </w:trPr>
        <w:tc>
          <w:tcPr>
            <w:tcW w:w="460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Pomezia, Italy</w:t>
            </w:r>
          </w:p>
        </w:tc>
        <w:tc>
          <w:tcPr>
            <w:tcW w:w="4320" w:type="dxa"/>
            <w:vAlign w:val="bottom"/>
          </w:tcPr>
          <w:p>
            <w:pPr>
              <w:jc w:val="center"/>
              <w:ind w:left="1543"/>
              <w:spacing w:after="0"/>
              <w:rPr>
                <w:sz w:val="20"/>
                <w:szCs w:val="20"/>
                <w:color w:val="auto"/>
              </w:rPr>
            </w:pPr>
            <w:r>
              <w:rPr>
                <w:rFonts w:ascii="Times New Roman" w:cs="Times New Roman" w:eastAsia="Times New Roman" w:hAnsi="Times New Roman"/>
                <w:sz w:val="19"/>
                <w:szCs w:val="19"/>
                <w:color w:val="231F20"/>
              </w:rPr>
              <w:t>Owned</w:t>
            </w:r>
          </w:p>
        </w:tc>
      </w:tr>
      <w:tr>
        <w:trPr>
          <w:trHeight w:val="291"/>
        </w:trPr>
        <w:tc>
          <w:tcPr>
            <w:tcW w:w="460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Bishop's Stortford, England</w:t>
            </w:r>
          </w:p>
        </w:tc>
        <w:tc>
          <w:tcPr>
            <w:tcW w:w="4320" w:type="dxa"/>
            <w:vAlign w:val="bottom"/>
          </w:tcPr>
          <w:p>
            <w:pPr>
              <w:jc w:val="center"/>
              <w:ind w:left="1523"/>
              <w:spacing w:after="0"/>
              <w:rPr>
                <w:sz w:val="20"/>
                <w:szCs w:val="20"/>
                <w:color w:val="auto"/>
              </w:rPr>
            </w:pPr>
            <w:r>
              <w:rPr>
                <w:rFonts w:ascii="Times New Roman" w:cs="Times New Roman" w:eastAsia="Times New Roman" w:hAnsi="Times New Roman"/>
                <w:sz w:val="19"/>
                <w:szCs w:val="19"/>
                <w:color w:val="231F20"/>
              </w:rPr>
              <w:t>Leased</w:t>
            </w:r>
          </w:p>
        </w:tc>
      </w:tr>
      <w:tr>
        <w:trPr>
          <w:trHeight w:val="291"/>
        </w:trPr>
        <w:tc>
          <w:tcPr>
            <w:tcW w:w="460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Franklin Park, IL</w:t>
            </w:r>
          </w:p>
        </w:tc>
        <w:tc>
          <w:tcPr>
            <w:tcW w:w="4320" w:type="dxa"/>
            <w:vAlign w:val="bottom"/>
          </w:tcPr>
          <w:p>
            <w:pPr>
              <w:jc w:val="center"/>
              <w:ind w:left="1523"/>
              <w:spacing w:after="0"/>
              <w:rPr>
                <w:sz w:val="20"/>
                <w:szCs w:val="20"/>
                <w:color w:val="auto"/>
              </w:rPr>
            </w:pPr>
            <w:r>
              <w:rPr>
                <w:rFonts w:ascii="Times New Roman" w:cs="Times New Roman" w:eastAsia="Times New Roman" w:hAnsi="Times New Roman"/>
                <w:sz w:val="19"/>
                <w:szCs w:val="19"/>
                <w:color w:val="231F20"/>
              </w:rPr>
              <w:t>Leased</w:t>
            </w:r>
          </w:p>
        </w:tc>
      </w:tr>
      <w:tr>
        <w:trPr>
          <w:trHeight w:val="291"/>
        </w:trPr>
        <w:tc>
          <w:tcPr>
            <w:tcW w:w="460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Sharon Hill, PA</w:t>
            </w:r>
          </w:p>
        </w:tc>
        <w:tc>
          <w:tcPr>
            <w:tcW w:w="4320" w:type="dxa"/>
            <w:vAlign w:val="bottom"/>
          </w:tcPr>
          <w:p>
            <w:pPr>
              <w:jc w:val="center"/>
              <w:ind w:left="1543"/>
              <w:spacing w:after="0"/>
              <w:rPr>
                <w:sz w:val="20"/>
                <w:szCs w:val="20"/>
                <w:color w:val="auto"/>
              </w:rPr>
            </w:pPr>
            <w:r>
              <w:rPr>
                <w:rFonts w:ascii="Times New Roman" w:cs="Times New Roman" w:eastAsia="Times New Roman" w:hAnsi="Times New Roman"/>
                <w:sz w:val="19"/>
                <w:szCs w:val="19"/>
                <w:color w:val="231F20"/>
              </w:rPr>
              <w:t>Owned</w:t>
            </w:r>
          </w:p>
        </w:tc>
      </w:tr>
      <w:tr>
        <w:trPr>
          <w:trHeight w:val="291"/>
        </w:trPr>
        <w:tc>
          <w:tcPr>
            <w:tcW w:w="460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Tuttlingen, Germany</w:t>
            </w:r>
          </w:p>
        </w:tc>
        <w:tc>
          <w:tcPr>
            <w:tcW w:w="4320" w:type="dxa"/>
            <w:vAlign w:val="bottom"/>
          </w:tcPr>
          <w:p>
            <w:pPr>
              <w:jc w:val="center"/>
              <w:ind w:left="1523"/>
              <w:spacing w:after="0"/>
              <w:rPr>
                <w:sz w:val="20"/>
                <w:szCs w:val="20"/>
                <w:color w:val="auto"/>
              </w:rPr>
            </w:pPr>
            <w:r>
              <w:rPr>
                <w:rFonts w:ascii="Times New Roman" w:cs="Times New Roman" w:eastAsia="Times New Roman" w:hAnsi="Times New Roman"/>
                <w:sz w:val="19"/>
                <w:szCs w:val="19"/>
                <w:color w:val="231F20"/>
              </w:rPr>
              <w:t>Leased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-2961005</wp:posOffset>
            </wp:positionV>
            <wp:extent cx="174434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44345" cy="2540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7"/>
          <w:szCs w:val="27"/>
          <w:color w:val="231F20"/>
        </w:rPr>
        <w:t>ITEM 3.</w:t>
      </w:r>
      <w:r>
        <w:rPr>
          <w:sz w:val="20"/>
          <w:szCs w:val="20"/>
          <w:color w:val="auto"/>
        </w:rPr>
        <w:tab/>
      </w:r>
      <w:r>
        <w:rPr>
          <w:rFonts w:ascii="Times New Roman" w:cs="Times New Roman" w:eastAsia="Times New Roman" w:hAnsi="Times New Roman"/>
          <w:sz w:val="27"/>
          <w:szCs w:val="27"/>
          <w:color w:val="231F20"/>
        </w:rPr>
        <w:t>LEGAL PROCEEDINGS</w:t>
      </w:r>
    </w:p>
    <w:p>
      <w:pPr>
        <w:spacing w:after="0" w:line="155" w:lineRule="exact"/>
        <w:rPr>
          <w:sz w:val="20"/>
          <w:szCs w:val="20"/>
          <w:color w:val="auto"/>
        </w:rPr>
      </w:pPr>
    </w:p>
    <w:p>
      <w:pPr>
        <w:ind w:right="200" w:firstLine="349"/>
        <w:spacing w:after="0" w:line="274" w:lineRule="auto"/>
        <w:rPr>
          <w:sz w:val="20"/>
          <w:szCs w:val="20"/>
          <w:color w:val="auto"/>
        </w:rPr>
      </w:pPr>
      <w:r>
        <w:rPr>
          <w:rFonts w:ascii="Times New Roman" w:cs="Times New Roman" w:eastAsia="Times New Roman" w:hAnsi="Times New Roman"/>
          <w:sz w:val="19"/>
          <w:szCs w:val="19"/>
          <w:color w:val="231F20"/>
        </w:rPr>
        <w:t>Information regarding our legal proceedings is included in Item 7 of Part II, Management's Discussion and Analysis, and Note 12 to our consolidated financial statements titled, "Commitments and Contingencies," and is incorporated herein by reference thereto.</w:t>
      </w:r>
    </w:p>
    <w:p>
      <w:pPr>
        <w:spacing w:after="0" w:line="43"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7"/>
          <w:szCs w:val="27"/>
          <w:color w:val="231F20"/>
        </w:rPr>
        <w:t>ITEM 4.</w:t>
      </w:r>
      <w:r>
        <w:rPr>
          <w:sz w:val="20"/>
          <w:szCs w:val="20"/>
          <w:color w:val="auto"/>
        </w:rPr>
        <w:tab/>
      </w:r>
      <w:r>
        <w:rPr>
          <w:rFonts w:ascii="Times New Roman" w:cs="Times New Roman" w:eastAsia="Times New Roman" w:hAnsi="Times New Roman"/>
          <w:sz w:val="27"/>
          <w:szCs w:val="27"/>
          <w:color w:val="231F20"/>
        </w:rPr>
        <w:t>MINE SAFETY DISCLOSURES</w:t>
      </w:r>
    </w:p>
    <w:p>
      <w:pPr>
        <w:spacing w:after="0" w:line="1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None.</w:t>
      </w:r>
    </w:p>
    <w:p>
      <w:pPr>
        <w:sectPr>
          <w:pgSz w:w="11880" w:h="15480" w:orient="portrait"/>
          <w:cols w:equalWidth="0" w:num="1">
            <w:col w:w="9940"/>
          </w:cols>
          <w:pgMar w:left="960" w:top="82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27</w:t>
      </w:r>
    </w:p>
    <w:p>
      <w:pPr>
        <w:sectPr>
          <w:pgSz w:w="11880" w:h="15480" w:orient="portrait"/>
          <w:cols w:equalWidth="0" w:num="1">
            <w:col w:w="9940"/>
          </w:cols>
          <w:pgMar w:left="960" w:top="825" w:right="980" w:bottom="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27"/>
          <w:szCs w:val="27"/>
          <w:color w:val="231F20"/>
        </w:rPr>
        <w:t>PART II</w:t>
      </w:r>
    </w:p>
    <w:p>
      <w:pPr>
        <w:spacing w:after="0" w:line="132" w:lineRule="exact"/>
        <w:rPr>
          <w:sz w:val="20"/>
          <w:szCs w:val="20"/>
          <w:color w:val="auto"/>
        </w:rPr>
      </w:pPr>
    </w:p>
    <w:p>
      <w:pPr>
        <w:ind w:left="1400" w:right="420" w:hanging="1396"/>
        <w:spacing w:after="0" w:line="268" w:lineRule="auto"/>
        <w:tabs>
          <w:tab w:leader="none" w:pos="1380" w:val="left"/>
        </w:tabs>
        <w:rPr>
          <w:sz w:val="20"/>
          <w:szCs w:val="20"/>
          <w:color w:val="auto"/>
        </w:rPr>
      </w:pPr>
      <w:r>
        <w:rPr>
          <w:rFonts w:ascii="Times New Roman" w:cs="Times New Roman" w:eastAsia="Times New Roman" w:hAnsi="Times New Roman"/>
          <w:sz w:val="27"/>
          <w:szCs w:val="27"/>
          <w:color w:val="231F20"/>
        </w:rPr>
        <w:t>ITEM 5.</w:t>
      </w:r>
      <w:r>
        <w:rPr>
          <w:sz w:val="20"/>
          <w:szCs w:val="20"/>
          <w:color w:val="auto"/>
        </w:rPr>
        <w:tab/>
      </w:r>
      <w:r>
        <w:rPr>
          <w:rFonts w:ascii="Times New Roman" w:cs="Times New Roman" w:eastAsia="Times New Roman" w:hAnsi="Times New Roman"/>
          <w:sz w:val="27"/>
          <w:szCs w:val="27"/>
          <w:color w:val="231F20"/>
        </w:rPr>
        <w:t>MARKET FOR REGISTRANT’S ORDINARY EQUITY, RELATED SHAREHOLDER MATTERS AND ISSUER PURCHASES OF EQUITY SECURITIES</w:t>
      </w:r>
    </w:p>
    <w:p>
      <w:pPr>
        <w:spacing w:after="0" w:line="54" w:lineRule="exact"/>
        <w:rPr>
          <w:sz w:val="20"/>
          <w:szCs w:val="20"/>
          <w:color w:val="auto"/>
        </w:rPr>
      </w:pPr>
    </w:p>
    <w:p>
      <w:pPr>
        <w:ind w:right="1100"/>
        <w:spacing w:after="0" w:line="383" w:lineRule="auto"/>
        <w:rPr>
          <w:sz w:val="20"/>
          <w:szCs w:val="20"/>
          <w:color w:val="auto"/>
        </w:rPr>
      </w:pPr>
      <w:r>
        <w:rPr>
          <w:rFonts w:ascii="Times New Roman" w:cs="Times New Roman" w:eastAsia="Times New Roman" w:hAnsi="Times New Roman"/>
          <w:sz w:val="19"/>
          <w:szCs w:val="19"/>
          <w:b w:val="1"/>
          <w:bCs w:val="1"/>
          <w:color w:val="231F20"/>
        </w:rPr>
        <w:t xml:space="preserve">Market Information. </w:t>
      </w:r>
      <w:r>
        <w:rPr>
          <w:rFonts w:ascii="Times New Roman" w:cs="Times New Roman" w:eastAsia="Times New Roman" w:hAnsi="Times New Roman"/>
          <w:sz w:val="19"/>
          <w:szCs w:val="19"/>
          <w:color w:val="231F20"/>
        </w:rPr>
        <w:t>Our ordinary shares are traded on the New York Stock Exchange under the symbol “STE.”</w:t>
      </w:r>
      <w:r>
        <w:rPr>
          <w:rFonts w:ascii="Times New Roman" w:cs="Times New Roman" w:eastAsia="Times New Roman" w:hAnsi="Times New Roman"/>
          <w:sz w:val="19"/>
          <w:szCs w:val="19"/>
          <w:b w:val="1"/>
          <w:bCs w:val="1"/>
          <w:color w:val="231F20"/>
        </w:rPr>
        <w:t xml:space="preserve"> Holders. </w:t>
      </w:r>
      <w:r>
        <w:rPr>
          <w:rFonts w:ascii="Times New Roman" w:cs="Times New Roman" w:eastAsia="Times New Roman" w:hAnsi="Times New Roman"/>
          <w:sz w:val="19"/>
          <w:szCs w:val="19"/>
          <w:color w:val="231F20"/>
        </w:rPr>
        <w:t>As of March 31, 2026, there were approximately 360 holders of record of our ordinary shares.</w:t>
      </w:r>
    </w:p>
    <w:p>
      <w:pPr>
        <w:spacing w:after="0" w:line="1"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9"/>
          <w:szCs w:val="19"/>
          <w:b w:val="1"/>
          <w:bCs w:val="1"/>
          <w:color w:val="231F20"/>
        </w:rPr>
        <w:t xml:space="preserve">Dividend Policy. </w:t>
      </w:r>
      <w:r>
        <w:rPr>
          <w:rFonts w:ascii="Times New Roman" w:cs="Times New Roman" w:eastAsia="Times New Roman" w:hAnsi="Times New Roman"/>
          <w:sz w:val="19"/>
          <w:szCs w:val="19"/>
          <w:color w:val="231F20"/>
        </w:rPr>
        <w:t>The Company’s Board of Directors decides the timing and amount of any dividends we may pay. The Board</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expects to be able to continue to pay cash dividends for the foreseeable future.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Purchases of Equity Securities by the Issuer and Affiliated Purchasers.</w:t>
      </w:r>
    </w:p>
    <w:p>
      <w:pPr>
        <w:spacing w:after="0" w:line="135" w:lineRule="exact"/>
        <w:rPr>
          <w:sz w:val="20"/>
          <w:szCs w:val="20"/>
          <w:color w:val="auto"/>
        </w:rPr>
      </w:pPr>
    </w:p>
    <w:p>
      <w:pPr>
        <w:ind w:right="180" w:firstLine="349"/>
        <w:spacing w:after="0" w:line="268" w:lineRule="auto"/>
        <w:rPr>
          <w:sz w:val="20"/>
          <w:szCs w:val="20"/>
          <w:color w:val="auto"/>
        </w:rPr>
      </w:pPr>
      <w:r>
        <w:rPr>
          <w:rFonts w:ascii="Times New Roman" w:cs="Times New Roman" w:eastAsia="Times New Roman" w:hAnsi="Times New Roman"/>
          <w:sz w:val="19"/>
          <w:szCs w:val="19"/>
          <w:color w:val="231F20"/>
        </w:rPr>
        <w:t>On May 3, 2023 our Board of Directors terminated the previous share repurchase program then in effect and authorized a new share repurchase program (the “Outgoing Repurchase Program”) for the purchase of up to $500.0 million (exclusive of fees, commissions, and other charges), with no specified expiration date. As of March 31, 2026, there was $75.0 million (exclusive of fees, commissions, and other charges) of remaining availability under the Outgoing Repurchase Program.</w:t>
      </w:r>
    </w:p>
    <w:p>
      <w:pPr>
        <w:spacing w:after="0" w:line="72" w:lineRule="exact"/>
        <w:rPr>
          <w:sz w:val="20"/>
          <w:szCs w:val="20"/>
          <w:color w:val="auto"/>
        </w:rPr>
      </w:pPr>
    </w:p>
    <w:p>
      <w:pPr>
        <w:ind w:right="20" w:firstLine="349"/>
        <w:spacing w:after="0" w:line="293" w:lineRule="auto"/>
        <w:rPr>
          <w:sz w:val="20"/>
          <w:szCs w:val="20"/>
          <w:color w:val="auto"/>
        </w:rPr>
      </w:pPr>
      <w:r>
        <w:rPr>
          <w:rFonts w:ascii="Times New Roman" w:cs="Times New Roman" w:eastAsia="Times New Roman" w:hAnsi="Times New Roman"/>
          <w:sz w:val="19"/>
          <w:szCs w:val="19"/>
          <w:color w:val="231F20"/>
        </w:rPr>
        <w:t>Under the Outgoing Repurchase Program, the Company could repurchase its shares from time to time through open market purchases, including 10b5-1 plans. It also permitted share repurchases to be activated, suspended or discontinued at any time.</w:t>
      </w:r>
    </w:p>
    <w:p>
      <w:pPr>
        <w:spacing w:after="0" w:line="49" w:lineRule="exact"/>
        <w:rPr>
          <w:sz w:val="20"/>
          <w:szCs w:val="20"/>
          <w:color w:val="auto"/>
        </w:rPr>
      </w:pPr>
    </w:p>
    <w:p>
      <w:pPr>
        <w:ind w:right="700" w:firstLine="349"/>
        <w:spacing w:after="0" w:line="274" w:lineRule="auto"/>
        <w:rPr>
          <w:sz w:val="20"/>
          <w:szCs w:val="20"/>
          <w:color w:val="auto"/>
        </w:rPr>
      </w:pPr>
      <w:r>
        <w:rPr>
          <w:rFonts w:ascii="Times New Roman" w:cs="Times New Roman" w:eastAsia="Times New Roman" w:hAnsi="Times New Roman"/>
          <w:sz w:val="19"/>
          <w:szCs w:val="19"/>
          <w:color w:val="231F20"/>
        </w:rPr>
        <w:t>On May 5, 2026, the Board of Directors terminated the Outgoing Repurchase Program and authorized a new share repurchase program (the “New Repurchase Program”) for the purchase of up to $1,000.0 million (exclusive of fees, commissions, and other charges).</w:t>
      </w:r>
    </w:p>
    <w:p>
      <w:pPr>
        <w:spacing w:after="0" w:line="67" w:lineRule="exact"/>
        <w:rPr>
          <w:sz w:val="20"/>
          <w:szCs w:val="20"/>
          <w:color w:val="auto"/>
        </w:rPr>
      </w:pPr>
    </w:p>
    <w:p>
      <w:pPr>
        <w:ind w:right="100" w:firstLine="349"/>
        <w:spacing w:after="0" w:line="274" w:lineRule="auto"/>
        <w:rPr>
          <w:sz w:val="20"/>
          <w:szCs w:val="20"/>
          <w:color w:val="auto"/>
        </w:rPr>
      </w:pPr>
      <w:r>
        <w:rPr>
          <w:rFonts w:ascii="Times New Roman" w:cs="Times New Roman" w:eastAsia="Times New Roman" w:hAnsi="Times New Roman"/>
          <w:sz w:val="19"/>
          <w:szCs w:val="19"/>
          <w:color w:val="231F20"/>
        </w:rPr>
        <w:t>Under the New Repurchase Program, we may repurchase our shares from time to time through open market purchases, including 10b5-1 plans. Any share repurchases may be activated, suspended or discontinued at any time. There is no limitation on the number of shares that can be repurchased in a year and there is no expiration date for the New Repurchase Program.</w:t>
      </w:r>
    </w:p>
    <w:p>
      <w:pPr>
        <w:spacing w:after="0" w:line="67" w:lineRule="exact"/>
        <w:rPr>
          <w:sz w:val="20"/>
          <w:szCs w:val="20"/>
          <w:color w:val="auto"/>
        </w:rPr>
      </w:pPr>
    </w:p>
    <w:p>
      <w:pPr>
        <w:ind w:right="200" w:firstLine="349"/>
        <w:spacing w:after="0" w:line="268" w:lineRule="auto"/>
        <w:rPr>
          <w:sz w:val="20"/>
          <w:szCs w:val="20"/>
          <w:color w:val="auto"/>
        </w:rPr>
      </w:pPr>
      <w:r>
        <w:rPr>
          <w:rFonts w:ascii="Times New Roman" w:cs="Times New Roman" w:eastAsia="Times New Roman" w:hAnsi="Times New Roman"/>
          <w:sz w:val="19"/>
          <w:szCs w:val="19"/>
          <w:color w:val="231F20"/>
        </w:rPr>
        <w:t>During fiscal 2026, we repurchased 0.9 million of our ordinary shares for the aggregate amount of $225.0 million (exclusive of fees, commissions, and other charges) pursuant to authorizations under the Outgoing Repurchase Program. This does not include 27 shares purchased during the year at an average price of $247.66 per share by the STERIS Corporation 401(k) Plan on behalf of an executive officer of the Company who may be deemed to be an affiliated purchaser.</w:t>
      </w:r>
    </w:p>
    <w:p>
      <w:pPr>
        <w:spacing w:after="0" w:line="72" w:lineRule="exact"/>
        <w:rPr>
          <w:sz w:val="20"/>
          <w:szCs w:val="20"/>
          <w:color w:val="auto"/>
        </w:rPr>
      </w:pPr>
    </w:p>
    <w:p>
      <w:pPr>
        <w:ind w:right="60" w:firstLine="398"/>
        <w:spacing w:after="0" w:line="293" w:lineRule="auto"/>
        <w:rPr>
          <w:sz w:val="20"/>
          <w:szCs w:val="20"/>
          <w:color w:val="auto"/>
        </w:rPr>
      </w:pPr>
      <w:r>
        <w:rPr>
          <w:rFonts w:ascii="Times New Roman" w:cs="Times New Roman" w:eastAsia="Times New Roman" w:hAnsi="Times New Roman"/>
          <w:sz w:val="19"/>
          <w:szCs w:val="19"/>
          <w:color w:val="231F20"/>
        </w:rPr>
        <w:t>During fiscal 2026, we obtained 0.1 million of our ordinary shares in the aggregate amount of $12.5 million in connection with share-based compensation award programs.</w:t>
      </w:r>
    </w:p>
    <w:p>
      <w:pPr>
        <w:spacing w:after="0" w:line="49" w:lineRule="exact"/>
        <w:rPr>
          <w:sz w:val="20"/>
          <w:szCs w:val="20"/>
          <w:color w:val="auto"/>
        </w:rPr>
      </w:pPr>
    </w:p>
    <w:p>
      <w:pPr>
        <w:ind w:firstLine="349"/>
        <w:spacing w:after="0" w:line="293" w:lineRule="auto"/>
        <w:rPr>
          <w:sz w:val="20"/>
          <w:szCs w:val="20"/>
          <w:color w:val="auto"/>
        </w:rPr>
      </w:pPr>
      <w:r>
        <w:rPr>
          <w:rFonts w:ascii="Times New Roman" w:cs="Times New Roman" w:eastAsia="Times New Roman" w:hAnsi="Times New Roman"/>
          <w:sz w:val="19"/>
          <w:szCs w:val="19"/>
          <w:color w:val="231F20"/>
        </w:rPr>
        <w:t>The following table presents information with respect to purchases STERIS made of its ordinary shares under the Outgoing Repurchase Program during the fourth quarter of fiscal year 2026:</w:t>
      </w:r>
    </w:p>
    <w:p>
      <w:pPr>
        <w:spacing w:after="0" w:line="269"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1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7"/>
                <w:szCs w:val="17"/>
                <w:color w:val="231F20"/>
              </w:rPr>
              <w:t>Total Number of</w:t>
            </w:r>
          </w:p>
        </w:tc>
        <w:tc>
          <w:tcPr>
            <w:tcW w:w="2060" w:type="dxa"/>
            <w:vAlign w:val="bottom"/>
            <w:gridSpan w:val="2"/>
          </w:tcPr>
          <w:p>
            <w:pPr>
              <w:jc w:val="center"/>
              <w:ind w:left="8"/>
              <w:spacing w:after="0"/>
              <w:rPr>
                <w:sz w:val="20"/>
                <w:szCs w:val="20"/>
                <w:color w:val="auto"/>
              </w:rPr>
            </w:pPr>
            <w:r>
              <w:rPr>
                <w:rFonts w:ascii="Times New Roman" w:cs="Times New Roman" w:eastAsia="Times New Roman" w:hAnsi="Times New Roman"/>
                <w:sz w:val="17"/>
                <w:szCs w:val="17"/>
                <w:color w:val="231F20"/>
              </w:rPr>
              <w:t>Maximum Dollar Value</w:t>
            </w:r>
          </w:p>
        </w:tc>
        <w:tc>
          <w:tcPr>
            <w:tcW w:w="0" w:type="dxa"/>
            <w:vAlign w:val="bottom"/>
          </w:tcPr>
          <w:p>
            <w:pPr>
              <w:spacing w:after="0"/>
              <w:rPr>
                <w:sz w:val="1"/>
                <w:szCs w:val="1"/>
                <w:color w:val="auto"/>
              </w:rPr>
            </w:pPr>
          </w:p>
        </w:tc>
      </w:tr>
      <w:tr>
        <w:trPr>
          <w:trHeight w:val="175"/>
        </w:trPr>
        <w:tc>
          <w:tcPr>
            <w:tcW w:w="1480" w:type="dxa"/>
            <w:vAlign w:val="bottom"/>
          </w:tcPr>
          <w:p>
            <w:pPr>
              <w:spacing w:after="0"/>
              <w:rPr>
                <w:sz w:val="15"/>
                <w:szCs w:val="15"/>
                <w:color w:val="auto"/>
              </w:rPr>
            </w:pPr>
          </w:p>
        </w:tc>
        <w:tc>
          <w:tcPr>
            <w:tcW w:w="1560" w:type="dxa"/>
            <w:vAlign w:val="bottom"/>
            <w:vMerge w:val="restart"/>
          </w:tcPr>
          <w:p>
            <w:pPr>
              <w:jc w:val="center"/>
              <w:ind w:left="253"/>
              <w:spacing w:after="0"/>
              <w:rPr>
                <w:sz w:val="20"/>
                <w:szCs w:val="20"/>
                <w:color w:val="auto"/>
              </w:rPr>
            </w:pPr>
            <w:r>
              <w:rPr>
                <w:rFonts w:ascii="Times New Roman" w:cs="Times New Roman" w:eastAsia="Times New Roman" w:hAnsi="Times New Roman"/>
                <w:sz w:val="17"/>
                <w:szCs w:val="17"/>
                <w:color w:val="231F20"/>
              </w:rPr>
              <w:t>Total Number of</w:t>
            </w: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6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color w:val="231F20"/>
              </w:rPr>
              <w:t>Shares Purchased as</w:t>
            </w:r>
          </w:p>
        </w:tc>
        <w:tc>
          <w:tcPr>
            <w:tcW w:w="300" w:type="dxa"/>
            <w:vAlign w:val="bottom"/>
          </w:tcPr>
          <w:p>
            <w:pPr>
              <w:spacing w:after="0"/>
              <w:rPr>
                <w:sz w:val="15"/>
                <w:szCs w:val="15"/>
                <w:color w:val="auto"/>
              </w:rPr>
            </w:pPr>
          </w:p>
        </w:tc>
        <w:tc>
          <w:tcPr>
            <w:tcW w:w="1760" w:type="dxa"/>
            <w:vAlign w:val="bottom"/>
          </w:tcPr>
          <w:p>
            <w:pPr>
              <w:jc w:val="center"/>
              <w:ind w:right="47"/>
              <w:spacing w:after="0" w:line="175" w:lineRule="exact"/>
              <w:rPr>
                <w:sz w:val="20"/>
                <w:szCs w:val="20"/>
                <w:color w:val="auto"/>
              </w:rPr>
            </w:pPr>
            <w:r>
              <w:rPr>
                <w:rFonts w:ascii="Times New Roman" w:cs="Times New Roman" w:eastAsia="Times New Roman" w:hAnsi="Times New Roman"/>
                <w:sz w:val="17"/>
                <w:szCs w:val="17"/>
                <w:color w:val="231F20"/>
              </w:rPr>
              <w:t>of Shares that May Yet</w:t>
            </w:r>
          </w:p>
        </w:tc>
        <w:tc>
          <w:tcPr>
            <w:tcW w:w="0" w:type="dxa"/>
            <w:vAlign w:val="bottom"/>
          </w:tcPr>
          <w:p>
            <w:pPr>
              <w:spacing w:after="0"/>
              <w:rPr>
                <w:sz w:val="1"/>
                <w:szCs w:val="1"/>
                <w:color w:val="auto"/>
              </w:rPr>
            </w:pPr>
          </w:p>
        </w:tc>
      </w:tr>
      <w:tr>
        <w:trPr>
          <w:trHeight w:val="175"/>
        </w:trPr>
        <w:tc>
          <w:tcPr>
            <w:tcW w:w="148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00" w:type="dxa"/>
            <w:vAlign w:val="bottom"/>
            <w:vMerge w:val="restart"/>
          </w:tcPr>
          <w:p>
            <w:pPr>
              <w:jc w:val="right"/>
              <w:ind w:right="386"/>
              <w:spacing w:after="0"/>
              <w:rPr>
                <w:sz w:val="20"/>
                <w:szCs w:val="20"/>
                <w:color w:val="auto"/>
              </w:rPr>
            </w:pPr>
            <w:r>
              <w:rPr>
                <w:rFonts w:ascii="Times New Roman" w:cs="Times New Roman" w:eastAsia="Times New Roman" w:hAnsi="Times New Roman"/>
                <w:sz w:val="17"/>
                <w:szCs w:val="17"/>
                <w:color w:val="231F20"/>
              </w:rPr>
              <w:t>Average Price Paid</w:t>
            </w:r>
          </w:p>
        </w:tc>
        <w:tc>
          <w:tcPr>
            <w:tcW w:w="206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color w:val="231F20"/>
              </w:rPr>
              <w:t>Part of Publicly</w:t>
            </w:r>
          </w:p>
        </w:tc>
        <w:tc>
          <w:tcPr>
            <w:tcW w:w="2060" w:type="dxa"/>
            <w:vAlign w:val="bottom"/>
            <w:gridSpan w:val="2"/>
          </w:tcPr>
          <w:p>
            <w:pPr>
              <w:jc w:val="center"/>
              <w:ind w:left="68"/>
              <w:spacing w:after="0" w:line="175" w:lineRule="exact"/>
              <w:rPr>
                <w:sz w:val="20"/>
                <w:szCs w:val="20"/>
                <w:color w:val="auto"/>
              </w:rPr>
            </w:pPr>
            <w:r>
              <w:rPr>
                <w:rFonts w:ascii="Times New Roman" w:cs="Times New Roman" w:eastAsia="Times New Roman" w:hAnsi="Times New Roman"/>
                <w:sz w:val="17"/>
                <w:szCs w:val="17"/>
                <w:color w:val="231F20"/>
              </w:rPr>
              <w:t>Be Purchased Under the</w:t>
            </w:r>
          </w:p>
        </w:tc>
        <w:tc>
          <w:tcPr>
            <w:tcW w:w="0" w:type="dxa"/>
            <w:vAlign w:val="bottom"/>
          </w:tcPr>
          <w:p>
            <w:pPr>
              <w:spacing w:after="0"/>
              <w:rPr>
                <w:sz w:val="1"/>
                <w:szCs w:val="1"/>
                <w:color w:val="auto"/>
              </w:rPr>
            </w:pPr>
          </w:p>
        </w:tc>
      </w:tr>
      <w:tr>
        <w:trPr>
          <w:trHeight w:val="175"/>
        </w:trPr>
        <w:tc>
          <w:tcPr>
            <w:tcW w:w="1480" w:type="dxa"/>
            <w:vAlign w:val="bottom"/>
          </w:tcPr>
          <w:p>
            <w:pPr>
              <w:spacing w:after="0"/>
              <w:rPr>
                <w:sz w:val="15"/>
                <w:szCs w:val="15"/>
                <w:color w:val="auto"/>
              </w:rPr>
            </w:pPr>
          </w:p>
        </w:tc>
        <w:tc>
          <w:tcPr>
            <w:tcW w:w="1560" w:type="dxa"/>
            <w:vAlign w:val="bottom"/>
          </w:tcPr>
          <w:p>
            <w:pPr>
              <w:jc w:val="center"/>
              <w:ind w:left="253"/>
              <w:spacing w:after="0" w:line="175" w:lineRule="exact"/>
              <w:rPr>
                <w:sz w:val="20"/>
                <w:szCs w:val="20"/>
                <w:color w:val="auto"/>
              </w:rPr>
            </w:pPr>
            <w:r>
              <w:rPr>
                <w:rFonts w:ascii="Times New Roman" w:cs="Times New Roman" w:eastAsia="Times New Roman" w:hAnsi="Times New Roman"/>
                <w:sz w:val="17"/>
                <w:szCs w:val="17"/>
                <w:color w:val="231F20"/>
              </w:rPr>
              <w:t>Shares Purchased</w:t>
            </w: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00" w:type="dxa"/>
            <w:vAlign w:val="bottom"/>
            <w:vMerge w:val="continue"/>
          </w:tcPr>
          <w:p>
            <w:pPr>
              <w:spacing w:after="0"/>
              <w:rPr>
                <w:sz w:val="15"/>
                <w:szCs w:val="15"/>
                <w:color w:val="auto"/>
              </w:rPr>
            </w:pPr>
          </w:p>
        </w:tc>
        <w:tc>
          <w:tcPr>
            <w:tcW w:w="206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color w:val="231F20"/>
              </w:rPr>
              <w:t>Announced Plans</w:t>
            </w:r>
          </w:p>
        </w:tc>
        <w:tc>
          <w:tcPr>
            <w:tcW w:w="300" w:type="dxa"/>
            <w:vAlign w:val="bottom"/>
          </w:tcPr>
          <w:p>
            <w:pPr>
              <w:spacing w:after="0"/>
              <w:rPr>
                <w:sz w:val="15"/>
                <w:szCs w:val="15"/>
                <w:color w:val="auto"/>
              </w:rPr>
            </w:pPr>
          </w:p>
        </w:tc>
        <w:tc>
          <w:tcPr>
            <w:tcW w:w="1760" w:type="dxa"/>
            <w:vAlign w:val="bottom"/>
          </w:tcPr>
          <w:p>
            <w:pPr>
              <w:jc w:val="center"/>
              <w:ind w:right="47"/>
              <w:spacing w:after="0" w:line="175" w:lineRule="exact"/>
              <w:rPr>
                <w:sz w:val="20"/>
                <w:szCs w:val="20"/>
                <w:color w:val="auto"/>
              </w:rPr>
            </w:pPr>
            <w:r>
              <w:rPr>
                <w:rFonts w:ascii="Times New Roman" w:cs="Times New Roman" w:eastAsia="Times New Roman" w:hAnsi="Times New Roman"/>
                <w:sz w:val="17"/>
                <w:szCs w:val="17"/>
                <w:color w:val="231F20"/>
              </w:rPr>
              <w:t>Plans at Period End</w:t>
            </w:r>
          </w:p>
        </w:tc>
        <w:tc>
          <w:tcPr>
            <w:tcW w:w="0" w:type="dxa"/>
            <w:vAlign w:val="bottom"/>
          </w:tcPr>
          <w:p>
            <w:pPr>
              <w:spacing w:after="0"/>
              <w:rPr>
                <w:sz w:val="1"/>
                <w:szCs w:val="1"/>
                <w:color w:val="auto"/>
              </w:rPr>
            </w:pPr>
          </w:p>
        </w:tc>
      </w:tr>
      <w:tr>
        <w:trPr>
          <w:trHeight w:val="231"/>
        </w:trPr>
        <w:tc>
          <w:tcPr>
            <w:tcW w:w="1480" w:type="dxa"/>
            <w:vAlign w:val="bottom"/>
          </w:tcPr>
          <w:p>
            <w:pPr>
              <w:spacing w:after="0"/>
              <w:rPr>
                <w:sz w:val="20"/>
                <w:szCs w:val="20"/>
                <w:color w:val="auto"/>
              </w:rPr>
            </w:pPr>
          </w:p>
        </w:tc>
        <w:tc>
          <w:tcPr>
            <w:tcW w:w="1560" w:type="dxa"/>
            <w:vAlign w:val="bottom"/>
            <w:tcBorders>
              <w:bottom w:val="single" w:sz="8" w:color="231F20"/>
            </w:tcBorders>
          </w:tcPr>
          <w:p>
            <w:pPr>
              <w:jc w:val="center"/>
              <w:ind w:left="253"/>
              <w:spacing w:after="0"/>
              <w:rPr>
                <w:sz w:val="20"/>
                <w:szCs w:val="20"/>
                <w:color w:val="auto"/>
              </w:rPr>
            </w:pPr>
            <w:r>
              <w:rPr>
                <w:rFonts w:ascii="Times New Roman" w:cs="Times New Roman" w:eastAsia="Times New Roman" w:hAnsi="Times New Roman"/>
                <w:sz w:val="17"/>
                <w:szCs w:val="17"/>
                <w:color w:val="231F20"/>
              </w:rPr>
              <w:t>(in millions)</w:t>
            </w:r>
          </w:p>
        </w:tc>
        <w:tc>
          <w:tcPr>
            <w:tcW w:w="440" w:type="dxa"/>
            <w:vAlign w:val="bottom"/>
            <w:tcBorders>
              <w:bottom w:val="single" w:sz="8" w:color="231F20"/>
            </w:tcBorders>
          </w:tcPr>
          <w:p>
            <w:pPr>
              <w:spacing w:after="0"/>
              <w:rPr>
                <w:sz w:val="20"/>
                <w:szCs w:val="20"/>
                <w:color w:val="auto"/>
              </w:rPr>
            </w:pPr>
          </w:p>
        </w:tc>
        <w:tc>
          <w:tcPr>
            <w:tcW w:w="360" w:type="dxa"/>
            <w:vAlign w:val="bottom"/>
            <w:tcBorders>
              <w:bottom w:val="single" w:sz="8" w:color="231F20"/>
            </w:tcBorders>
          </w:tcPr>
          <w:p>
            <w:pPr>
              <w:spacing w:after="0"/>
              <w:rPr>
                <w:sz w:val="20"/>
                <w:szCs w:val="20"/>
                <w:color w:val="auto"/>
              </w:rPr>
            </w:pPr>
          </w:p>
        </w:tc>
        <w:tc>
          <w:tcPr>
            <w:tcW w:w="1900" w:type="dxa"/>
            <w:vAlign w:val="bottom"/>
            <w:tcBorders>
              <w:bottom w:val="single" w:sz="8" w:color="231F20"/>
            </w:tcBorders>
          </w:tcPr>
          <w:p>
            <w:pPr>
              <w:jc w:val="right"/>
              <w:ind w:right="726"/>
              <w:spacing w:after="0"/>
              <w:rPr>
                <w:sz w:val="20"/>
                <w:szCs w:val="20"/>
                <w:color w:val="auto"/>
              </w:rPr>
            </w:pPr>
            <w:r>
              <w:rPr>
                <w:rFonts w:ascii="Times New Roman" w:cs="Times New Roman" w:eastAsia="Times New Roman" w:hAnsi="Times New Roman"/>
                <w:sz w:val="17"/>
                <w:szCs w:val="17"/>
                <w:color w:val="231F20"/>
              </w:rPr>
              <w:t>Per Share</w:t>
            </w:r>
          </w:p>
        </w:tc>
        <w:tc>
          <w:tcPr>
            <w:tcW w:w="20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7"/>
                <w:szCs w:val="17"/>
                <w:color w:val="231F20"/>
              </w:rPr>
              <w:t>(in millions)</w:t>
            </w:r>
          </w:p>
        </w:tc>
        <w:tc>
          <w:tcPr>
            <w:tcW w:w="300" w:type="dxa"/>
            <w:vAlign w:val="bottom"/>
            <w:tcBorders>
              <w:bottom w:val="single" w:sz="8" w:color="231F20"/>
            </w:tcBorders>
          </w:tcPr>
          <w:p>
            <w:pPr>
              <w:spacing w:after="0"/>
              <w:rPr>
                <w:sz w:val="20"/>
                <w:szCs w:val="20"/>
                <w:color w:val="auto"/>
              </w:rPr>
            </w:pPr>
          </w:p>
        </w:tc>
        <w:tc>
          <w:tcPr>
            <w:tcW w:w="1760" w:type="dxa"/>
            <w:vAlign w:val="bottom"/>
            <w:tcBorders>
              <w:bottom w:val="single" w:sz="8" w:color="231F20"/>
            </w:tcBorders>
          </w:tcPr>
          <w:p>
            <w:pPr>
              <w:jc w:val="center"/>
              <w:ind w:right="47"/>
              <w:spacing w:after="0"/>
              <w:rPr>
                <w:sz w:val="20"/>
                <w:szCs w:val="20"/>
                <w:color w:val="auto"/>
              </w:rPr>
            </w:pPr>
            <w:r>
              <w:rPr>
                <w:rFonts w:ascii="Times New Roman" w:cs="Times New Roman" w:eastAsia="Times New Roman" w:hAnsi="Times New Roman"/>
                <w:sz w:val="17"/>
                <w:szCs w:val="17"/>
                <w:color w:val="231F20"/>
              </w:rPr>
              <w:t>(in millions)</w:t>
            </w:r>
          </w:p>
        </w:tc>
        <w:tc>
          <w:tcPr>
            <w:tcW w:w="0" w:type="dxa"/>
            <w:vAlign w:val="bottom"/>
          </w:tcPr>
          <w:p>
            <w:pPr>
              <w:spacing w:after="0"/>
              <w:rPr>
                <w:sz w:val="1"/>
                <w:szCs w:val="1"/>
                <w:color w:val="auto"/>
              </w:rPr>
            </w:pPr>
          </w:p>
        </w:tc>
      </w:tr>
      <w:tr>
        <w:trPr>
          <w:trHeight w:val="254"/>
        </w:trPr>
        <w:tc>
          <w:tcPr>
            <w:tcW w:w="304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January 1-31</w:t>
            </w:r>
          </w:p>
        </w:tc>
        <w:tc>
          <w:tcPr>
            <w:tcW w:w="44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231F20"/>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90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231F20"/>
              </w:rPr>
              <w:t>—</w:t>
            </w:r>
          </w:p>
        </w:tc>
        <w:tc>
          <w:tcPr>
            <w:tcW w:w="2060" w:type="dxa"/>
            <w:vAlign w:val="bottom"/>
          </w:tcPr>
          <w:p>
            <w:pPr>
              <w:jc w:val="right"/>
              <w:ind w:right="108"/>
              <w:spacing w:after="0"/>
              <w:rPr>
                <w:sz w:val="20"/>
                <w:szCs w:val="20"/>
                <w:color w:val="auto"/>
              </w:rPr>
            </w:pPr>
            <w:r>
              <w:rPr>
                <w:rFonts w:ascii="Times New Roman" w:cs="Times New Roman" w:eastAsia="Times New Roman" w:hAnsi="Times New Roman"/>
                <w:sz w:val="19"/>
                <w:szCs w:val="19"/>
                <w:color w:val="231F20"/>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150.0</w:t>
            </w:r>
          </w:p>
        </w:tc>
        <w:tc>
          <w:tcPr>
            <w:tcW w:w="0" w:type="dxa"/>
            <w:vAlign w:val="bottom"/>
          </w:tcPr>
          <w:p>
            <w:pPr>
              <w:spacing w:after="0"/>
              <w:rPr>
                <w:sz w:val="1"/>
                <w:szCs w:val="1"/>
                <w:color w:val="auto"/>
              </w:rPr>
            </w:pPr>
          </w:p>
        </w:tc>
      </w:tr>
      <w:tr>
        <w:trPr>
          <w:trHeight w:val="277"/>
        </w:trPr>
        <w:tc>
          <w:tcPr>
            <w:tcW w:w="304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February 1-28</w:t>
            </w:r>
          </w:p>
        </w:tc>
        <w:tc>
          <w:tcPr>
            <w:tcW w:w="44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231F20"/>
                <w:w w:val="92"/>
              </w:rPr>
              <w:t>0.2</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90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231F20"/>
              </w:rPr>
              <w:t>249.96</w:t>
            </w:r>
          </w:p>
        </w:tc>
        <w:tc>
          <w:tcPr>
            <w:tcW w:w="2060" w:type="dxa"/>
            <w:vAlign w:val="bottom"/>
          </w:tcPr>
          <w:p>
            <w:pPr>
              <w:jc w:val="right"/>
              <w:ind w:right="108"/>
              <w:spacing w:after="0"/>
              <w:rPr>
                <w:sz w:val="20"/>
                <w:szCs w:val="20"/>
                <w:color w:val="auto"/>
              </w:rPr>
            </w:pPr>
            <w:r>
              <w:rPr>
                <w:rFonts w:ascii="Times New Roman" w:cs="Times New Roman" w:eastAsia="Times New Roman" w:hAnsi="Times New Roman"/>
                <w:sz w:val="19"/>
                <w:szCs w:val="19"/>
                <w:color w:val="231F20"/>
              </w:rPr>
              <w:t>0.2</w:t>
            </w:r>
          </w:p>
        </w:tc>
        <w:tc>
          <w:tcPr>
            <w:tcW w:w="3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105.0</w:t>
            </w:r>
          </w:p>
        </w:tc>
        <w:tc>
          <w:tcPr>
            <w:tcW w:w="0" w:type="dxa"/>
            <w:vAlign w:val="bottom"/>
          </w:tcPr>
          <w:p>
            <w:pPr>
              <w:spacing w:after="0"/>
              <w:rPr>
                <w:sz w:val="1"/>
                <w:szCs w:val="1"/>
                <w:color w:val="auto"/>
              </w:rPr>
            </w:pPr>
          </w:p>
        </w:tc>
      </w:tr>
      <w:tr>
        <w:trPr>
          <w:trHeight w:val="279"/>
        </w:trPr>
        <w:tc>
          <w:tcPr>
            <w:tcW w:w="1480" w:type="dxa"/>
            <w:vAlign w:val="bottom"/>
          </w:tcPr>
          <w:p>
            <w:pPr>
              <w:spacing w:after="0"/>
              <w:rPr>
                <w:sz w:val="20"/>
                <w:szCs w:val="20"/>
                <w:color w:val="auto"/>
              </w:rPr>
            </w:pPr>
            <w:r>
              <w:rPr>
                <w:rFonts w:ascii="Times New Roman" w:cs="Times New Roman" w:eastAsia="Times New Roman" w:hAnsi="Times New Roman"/>
                <w:sz w:val="19"/>
                <w:szCs w:val="19"/>
                <w:color w:val="231F20"/>
              </w:rPr>
              <w:t>March 1-31</w:t>
            </w:r>
          </w:p>
        </w:tc>
        <w:tc>
          <w:tcPr>
            <w:tcW w:w="1560" w:type="dxa"/>
            <w:vAlign w:val="bottom"/>
            <w:tcBorders>
              <w:bottom w:val="single" w:sz="8" w:color="231F20"/>
            </w:tcBorders>
          </w:tcPr>
          <w:p>
            <w:pPr>
              <w:spacing w:after="0"/>
              <w:rPr>
                <w:sz w:val="24"/>
                <w:szCs w:val="24"/>
                <w:color w:val="auto"/>
              </w:rPr>
            </w:pPr>
          </w:p>
        </w:tc>
        <w:tc>
          <w:tcPr>
            <w:tcW w:w="440" w:type="dxa"/>
            <w:vAlign w:val="bottom"/>
            <w:tcBorders>
              <w:bottom w:val="single" w:sz="8" w:color="231F20"/>
            </w:tcBorders>
          </w:tcPr>
          <w:p>
            <w:pPr>
              <w:jc w:val="right"/>
              <w:ind w:right="103"/>
              <w:spacing w:after="0"/>
              <w:rPr>
                <w:sz w:val="20"/>
                <w:szCs w:val="20"/>
                <w:color w:val="auto"/>
              </w:rPr>
            </w:pPr>
            <w:r>
              <w:rPr>
                <w:rFonts w:ascii="Times New Roman" w:cs="Times New Roman" w:eastAsia="Times New Roman" w:hAnsi="Times New Roman"/>
                <w:sz w:val="19"/>
                <w:szCs w:val="19"/>
                <w:color w:val="231F20"/>
                <w:w w:val="92"/>
              </w:rPr>
              <w:t>0.1</w:t>
            </w:r>
          </w:p>
        </w:tc>
        <w:tc>
          <w:tcPr>
            <w:tcW w:w="3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900" w:type="dxa"/>
            <w:vAlign w:val="bottom"/>
            <w:tcBorders>
              <w:bottom w:val="single" w:sz="8" w:color="231F20"/>
            </w:tcBorders>
          </w:tcPr>
          <w:p>
            <w:pPr>
              <w:jc w:val="right"/>
              <w:ind w:right="206"/>
              <w:spacing w:after="0"/>
              <w:rPr>
                <w:sz w:val="20"/>
                <w:szCs w:val="20"/>
                <w:color w:val="auto"/>
              </w:rPr>
            </w:pPr>
            <w:r>
              <w:rPr>
                <w:rFonts w:ascii="Times New Roman" w:cs="Times New Roman" w:eastAsia="Times New Roman" w:hAnsi="Times New Roman"/>
                <w:sz w:val="19"/>
                <w:szCs w:val="19"/>
                <w:color w:val="231F20"/>
              </w:rPr>
              <w:t>239.27</w:t>
            </w:r>
          </w:p>
        </w:tc>
        <w:tc>
          <w:tcPr>
            <w:tcW w:w="2060" w:type="dxa"/>
            <w:vAlign w:val="bottom"/>
            <w:tcBorders>
              <w:bottom w:val="single" w:sz="8" w:color="231F20"/>
            </w:tcBorders>
          </w:tcPr>
          <w:p>
            <w:pPr>
              <w:jc w:val="right"/>
              <w:ind w:right="108"/>
              <w:spacing w:after="0"/>
              <w:rPr>
                <w:sz w:val="20"/>
                <w:szCs w:val="20"/>
                <w:color w:val="auto"/>
              </w:rPr>
            </w:pPr>
            <w:r>
              <w:rPr>
                <w:rFonts w:ascii="Times New Roman" w:cs="Times New Roman" w:eastAsia="Times New Roman" w:hAnsi="Times New Roman"/>
                <w:sz w:val="19"/>
                <w:szCs w:val="19"/>
                <w:color w:val="231F20"/>
              </w:rPr>
              <w:t>0.1</w:t>
            </w:r>
          </w:p>
        </w:tc>
        <w:tc>
          <w:tcPr>
            <w:tcW w:w="300" w:type="dxa"/>
            <w:vAlign w:val="bottom"/>
            <w:tcBorders>
              <w:bottom w:val="single" w:sz="8" w:color="231F20"/>
            </w:tcBorders>
          </w:tcPr>
          <w:p>
            <w:pPr>
              <w:spacing w:after="0"/>
              <w:rPr>
                <w:sz w:val="24"/>
                <w:szCs w:val="24"/>
                <w:color w:val="auto"/>
              </w:rPr>
            </w:pPr>
          </w:p>
        </w:tc>
        <w:tc>
          <w:tcPr>
            <w:tcW w:w="1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75.0</w:t>
            </w:r>
          </w:p>
        </w:tc>
        <w:tc>
          <w:tcPr>
            <w:tcW w:w="0" w:type="dxa"/>
            <w:vAlign w:val="bottom"/>
          </w:tcPr>
          <w:p>
            <w:pPr>
              <w:spacing w:after="0"/>
              <w:rPr>
                <w:sz w:val="1"/>
                <w:szCs w:val="1"/>
                <w:color w:val="auto"/>
              </w:rPr>
            </w:pPr>
          </w:p>
        </w:tc>
      </w:tr>
      <w:tr>
        <w:trPr>
          <w:trHeight w:val="283"/>
        </w:trPr>
        <w:tc>
          <w:tcPr>
            <w:tcW w:w="304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Total</w:t>
            </w:r>
          </w:p>
        </w:tc>
        <w:tc>
          <w:tcPr>
            <w:tcW w:w="44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231F20"/>
                <w:w w:val="92"/>
              </w:rPr>
              <w:t>0.3</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90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231F20"/>
              </w:rPr>
              <w:t>245.57</w:t>
            </w:r>
          </w:p>
        </w:tc>
        <w:tc>
          <w:tcPr>
            <w:tcW w:w="2060" w:type="dxa"/>
            <w:vAlign w:val="bottom"/>
          </w:tcPr>
          <w:p>
            <w:pPr>
              <w:jc w:val="right"/>
              <w:ind w:right="108"/>
              <w:spacing w:after="0"/>
              <w:rPr>
                <w:sz w:val="20"/>
                <w:szCs w:val="20"/>
                <w:color w:val="auto"/>
              </w:rPr>
            </w:pPr>
            <w:r>
              <w:rPr>
                <w:rFonts w:ascii="Times New Roman" w:cs="Times New Roman" w:eastAsia="Times New Roman" w:hAnsi="Times New Roman"/>
                <w:sz w:val="19"/>
                <w:szCs w:val="19"/>
                <w:color w:val="231F20"/>
              </w:rPr>
              <w:t>0.3</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75.0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940"/>
          </w:cols>
          <w:pgMar w:left="960" w:top="80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28</w:t>
      </w:r>
    </w:p>
    <w:p>
      <w:pPr>
        <w:sectPr>
          <w:pgSz w:w="11880" w:h="15480" w:orient="portrait"/>
          <w:cols w:equalWidth="0" w:num="1">
            <w:col w:w="9940"/>
          </w:cols>
          <w:pgMar w:left="960" w:top="801" w:right="980" w:bottom="0" w:gutter="0" w:footer="0" w:header="0"/>
          <w:type w:val="continuous"/>
        </w:sectPr>
      </w:pPr>
    </w:p>
    <w:bookmarkStart w:id="29" w:name="page30"/>
    <w:bookmarkEnd w:id="29"/>
    <w:p>
      <w:pPr>
        <w:spacing w:after="0"/>
        <w:tabs>
          <w:tab w:leader="none" w:pos="1380" w:val="left"/>
        </w:tabs>
        <w:rPr>
          <w:sz w:val="20"/>
          <w:szCs w:val="20"/>
          <w:color w:val="auto"/>
        </w:rPr>
      </w:pPr>
      <w:r>
        <w:rPr>
          <w:rFonts w:ascii="Times New Roman" w:cs="Times New Roman" w:eastAsia="Times New Roman" w:hAnsi="Times New Roman"/>
          <w:sz w:val="27"/>
          <w:szCs w:val="27"/>
          <w:color w:val="231F20"/>
        </w:rPr>
        <w:t>ITEM 6.</w:t>
      </w:r>
      <w:r>
        <w:rPr>
          <w:sz w:val="20"/>
          <w:szCs w:val="20"/>
          <w:color w:val="auto"/>
        </w:rPr>
        <w:tab/>
      </w:r>
      <w:r>
        <w:rPr>
          <w:rFonts w:ascii="Times New Roman" w:cs="Times New Roman" w:eastAsia="Times New Roman" w:hAnsi="Times New Roman"/>
          <w:sz w:val="27"/>
          <w:szCs w:val="27"/>
          <w:color w:val="231F20"/>
        </w:rPr>
        <w:t>[RESERVED]</w:t>
      </w:r>
    </w:p>
    <w:p>
      <w:pPr>
        <w:sectPr>
          <w:pgSz w:w="11880" w:h="15480" w:orient="portrait"/>
          <w:cols w:equalWidth="0" w:num="1">
            <w:col w:w="9480"/>
          </w:cols>
          <w:pgMar w:left="960" w:top="80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9"/>
          <w:szCs w:val="19"/>
          <w:color w:val="231F20"/>
        </w:rPr>
        <w:t>29</w:t>
      </w:r>
    </w:p>
    <w:p>
      <w:pPr>
        <w:sectPr>
          <w:pgSz w:w="11880" w:h="15480" w:orient="portrait"/>
          <w:cols w:equalWidth="0" w:num="1">
            <w:col w:w="9480"/>
          </w:cols>
          <w:pgMar w:left="960" w:top="801" w:right="1440" w:bottom="0" w:gutter="0" w:footer="0" w:header="0"/>
          <w:type w:val="continuous"/>
        </w:sectPr>
      </w:pPr>
    </w:p>
    <w:bookmarkStart w:id="30" w:name="page31"/>
    <w:bookmarkEnd w:id="30"/>
    <w:p>
      <w:pPr>
        <w:ind w:left="1400" w:right="680" w:hanging="1396"/>
        <w:spacing w:after="0" w:line="285" w:lineRule="auto"/>
        <w:tabs>
          <w:tab w:leader="none" w:pos="1380" w:val="left"/>
        </w:tabs>
        <w:rPr>
          <w:sz w:val="20"/>
          <w:szCs w:val="20"/>
          <w:color w:val="auto"/>
        </w:rPr>
      </w:pPr>
      <w:r>
        <w:rPr>
          <w:rFonts w:ascii="Times New Roman" w:cs="Times New Roman" w:eastAsia="Times New Roman" w:hAnsi="Times New Roman"/>
          <w:sz w:val="27"/>
          <w:szCs w:val="27"/>
          <w:color w:val="231F20"/>
        </w:rPr>
        <w:t>ITEM 7.</w:t>
      </w:r>
      <w:r>
        <w:rPr>
          <w:sz w:val="20"/>
          <w:szCs w:val="20"/>
          <w:color w:val="auto"/>
        </w:rPr>
        <w:tab/>
      </w:r>
      <w:r>
        <w:rPr>
          <w:rFonts w:ascii="Times New Roman" w:cs="Times New Roman" w:eastAsia="Times New Roman" w:hAnsi="Times New Roman"/>
          <w:sz w:val="27"/>
          <w:szCs w:val="27"/>
          <w:color w:val="231F20"/>
        </w:rPr>
        <w:t>MANAGEMENT’S DISCUSSION AND ANALYSIS OF FINANCIAL CONDITION AND RESULTS OF OPERATIONS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INTRODUCTION</w:t>
      </w:r>
    </w:p>
    <w:p>
      <w:pPr>
        <w:spacing w:after="0" w:line="138" w:lineRule="exact"/>
        <w:rPr>
          <w:sz w:val="20"/>
          <w:szCs w:val="20"/>
          <w:color w:val="auto"/>
        </w:rPr>
      </w:pPr>
    </w:p>
    <w:p>
      <w:pPr>
        <w:ind w:right="340" w:firstLine="262"/>
        <w:spacing w:after="0" w:line="293" w:lineRule="auto"/>
        <w:rPr>
          <w:sz w:val="20"/>
          <w:szCs w:val="20"/>
          <w:color w:val="auto"/>
        </w:rPr>
      </w:pPr>
      <w:r>
        <w:rPr>
          <w:rFonts w:ascii="Times New Roman" w:cs="Times New Roman" w:eastAsia="Times New Roman" w:hAnsi="Times New Roman"/>
          <w:sz w:val="19"/>
          <w:szCs w:val="19"/>
          <w:color w:val="231F20"/>
        </w:rPr>
        <w:t>In Management’s Discussion and Analysis of Financial Condition and Results of Operations (“MD&amp;A”), we explain the general financial condition and the results of operations for STERIS and its subsidiaries including:</w:t>
      </w:r>
    </w:p>
    <w:p>
      <w:pPr>
        <w:spacing w:after="0" w:line="49" w:lineRule="exact"/>
        <w:rPr>
          <w:sz w:val="20"/>
          <w:szCs w:val="20"/>
          <w:color w:val="auto"/>
        </w:rPr>
      </w:pPr>
    </w:p>
    <w:p>
      <w:pPr>
        <w:ind w:left="700" w:hanging="348"/>
        <w:spacing w:after="0"/>
        <w:tabs>
          <w:tab w:leader="none" w:pos="700" w:val="left"/>
        </w:tabs>
        <w:numPr>
          <w:ilvl w:val="0"/>
          <w:numId w:val="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what factors affect our business;</w:t>
      </w:r>
    </w:p>
    <w:p>
      <w:pPr>
        <w:spacing w:after="0" w:line="34" w:lineRule="exact"/>
        <w:rPr>
          <w:rFonts w:ascii="Times New Roman" w:cs="Times New Roman" w:eastAsia="Times New Roman" w:hAnsi="Times New Roman"/>
          <w:sz w:val="19"/>
          <w:szCs w:val="19"/>
          <w:color w:val="231F20"/>
        </w:rPr>
      </w:pPr>
    </w:p>
    <w:p>
      <w:pPr>
        <w:ind w:left="700" w:hanging="348"/>
        <w:spacing w:after="0"/>
        <w:tabs>
          <w:tab w:leader="none" w:pos="700" w:val="left"/>
        </w:tabs>
        <w:numPr>
          <w:ilvl w:val="0"/>
          <w:numId w:val="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what our earnings and costs were in each period presented;</w:t>
      </w:r>
    </w:p>
    <w:p>
      <w:pPr>
        <w:spacing w:after="0" w:line="14" w:lineRule="exact"/>
        <w:rPr>
          <w:rFonts w:ascii="Times New Roman" w:cs="Times New Roman" w:eastAsia="Times New Roman" w:hAnsi="Times New Roman"/>
          <w:sz w:val="19"/>
          <w:szCs w:val="19"/>
          <w:color w:val="231F20"/>
        </w:rPr>
      </w:pPr>
    </w:p>
    <w:p>
      <w:pPr>
        <w:ind w:left="700" w:hanging="348"/>
        <w:spacing w:after="0"/>
        <w:tabs>
          <w:tab w:leader="none" w:pos="700" w:val="left"/>
        </w:tabs>
        <w:numPr>
          <w:ilvl w:val="0"/>
          <w:numId w:val="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why those earnings and costs were different from the year before;</w:t>
      </w:r>
    </w:p>
    <w:p>
      <w:pPr>
        <w:spacing w:after="0" w:line="14" w:lineRule="exact"/>
        <w:rPr>
          <w:rFonts w:ascii="Times New Roman" w:cs="Times New Roman" w:eastAsia="Times New Roman" w:hAnsi="Times New Roman"/>
          <w:sz w:val="19"/>
          <w:szCs w:val="19"/>
          <w:color w:val="231F20"/>
        </w:rPr>
      </w:pPr>
    </w:p>
    <w:p>
      <w:pPr>
        <w:ind w:left="700" w:hanging="348"/>
        <w:spacing w:after="0"/>
        <w:tabs>
          <w:tab w:leader="none" w:pos="700" w:val="left"/>
        </w:tabs>
        <w:numPr>
          <w:ilvl w:val="0"/>
          <w:numId w:val="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where our earnings came from;</w:t>
      </w:r>
    </w:p>
    <w:p>
      <w:pPr>
        <w:spacing w:after="0" w:line="14" w:lineRule="exact"/>
        <w:rPr>
          <w:rFonts w:ascii="Times New Roman" w:cs="Times New Roman" w:eastAsia="Times New Roman" w:hAnsi="Times New Roman"/>
          <w:sz w:val="19"/>
          <w:szCs w:val="19"/>
          <w:color w:val="231F20"/>
        </w:rPr>
      </w:pPr>
    </w:p>
    <w:p>
      <w:pPr>
        <w:ind w:left="700" w:hanging="348"/>
        <w:spacing w:after="0"/>
        <w:tabs>
          <w:tab w:leader="none" w:pos="700" w:val="left"/>
        </w:tabs>
        <w:numPr>
          <w:ilvl w:val="0"/>
          <w:numId w:val="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how this affects our overall financial condition;</w:t>
      </w:r>
    </w:p>
    <w:p>
      <w:pPr>
        <w:spacing w:after="0" w:line="14" w:lineRule="exact"/>
        <w:rPr>
          <w:rFonts w:ascii="Times New Roman" w:cs="Times New Roman" w:eastAsia="Times New Roman" w:hAnsi="Times New Roman"/>
          <w:sz w:val="19"/>
          <w:szCs w:val="19"/>
          <w:color w:val="231F20"/>
        </w:rPr>
      </w:pPr>
    </w:p>
    <w:p>
      <w:pPr>
        <w:ind w:left="700" w:hanging="348"/>
        <w:spacing w:after="0"/>
        <w:tabs>
          <w:tab w:leader="none" w:pos="700" w:val="left"/>
        </w:tabs>
        <w:numPr>
          <w:ilvl w:val="0"/>
          <w:numId w:val="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what our expenditures for capital projects were; and</w:t>
      </w:r>
    </w:p>
    <w:p>
      <w:pPr>
        <w:spacing w:after="0" w:line="14" w:lineRule="exact"/>
        <w:rPr>
          <w:rFonts w:ascii="Times New Roman" w:cs="Times New Roman" w:eastAsia="Times New Roman" w:hAnsi="Times New Roman"/>
          <w:sz w:val="19"/>
          <w:szCs w:val="19"/>
          <w:color w:val="231F20"/>
        </w:rPr>
      </w:pPr>
    </w:p>
    <w:p>
      <w:pPr>
        <w:ind w:left="700" w:right="460" w:hanging="348"/>
        <w:spacing w:after="0" w:line="271" w:lineRule="auto"/>
        <w:tabs>
          <w:tab w:leader="none" w:pos="700" w:val="left"/>
        </w:tabs>
        <w:numPr>
          <w:ilvl w:val="0"/>
          <w:numId w:val="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where cash is expected to come from to fund future debt principal repayments, growth outside of core operations, repurchases of shares, cash dividends and future working capital needs.</w:t>
      </w:r>
    </w:p>
    <w:p>
      <w:pPr>
        <w:spacing w:after="0" w:line="69" w:lineRule="exact"/>
        <w:rPr>
          <w:sz w:val="20"/>
          <w:szCs w:val="20"/>
          <w:color w:val="auto"/>
        </w:rPr>
      </w:pPr>
    </w:p>
    <w:p>
      <w:pPr>
        <w:ind w:firstLine="349"/>
        <w:spacing w:after="0" w:line="265" w:lineRule="auto"/>
        <w:rPr>
          <w:sz w:val="20"/>
          <w:szCs w:val="20"/>
          <w:color w:val="auto"/>
        </w:rPr>
      </w:pPr>
      <w:r>
        <w:rPr>
          <w:rFonts w:ascii="Times New Roman" w:cs="Times New Roman" w:eastAsia="Times New Roman" w:hAnsi="Times New Roman"/>
          <w:sz w:val="19"/>
          <w:szCs w:val="19"/>
          <w:color w:val="231F20"/>
        </w:rPr>
        <w:t>The MD&amp;A also analyzes and explains the annual changes in the specific line items in the Consolidated Statements of Income. As you read the MD&amp;A, it may be helpful to refer to information in Item 1, "Business," Part I, Item 1A, "Risk Factors," and Note 12 to our consolidated financial statements titled, "Commitments and Contingencies" for a discussion of some of the matters that can adversely affect our business and results of operations. This information, discussion, and disclosure may be important to you in making decisions about your investments in STERIS.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FINANCIAL MEASURES</w:t>
      </w:r>
    </w:p>
    <w:p>
      <w:pPr>
        <w:spacing w:after="0" w:line="138" w:lineRule="exact"/>
        <w:rPr>
          <w:sz w:val="20"/>
          <w:szCs w:val="20"/>
          <w:color w:val="auto"/>
        </w:rPr>
      </w:pPr>
    </w:p>
    <w:p>
      <w:pPr>
        <w:ind w:firstLine="349"/>
        <w:spacing w:after="0" w:line="268" w:lineRule="auto"/>
        <w:rPr>
          <w:sz w:val="20"/>
          <w:szCs w:val="20"/>
          <w:color w:val="auto"/>
        </w:rPr>
      </w:pPr>
      <w:r>
        <w:rPr>
          <w:rFonts w:ascii="Times New Roman" w:cs="Times New Roman" w:eastAsia="Times New Roman" w:hAnsi="Times New Roman"/>
          <w:sz w:val="19"/>
          <w:szCs w:val="19"/>
          <w:color w:val="231F20"/>
        </w:rPr>
        <w:t>In the following sections of the MD&amp;A, we may, at times, refer to financial measures that are not required to be presented in the consolidated financial statements under accounting principles generally accepted in the United States ("U.S. GAAP"). We sometimes use the following financial measures in the context of this report: backlog and debt-to-total capital ratio. We define these financial measures as follows:</w:t>
      </w:r>
    </w:p>
    <w:p>
      <w:pPr>
        <w:spacing w:after="0" w:line="72" w:lineRule="exact"/>
        <w:rPr>
          <w:sz w:val="20"/>
          <w:szCs w:val="20"/>
          <w:color w:val="auto"/>
        </w:rPr>
      </w:pPr>
    </w:p>
    <w:p>
      <w:pPr>
        <w:ind w:left="700" w:right="260" w:hanging="348"/>
        <w:spacing w:after="0" w:line="263" w:lineRule="auto"/>
        <w:tabs>
          <w:tab w:leader="none" w:pos="700" w:val="left"/>
        </w:tabs>
        <w:numPr>
          <w:ilvl w:val="0"/>
          <w:numId w:val="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Backlog</w:t>
      </w:r>
      <w:r>
        <w:rPr>
          <w:rFonts w:ascii="Times New Roman" w:cs="Times New Roman" w:eastAsia="Times New Roman" w:hAnsi="Times New Roman"/>
          <w:sz w:val="19"/>
          <w:szCs w:val="19"/>
          <w:color w:val="231F20"/>
        </w:rPr>
        <w:t xml:space="preserve"> – We define backlog as the amount of unfilled capital equipment purchase orders (excluding freight) at a point in time. We use this figure as a measure to assist in the projection of short-term financial results and inventory requirements.</w:t>
      </w:r>
    </w:p>
    <w:p>
      <w:pPr>
        <w:ind w:left="700" w:right="480" w:hanging="348"/>
        <w:spacing w:after="0" w:line="263" w:lineRule="auto"/>
        <w:tabs>
          <w:tab w:leader="none" w:pos="700" w:val="left"/>
        </w:tabs>
        <w:numPr>
          <w:ilvl w:val="0"/>
          <w:numId w:val="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Debt-to-total capital ratio</w:t>
      </w:r>
      <w:r>
        <w:rPr>
          <w:rFonts w:ascii="Times New Roman" w:cs="Times New Roman" w:eastAsia="Times New Roman" w:hAnsi="Times New Roman"/>
          <w:sz w:val="19"/>
          <w:szCs w:val="19"/>
          <w:color w:val="231F20"/>
        </w:rPr>
        <w:t xml:space="preserve"> – We define debt-to-total capital ratio as total debt divided by the sum of total debt and shareholders’ equity. We use this figure as a financial liquidity measure to gauge our ability to borrow and fund growth.</w:t>
      </w:r>
    </w:p>
    <w:p>
      <w:pPr>
        <w:spacing w:after="0" w:line="77" w:lineRule="exact"/>
        <w:rPr>
          <w:sz w:val="20"/>
          <w:szCs w:val="20"/>
          <w:color w:val="auto"/>
        </w:rPr>
      </w:pPr>
    </w:p>
    <w:p>
      <w:pPr>
        <w:ind w:right="20" w:firstLine="262"/>
        <w:spacing w:after="0" w:line="261" w:lineRule="auto"/>
        <w:rPr>
          <w:sz w:val="20"/>
          <w:szCs w:val="20"/>
          <w:color w:val="auto"/>
        </w:rPr>
      </w:pPr>
      <w:r>
        <w:rPr>
          <w:rFonts w:ascii="Times New Roman" w:cs="Times New Roman" w:eastAsia="Times New Roman" w:hAnsi="Times New Roman"/>
          <w:sz w:val="19"/>
          <w:szCs w:val="19"/>
          <w:color w:val="231F20"/>
        </w:rPr>
        <w:t>We, at times, may also refer to financial measures which are considered to be “non-GAAP financial measures” under SEC rules. We have presented these financial measures because we believe that meaningful analysis of our financial performance is enhanced by an understanding of certain additional factors underlying that performance. These financial measures should not be considered an alternative to measures required by accounting principles generally accepted in the United States. Our calculations of these measures may differ from calculations of similar measures used by other companies, and you should be careful when comparing these financial measures to those of other companies. Additional information regarding these financial measures, including reconciliations of each non-GAAP financial measure, is available in the subsection of MD&amp;A titled, "Non-GAAP Financial Measures."</w:t>
      </w:r>
    </w:p>
    <w:p>
      <w:pPr>
        <w:sectPr>
          <w:pgSz w:w="11880" w:h="15480" w:orient="portrait"/>
          <w:cols w:equalWidth="0" w:num="1">
            <w:col w:w="9960"/>
          </w:cols>
          <w:pgMar w:left="960" w:top="80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30</w:t>
      </w:r>
    </w:p>
    <w:p>
      <w:pPr>
        <w:sectPr>
          <w:pgSz w:w="11880" w:h="15480" w:orient="portrait"/>
          <w:cols w:equalWidth="0" w:num="1">
            <w:col w:w="9960"/>
          </w:cols>
          <w:pgMar w:left="960" w:top="801" w:right="960" w:bottom="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9"/>
          <w:szCs w:val="19"/>
          <w:b w:val="1"/>
          <w:bCs w:val="1"/>
          <w:color w:val="231F20"/>
        </w:rPr>
        <w:t>REVENUES– DEFINED</w:t>
      </w:r>
    </w:p>
    <w:p>
      <w:pPr>
        <w:spacing w:after="0" w:line="138" w:lineRule="exact"/>
        <w:rPr>
          <w:sz w:val="20"/>
          <w:szCs w:val="20"/>
          <w:color w:val="auto"/>
        </w:rPr>
      </w:pPr>
    </w:p>
    <w:p>
      <w:pPr>
        <w:ind w:right="40" w:firstLine="349"/>
        <w:spacing w:after="0" w:line="266" w:lineRule="auto"/>
        <w:rPr>
          <w:sz w:val="20"/>
          <w:szCs w:val="20"/>
          <w:color w:val="auto"/>
        </w:rPr>
      </w:pPr>
      <w:r>
        <w:rPr>
          <w:rFonts w:ascii="Times New Roman" w:cs="Times New Roman" w:eastAsia="Times New Roman" w:hAnsi="Times New Roman"/>
          <w:sz w:val="19"/>
          <w:szCs w:val="19"/>
          <w:color w:val="231F20"/>
        </w:rPr>
        <w:t>As required by Regulation S-X, we separately present revenues generated as either Product revenues or Service revenues on our Consolidated Statements of Income for each period presented. When we discuss revenues, we may, at times, refer to revenues summarized differently than the Regulation S-X requirements. The terminology, definitions, and applications of terms that we use to describe revenues may be different from terms used by other companies. We use the following terms to describe revenues:</w:t>
      </w:r>
    </w:p>
    <w:p>
      <w:pPr>
        <w:spacing w:after="0" w:line="312" w:lineRule="exact"/>
        <w:rPr>
          <w:sz w:val="20"/>
          <w:szCs w:val="20"/>
          <w:color w:val="auto"/>
        </w:rPr>
      </w:pPr>
    </w:p>
    <w:p>
      <w:pPr>
        <w:ind w:left="700" w:hanging="348"/>
        <w:spacing w:after="0"/>
        <w:tabs>
          <w:tab w:leader="none" w:pos="700" w:val="left"/>
        </w:tabs>
        <w:numPr>
          <w:ilvl w:val="0"/>
          <w:numId w:val="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Revenues</w:t>
      </w:r>
      <w:r>
        <w:rPr>
          <w:rFonts w:ascii="Times New Roman" w:cs="Times New Roman" w:eastAsia="Times New Roman" w:hAnsi="Times New Roman"/>
          <w:sz w:val="19"/>
          <w:szCs w:val="19"/>
          <w:color w:val="231F20"/>
        </w:rPr>
        <w:t xml:space="preserve"> – Our revenues are presented net of sales returns and allowances.</w:t>
      </w:r>
    </w:p>
    <w:p>
      <w:pPr>
        <w:spacing w:after="0" w:line="34" w:lineRule="exact"/>
        <w:rPr>
          <w:rFonts w:ascii="Times New Roman" w:cs="Times New Roman" w:eastAsia="Times New Roman" w:hAnsi="Times New Roman"/>
          <w:sz w:val="19"/>
          <w:szCs w:val="19"/>
          <w:color w:val="231F20"/>
        </w:rPr>
      </w:pPr>
    </w:p>
    <w:p>
      <w:pPr>
        <w:ind w:left="700" w:right="780" w:hanging="348"/>
        <w:spacing w:after="0" w:line="255" w:lineRule="auto"/>
        <w:tabs>
          <w:tab w:leader="none" w:pos="700" w:val="left"/>
        </w:tabs>
        <w:numPr>
          <w:ilvl w:val="0"/>
          <w:numId w:val="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Product Revenues</w:t>
      </w:r>
      <w:r>
        <w:rPr>
          <w:rFonts w:ascii="Times New Roman" w:cs="Times New Roman" w:eastAsia="Times New Roman" w:hAnsi="Times New Roman"/>
          <w:sz w:val="19"/>
          <w:szCs w:val="19"/>
          <w:color w:val="231F20"/>
        </w:rPr>
        <w:t xml:space="preserve"> – We define Product revenues as revenues generated from sales of consumable and capital equipment products.</w:t>
      </w:r>
    </w:p>
    <w:p>
      <w:pPr>
        <w:spacing w:after="0" w:line="1" w:lineRule="exact"/>
        <w:rPr>
          <w:rFonts w:ascii="Times New Roman" w:cs="Times New Roman" w:eastAsia="Times New Roman" w:hAnsi="Times New Roman"/>
          <w:sz w:val="19"/>
          <w:szCs w:val="19"/>
          <w:color w:val="231F20"/>
        </w:rPr>
      </w:pPr>
    </w:p>
    <w:p>
      <w:pPr>
        <w:ind w:left="700" w:right="160" w:hanging="348"/>
        <w:spacing w:after="0" w:line="255" w:lineRule="auto"/>
        <w:tabs>
          <w:tab w:leader="none" w:pos="700" w:val="left"/>
        </w:tabs>
        <w:numPr>
          <w:ilvl w:val="0"/>
          <w:numId w:val="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Service Revenues</w:t>
      </w:r>
      <w:r>
        <w:rPr>
          <w:rFonts w:ascii="Times New Roman" w:cs="Times New Roman" w:eastAsia="Times New Roman" w:hAnsi="Times New Roman"/>
          <w:sz w:val="19"/>
          <w:szCs w:val="19"/>
          <w:color w:val="231F20"/>
        </w:rPr>
        <w:t xml:space="preserve"> – We define Service revenues as revenues generated from parts and labor associated with the maintenance, repair, and installation of our capital equipment. Service revenues also include outsourced reprocessing services and instrument and scope repairs, as well as revenues generated from contract sterilization and laboratory services offered through our AST segment.</w:t>
      </w:r>
    </w:p>
    <w:p>
      <w:pPr>
        <w:spacing w:after="0" w:line="2" w:lineRule="exact"/>
        <w:rPr>
          <w:rFonts w:ascii="Times New Roman" w:cs="Times New Roman" w:eastAsia="Times New Roman" w:hAnsi="Times New Roman"/>
          <w:sz w:val="19"/>
          <w:szCs w:val="19"/>
          <w:color w:val="231F20"/>
        </w:rPr>
      </w:pPr>
    </w:p>
    <w:p>
      <w:pPr>
        <w:ind w:left="700" w:right="360" w:hanging="348"/>
        <w:spacing w:after="0" w:line="255" w:lineRule="auto"/>
        <w:tabs>
          <w:tab w:leader="none" w:pos="700" w:val="left"/>
        </w:tabs>
        <w:numPr>
          <w:ilvl w:val="0"/>
          <w:numId w:val="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Capital Equipment Revenues</w:t>
      </w:r>
      <w:r>
        <w:rPr>
          <w:rFonts w:ascii="Times New Roman" w:cs="Times New Roman" w:eastAsia="Times New Roman" w:hAnsi="Times New Roman"/>
          <w:sz w:val="19"/>
          <w:szCs w:val="19"/>
          <w:color w:val="231F20"/>
        </w:rPr>
        <w:t xml:space="preserve"> – We define capital equipment revenues as revenues generated from sales of capital equipment, which includes steam and gas sterilizers, low temperature liquid chemical sterilant processing systems, automated endoscope reprocessors, pure steam/water systems, surgical lights and tables, and integrated operating rooms.</w:t>
      </w:r>
    </w:p>
    <w:p>
      <w:pPr>
        <w:spacing w:after="0" w:line="2" w:lineRule="exact"/>
        <w:rPr>
          <w:rFonts w:ascii="Times New Roman" w:cs="Times New Roman" w:eastAsia="Times New Roman" w:hAnsi="Times New Roman"/>
          <w:sz w:val="19"/>
          <w:szCs w:val="19"/>
          <w:color w:val="231F20"/>
        </w:rPr>
      </w:pPr>
    </w:p>
    <w:p>
      <w:pPr>
        <w:ind w:left="700" w:right="40" w:hanging="261"/>
        <w:spacing w:after="0" w:line="255" w:lineRule="auto"/>
        <w:tabs>
          <w:tab w:leader="none" w:pos="700" w:val="left"/>
        </w:tabs>
        <w:numPr>
          <w:ilvl w:val="1"/>
          <w:numId w:val="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Consumable Revenues</w:t>
      </w:r>
      <w:r>
        <w:rPr>
          <w:rFonts w:ascii="Times New Roman" w:cs="Times New Roman" w:eastAsia="Times New Roman" w:hAnsi="Times New Roman"/>
          <w:sz w:val="19"/>
          <w:szCs w:val="19"/>
          <w:color w:val="231F20"/>
        </w:rPr>
        <w:t xml:space="preserve"> – We define consumable revenues as revenues generated from sales of the consumable family of products, which includes dedicated consumables used in our capital equipment, gastrointestinal endoscopy accessories, instruments and tools, sterility assurance products, barrier protection solutions, and cleaning consumables.</w:t>
      </w:r>
    </w:p>
    <w:p>
      <w:pPr>
        <w:spacing w:after="0" w:line="2" w:lineRule="exact"/>
        <w:rPr>
          <w:rFonts w:ascii="Times New Roman" w:cs="Times New Roman" w:eastAsia="Times New Roman" w:hAnsi="Times New Roman"/>
          <w:sz w:val="19"/>
          <w:szCs w:val="19"/>
          <w:color w:val="231F20"/>
        </w:rPr>
      </w:pPr>
    </w:p>
    <w:p>
      <w:pPr>
        <w:ind w:left="700" w:right="360" w:hanging="348"/>
        <w:spacing w:after="0" w:line="271" w:lineRule="auto"/>
        <w:tabs>
          <w:tab w:leader="none" w:pos="700" w:val="left"/>
        </w:tabs>
        <w:numPr>
          <w:ilvl w:val="0"/>
          <w:numId w:val="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Recurring Revenues</w:t>
      </w:r>
      <w:r>
        <w:rPr>
          <w:rFonts w:ascii="Times New Roman" w:cs="Times New Roman" w:eastAsia="Times New Roman" w:hAnsi="Times New Roman"/>
          <w:sz w:val="19"/>
          <w:szCs w:val="19"/>
          <w:color w:val="231F20"/>
        </w:rPr>
        <w:t xml:space="preserve"> – We define recurring revenues as revenues generated from sales of consumable products and Service revenues.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GENERAL OVERVIEW AND EXECUTIVE SUMMARY</w:t>
      </w:r>
    </w:p>
    <w:p>
      <w:pPr>
        <w:spacing w:after="0" w:line="138" w:lineRule="exact"/>
        <w:rPr>
          <w:sz w:val="20"/>
          <w:szCs w:val="20"/>
          <w:color w:val="auto"/>
        </w:rPr>
      </w:pPr>
    </w:p>
    <w:p>
      <w:pPr>
        <w:ind w:firstLine="306"/>
        <w:spacing w:after="0" w:line="245" w:lineRule="auto"/>
        <w:rPr>
          <w:sz w:val="20"/>
          <w:szCs w:val="20"/>
          <w:color w:val="auto"/>
        </w:rPr>
      </w:pPr>
      <w:r>
        <w:rPr>
          <w:rFonts w:ascii="Times New Roman" w:cs="Times New Roman" w:eastAsia="Times New Roman" w:hAnsi="Times New Roman"/>
          <w:sz w:val="19"/>
          <w:szCs w:val="19"/>
          <w:color w:val="231F20"/>
        </w:rPr>
        <w:t>STERIS is a leading global provider of products and services that support patient care with an emphasis on infection prevention. WE HELP OUR CUSTOMERS CREATE A HEALTHIER AND SAFER WORLD by providing innovative healthcare and life science products and services around the globe. We offer our Customers a unique mix of innovative products and services. These include: consumable products, such as detergents, endoscopy accessories, barrier products, instruments and tools; services, including equipment installation and maintenance, microbial reduction of medical devices, instrument and scope repair, laboratory testing, and outsourced reprocessing; capital equipment, such as sterilizers, surgical tables, and automated endoscope reprocessors; and connectivity solutions such as OR integration.</w:t>
      </w:r>
    </w:p>
    <w:p>
      <w:pPr>
        <w:spacing w:after="0" w:line="90" w:lineRule="exact"/>
        <w:rPr>
          <w:sz w:val="20"/>
          <w:szCs w:val="20"/>
          <w:color w:val="auto"/>
        </w:rPr>
      </w:pPr>
    </w:p>
    <w:p>
      <w:pPr>
        <w:ind w:firstLine="306"/>
        <w:spacing w:after="0" w:line="263" w:lineRule="auto"/>
        <w:rPr>
          <w:sz w:val="20"/>
          <w:szCs w:val="20"/>
          <w:color w:val="auto"/>
        </w:rPr>
      </w:pPr>
      <w:r>
        <w:rPr>
          <w:rFonts w:ascii="Times New Roman" w:cs="Times New Roman" w:eastAsia="Times New Roman" w:hAnsi="Times New Roman"/>
          <w:sz w:val="19"/>
          <w:szCs w:val="19"/>
          <w:color w:val="231F20"/>
        </w:rPr>
        <w:t>We operate and report our financial information in three reportable business segments: Healthcare, AST, and Life Sciences. Previously, we had four reportable business segments; however, as a result of the fiscal 2025 divestiture of our Dental segment, Dental is presented as discontinued operations. Historical information has been retrospectively adjusted to exclude discontinued operations for comparability, as required. For more information, refer to Note 4 to our consolidated financial statements titled, "Discontinued Operations." Non-allocated operating costs that support the entire Company and items not indicative of operating trends are excluded from segment operating income. We describe our business segments in Note 13 to our consolidated financial statements titled, "Business Segment Information."</w:t>
      </w:r>
    </w:p>
    <w:p>
      <w:pPr>
        <w:spacing w:after="0" w:line="80" w:lineRule="exact"/>
        <w:rPr>
          <w:sz w:val="20"/>
          <w:szCs w:val="20"/>
          <w:color w:val="auto"/>
        </w:rPr>
      </w:pPr>
    </w:p>
    <w:p>
      <w:pPr>
        <w:ind w:right="120" w:firstLine="349"/>
        <w:spacing w:after="0" w:line="268" w:lineRule="auto"/>
        <w:rPr>
          <w:sz w:val="20"/>
          <w:szCs w:val="20"/>
          <w:color w:val="auto"/>
        </w:rPr>
      </w:pPr>
      <w:r>
        <w:rPr>
          <w:rFonts w:ascii="Times New Roman" w:cs="Times New Roman" w:eastAsia="Times New Roman" w:hAnsi="Times New Roman"/>
          <w:sz w:val="19"/>
          <w:szCs w:val="19"/>
          <w:color w:val="231F20"/>
        </w:rPr>
        <w:t>The bulk of our revenues are derived from healthcare, medical device and pharmaceutical Customers. Much of the growth in these industries is driven by the aging of the population throughout the world, as an increasing number of individuals are entering their prime healthcare consumption years, and is dependent upon advancement in healthcare delivery, acceptance of new technologies, government policies, and general economic conditions.</w:t>
      </w:r>
    </w:p>
    <w:p>
      <w:pPr>
        <w:spacing w:after="0" w:line="72" w:lineRule="exact"/>
        <w:rPr>
          <w:sz w:val="20"/>
          <w:szCs w:val="20"/>
          <w:color w:val="auto"/>
        </w:rPr>
      </w:pPr>
    </w:p>
    <w:p>
      <w:pPr>
        <w:ind w:right="180" w:firstLine="349"/>
        <w:spacing w:after="0" w:line="274" w:lineRule="auto"/>
        <w:rPr>
          <w:sz w:val="20"/>
          <w:szCs w:val="20"/>
          <w:color w:val="auto"/>
        </w:rPr>
      </w:pPr>
      <w:r>
        <w:rPr>
          <w:rFonts w:ascii="Times New Roman" w:cs="Times New Roman" w:eastAsia="Times New Roman" w:hAnsi="Times New Roman"/>
          <w:sz w:val="19"/>
          <w:szCs w:val="19"/>
          <w:color w:val="231F20"/>
        </w:rPr>
        <w:t>In addition, there is increased demand for medical procedures, including preventive screenings such as endoscopies and colonoscopies; and a desire by our Customers to operate more efficiently, all of which are driving increased demand for many of our products and services.</w:t>
      </w:r>
    </w:p>
    <w:p>
      <w:pPr>
        <w:spacing w:after="0" w:line="6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9"/>
          <w:szCs w:val="19"/>
          <w:b w:val="1"/>
          <w:bCs w:val="1"/>
          <w:color w:val="231F20"/>
        </w:rPr>
        <w:t>Acquisitions, Divestitures, and Investments</w:t>
      </w:r>
      <w:r>
        <w:rPr>
          <w:rFonts w:ascii="Times New Roman" w:cs="Times New Roman" w:eastAsia="Times New Roman" w:hAnsi="Times New Roman"/>
          <w:sz w:val="19"/>
          <w:szCs w:val="19"/>
          <w:color w:val="231F20"/>
        </w:rPr>
        <w:t>. During fiscal 2026, we completed two tuck-in acquisitions which continued to</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expand our product and service offerings in the Healthcare segment. Total aggregate consideration was approximately $23.4 million, including fair value of contingent consideration. We also purchased investments totaling $134.0 million, predominantly related to a noncontrolling equity investment in a non-U.S.-based healthcare product manufacturer.</w:t>
      </w:r>
    </w:p>
    <w:p>
      <w:pPr>
        <w:spacing w:after="0" w:line="72" w:lineRule="exact"/>
        <w:rPr>
          <w:sz w:val="20"/>
          <w:szCs w:val="20"/>
          <w:color w:val="auto"/>
        </w:rPr>
      </w:pPr>
    </w:p>
    <w:p>
      <w:pPr>
        <w:ind w:right="40" w:firstLine="349"/>
        <w:spacing w:after="0" w:line="287" w:lineRule="auto"/>
        <w:rPr>
          <w:sz w:val="20"/>
          <w:szCs w:val="20"/>
          <w:color w:val="auto"/>
        </w:rPr>
      </w:pPr>
      <w:r>
        <w:rPr>
          <w:rFonts w:ascii="Times New Roman" w:cs="Times New Roman" w:eastAsia="Times New Roman" w:hAnsi="Times New Roman"/>
          <w:sz w:val="19"/>
          <w:szCs w:val="19"/>
          <w:color w:val="231F20"/>
        </w:rPr>
        <w:t>During fiscal 2025, we completed several tuck-in acquisitions which continued to expand our product and service offerings in the Healthcare and AST segments. Total aggregate consideration was approximately $54.1 million.</w:t>
      </w:r>
    </w:p>
    <w:p>
      <w:pPr>
        <w:spacing w:after="0" w:line="1" w:lineRule="exact"/>
        <w:rPr>
          <w:sz w:val="20"/>
          <w:szCs w:val="20"/>
          <w:color w:val="auto"/>
        </w:rPr>
      </w:pPr>
    </w:p>
    <w:p>
      <w:pPr>
        <w:ind w:right="220" w:firstLine="349"/>
        <w:spacing w:after="0" w:line="274" w:lineRule="auto"/>
        <w:rPr>
          <w:sz w:val="20"/>
          <w:szCs w:val="20"/>
          <w:color w:val="auto"/>
        </w:rPr>
      </w:pPr>
      <w:r>
        <w:rPr>
          <w:rFonts w:ascii="Times New Roman" w:cs="Times New Roman" w:eastAsia="Times New Roman" w:hAnsi="Times New Roman"/>
          <w:sz w:val="19"/>
          <w:szCs w:val="19"/>
          <w:color w:val="231F20"/>
        </w:rPr>
        <w:t>On April 1, 2024, we completed the sale of the Controlled Environment Certification Services ("CECS") business. We recorded net proceeds of $41.9 million and recognized a pre-tax gain on the sale of $19.3 million in fiscal 2025. The business generated approximately $35.0 million in revenues during fiscal 2024.</w:t>
      </w:r>
    </w:p>
    <w:p>
      <w:pPr>
        <w:sectPr>
          <w:pgSz w:w="11880" w:h="15480" w:orient="portrait"/>
          <w:cols w:equalWidth="0" w:num="1">
            <w:col w:w="9960"/>
          </w:cols>
          <w:pgMar w:left="960" w:top="81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31</w:t>
      </w:r>
    </w:p>
    <w:p>
      <w:pPr>
        <w:sectPr>
          <w:pgSz w:w="11880" w:h="15480" w:orient="portrait"/>
          <w:cols w:equalWidth="0" w:num="1">
            <w:col w:w="9960"/>
          </w:cols>
          <w:pgMar w:left="960" w:top="818" w:right="960" w:bottom="0" w:gutter="0" w:footer="0" w:header="0"/>
          <w:type w:val="continuous"/>
        </w:sectPr>
      </w:pPr>
    </w:p>
    <w:bookmarkStart w:id="32" w:name="page33"/>
    <w:bookmarkEnd w:id="32"/>
    <w:p>
      <w:pPr>
        <w:ind w:right="820" w:firstLine="398"/>
        <w:spacing w:after="0" w:line="293" w:lineRule="auto"/>
        <w:rPr>
          <w:sz w:val="20"/>
          <w:szCs w:val="20"/>
          <w:color w:val="auto"/>
        </w:rPr>
      </w:pPr>
      <w:r>
        <w:rPr>
          <w:rFonts w:ascii="Times New Roman" w:cs="Times New Roman" w:eastAsia="Times New Roman" w:hAnsi="Times New Roman"/>
          <w:sz w:val="19"/>
          <w:szCs w:val="19"/>
          <w:color w:val="231F20"/>
        </w:rPr>
        <w:t>For more information regarding our recent acquisitions and divestitures, see Note 3 to our consolidated financial statements titled, "Business Acquisitions, Divestitures, and Investments."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 xml:space="preserve">Discontinued Operations. </w:t>
      </w:r>
      <w:r>
        <w:rPr>
          <w:rFonts w:ascii="Times New Roman" w:cs="Times New Roman" w:eastAsia="Times New Roman" w:hAnsi="Times New Roman"/>
          <w:sz w:val="19"/>
          <w:szCs w:val="19"/>
          <w:color w:val="231F20"/>
        </w:rPr>
        <w:t>On April 11, 2024, the Company announced its plan to sell substantially all of the net assets of its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Dental segment for total cash consideration of $787.5 million, subject to customary adjustments, and up to an additional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$12.5 million in contingent payment had the Dental business achieved certain revenue targets in fiscal 2025. No amounts have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been recorded or are expected to be recorded with respect to this contingent consideration. The transaction was structured as an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equity sale and closed on May 31, 2024. A component of an entity is reported in discontinued operations after meeting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criteria for held for sale classification if the disposition represents a strategic shift that has (or will have) a major effect on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entity's operations and financial results. We analyzed the quantitative and qualitative factors relevant to the divestiture of our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Dental segment and determined that those conditions for discontinued operations presentation had been met prior to March 31,</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2024. The Dental segment results of operations have been reclassified as income (loss) from discontinued operations in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Consolidated Statements of Income for all periods presented. Our Consolidated Statements of Cash Flows include the financial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results of the Dental segment through the date of sale on May 31, 2024. A majority of the proceeds received from the sale were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utilized to pay off existing debt.</w:t>
      </w:r>
    </w:p>
    <w:p>
      <w:pPr>
        <w:spacing w:after="0" w:line="1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For more information, see Note 4 to our consolidated financial statements titled "Discontinued Operations."</w:t>
      </w:r>
    </w:p>
    <w:p>
      <w:pPr>
        <w:spacing w:after="0" w:line="12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b w:val="1"/>
          <w:bCs w:val="1"/>
          <w:color w:val="231F20"/>
        </w:rPr>
        <w:t>U.S. Tax Reform</w:t>
      </w:r>
      <w:r>
        <w:rPr>
          <w:rFonts w:ascii="Times New Roman" w:cs="Times New Roman" w:eastAsia="Times New Roman" w:hAnsi="Times New Roman"/>
          <w:sz w:val="19"/>
          <w:szCs w:val="19"/>
          <w:color w:val="231F20"/>
        </w:rPr>
        <w:t>. On July 4, 2025, the U.S. enacted the One Big Beautiful Bill Act ("OBBBA") which contains substantial</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changes to its tax policies. Business provisions in the OBBBA, some of which were extensions of those established in the Tax Cuts and Jobs Act, include favorable cost recovery allowances, changes to U.S. international tax rules, and changes to energy and environmental related incentives. The law has multiple effective dates, with certain provisions applicable to fiscal years beginning after fiscal 2026. The law did not have a material impact on our consolidated financial statements for fiscal 2026, and we do not expect it to have a material impact on our effective tax rate in the future.</w:t>
      </w:r>
    </w:p>
    <w:p>
      <w:pPr>
        <w:spacing w:after="0" w:line="72" w:lineRule="exact"/>
        <w:rPr>
          <w:sz w:val="20"/>
          <w:szCs w:val="20"/>
          <w:color w:val="auto"/>
        </w:rPr>
      </w:pPr>
    </w:p>
    <w:p>
      <w:pPr>
        <w:jc w:val="both"/>
        <w:ind w:right="100"/>
        <w:spacing w:after="0" w:line="276" w:lineRule="auto"/>
        <w:rPr>
          <w:sz w:val="20"/>
          <w:szCs w:val="20"/>
          <w:color w:val="auto"/>
        </w:rPr>
      </w:pPr>
      <w:r>
        <w:rPr>
          <w:rFonts w:ascii="Times New Roman" w:cs="Times New Roman" w:eastAsia="Times New Roman" w:hAnsi="Times New Roman"/>
          <w:sz w:val="19"/>
          <w:szCs w:val="19"/>
          <w:b w:val="1"/>
          <w:bCs w:val="1"/>
          <w:color w:val="231F20"/>
        </w:rPr>
        <w:t xml:space="preserve">Highlights. </w:t>
      </w:r>
      <w:r>
        <w:rPr>
          <w:rFonts w:ascii="Times New Roman" w:cs="Times New Roman" w:eastAsia="Times New Roman" w:hAnsi="Times New Roman"/>
          <w:sz w:val="19"/>
          <w:szCs w:val="19"/>
          <w:color w:val="231F20"/>
        </w:rPr>
        <w:t>Revenues increased $476.4 million, or 8.7%, to $5,935.9 million for the year ended March 31, 2026, as compared</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to $5,459.5 million for the year ended March 31, 2025. These increases reflect higher volume and pricing, as well as favorable impacts from foreign currency movements.</w:t>
      </w:r>
    </w:p>
    <w:p>
      <w:pPr>
        <w:spacing w:after="0" w:line="65" w:lineRule="exact"/>
        <w:rPr>
          <w:sz w:val="20"/>
          <w:szCs w:val="20"/>
          <w:color w:val="auto"/>
        </w:rPr>
      </w:pPr>
    </w:p>
    <w:p>
      <w:pPr>
        <w:jc w:val="both"/>
        <w:ind w:right="280" w:firstLine="349"/>
        <w:spacing w:after="0" w:line="274" w:lineRule="auto"/>
        <w:rPr>
          <w:sz w:val="20"/>
          <w:szCs w:val="20"/>
          <w:color w:val="auto"/>
        </w:rPr>
      </w:pPr>
      <w:r>
        <w:rPr>
          <w:rFonts w:ascii="Times New Roman" w:cs="Times New Roman" w:eastAsia="Times New Roman" w:hAnsi="Times New Roman"/>
          <w:sz w:val="19"/>
          <w:szCs w:val="19"/>
          <w:color w:val="231F20"/>
        </w:rPr>
        <w:t>Our gross profit percentage increased to 44.2% for fiscal 2026 as compared to 44.0% for fiscal 2025. Favorable impacts from pricing, operational improvements and lower restructuring costs, and productivity were partially offset by unfavorable impacts from tariffs and inflation.</w:t>
      </w:r>
    </w:p>
    <w:p>
      <w:pPr>
        <w:spacing w:after="0" w:line="67" w:lineRule="exact"/>
        <w:rPr>
          <w:sz w:val="20"/>
          <w:szCs w:val="20"/>
          <w:color w:val="auto"/>
        </w:rPr>
      </w:pPr>
    </w:p>
    <w:p>
      <w:pPr>
        <w:jc w:val="both"/>
        <w:ind w:right="500" w:firstLine="349"/>
        <w:spacing w:after="0" w:line="274" w:lineRule="auto"/>
        <w:rPr>
          <w:sz w:val="20"/>
          <w:szCs w:val="20"/>
          <w:color w:val="auto"/>
        </w:rPr>
      </w:pPr>
      <w:r>
        <w:rPr>
          <w:rFonts w:ascii="Times New Roman" w:cs="Times New Roman" w:eastAsia="Times New Roman" w:hAnsi="Times New Roman"/>
          <w:sz w:val="19"/>
          <w:szCs w:val="19"/>
          <w:color w:val="231F20"/>
        </w:rPr>
        <w:t>Fiscal 2026 income from operations increased 27.1% to $1,101.8 million over fiscal 2025 income from operations of $866.6 million. This increase was primarily due to increased pricing, volume, and lower restructuring and litigation costs, which were partially offset by inflation and tariffs.</w:t>
      </w:r>
    </w:p>
    <w:p>
      <w:pPr>
        <w:spacing w:after="0" w:line="67" w:lineRule="exact"/>
        <w:rPr>
          <w:sz w:val="20"/>
          <w:szCs w:val="20"/>
          <w:color w:val="auto"/>
        </w:rPr>
      </w:pPr>
    </w:p>
    <w:p>
      <w:pPr>
        <w:ind w:right="20" w:firstLine="398"/>
        <w:spacing w:after="0" w:line="263" w:lineRule="auto"/>
        <w:rPr>
          <w:sz w:val="20"/>
          <w:szCs w:val="20"/>
          <w:color w:val="auto"/>
        </w:rPr>
      </w:pPr>
      <w:r>
        <w:rPr>
          <w:rFonts w:ascii="Times New Roman" w:cs="Times New Roman" w:eastAsia="Times New Roman" w:hAnsi="Times New Roman"/>
          <w:sz w:val="19"/>
          <w:szCs w:val="19"/>
          <w:color w:val="231F20"/>
        </w:rPr>
        <w:t>Cash flows provided by operating activities were $1,341.4 million and free cash flow was $982.9 million in fiscal 2026 compared to cash flows provided by operating activities of $1,148.1 million and free cash flow of $787.2 million in fiscal 2025 (see subsection of MD&amp;A titled, "Non-GAAP Financial Measures" for additional information and related reconciliation of cash flows from operations to free cash flow). The increase in cash flows from operations and free cash flow during the period was driven primarily by improvements in net income, which more than offset the significantly lower contribution from working capital when compared to the prior year.</w:t>
      </w:r>
    </w:p>
    <w:p>
      <w:pPr>
        <w:spacing w:after="0" w:line="77" w:lineRule="exact"/>
        <w:rPr>
          <w:sz w:val="20"/>
          <w:szCs w:val="20"/>
          <w:color w:val="auto"/>
        </w:rPr>
      </w:pPr>
    </w:p>
    <w:p>
      <w:pPr>
        <w:ind w:right="180" w:firstLine="398"/>
        <w:spacing w:after="0" w:line="293" w:lineRule="auto"/>
        <w:rPr>
          <w:sz w:val="20"/>
          <w:szCs w:val="20"/>
          <w:color w:val="auto"/>
        </w:rPr>
      </w:pPr>
      <w:r>
        <w:rPr>
          <w:rFonts w:ascii="Times New Roman" w:cs="Times New Roman" w:eastAsia="Times New Roman" w:hAnsi="Times New Roman"/>
          <w:sz w:val="19"/>
          <w:szCs w:val="19"/>
          <w:color w:val="231F20"/>
        </w:rPr>
        <w:t>Our debt-to-total capital ratio was 21.3% at March 31, 2026. We have paid quarterly dividends each year since 2005 and have increased the dividend each consecutive year, including an increase during fiscal 2026 to $0.63 per share.</w:t>
      </w:r>
    </w:p>
    <w:p>
      <w:pPr>
        <w:spacing w:after="0" w:line="4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9"/>
          <w:szCs w:val="19"/>
          <w:b w:val="1"/>
          <w:bCs w:val="1"/>
          <w:color w:val="231F20"/>
        </w:rPr>
        <w:t xml:space="preserve">Outlook. </w:t>
      </w:r>
      <w:r>
        <w:rPr>
          <w:rFonts w:ascii="Times New Roman" w:cs="Times New Roman" w:eastAsia="Times New Roman" w:hAnsi="Times New Roman"/>
          <w:sz w:val="19"/>
          <w:szCs w:val="19"/>
          <w:color w:val="231F20"/>
        </w:rPr>
        <w:t>In fiscal 2027 and beyond, we expect to manage our costs, grow our business with internal product and service</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development, invest in greater capacity and efficiency, and augment these value creating methods with potential acquisitions of additional products and services. Please refer to "Information With Respect to Our Business In General" in Item 1."Business" to this Annual Report on Form 10-K.</w:t>
      </w:r>
    </w:p>
    <w:p>
      <w:pPr>
        <w:sectPr>
          <w:pgSz w:w="11880" w:h="15480" w:orient="portrait"/>
          <w:cols w:equalWidth="0" w:num="1">
            <w:col w:w="9940"/>
          </w:cols>
          <w:pgMar w:left="960" w:top="82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32</w:t>
      </w:r>
    </w:p>
    <w:p>
      <w:pPr>
        <w:sectPr>
          <w:pgSz w:w="11880" w:h="15480" w:orient="portrait"/>
          <w:cols w:equalWidth="0" w:num="1">
            <w:col w:w="9940"/>
          </w:cols>
          <w:pgMar w:left="960" w:top="825" w:right="980" w:bottom="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9"/>
          <w:szCs w:val="19"/>
          <w:b w:val="1"/>
          <w:bCs w:val="1"/>
          <w:color w:val="231F20"/>
        </w:rPr>
        <w:t>NON-GAAP FINANCIAL MEASURES</w:t>
      </w:r>
    </w:p>
    <w:p>
      <w:pPr>
        <w:spacing w:after="0" w:line="138" w:lineRule="exact"/>
        <w:rPr>
          <w:sz w:val="20"/>
          <w:szCs w:val="20"/>
          <w:color w:val="auto"/>
        </w:rPr>
      </w:pPr>
    </w:p>
    <w:p>
      <w:pPr>
        <w:ind w:right="100" w:firstLine="262"/>
        <w:spacing w:after="0" w:line="268" w:lineRule="auto"/>
        <w:rPr>
          <w:sz w:val="20"/>
          <w:szCs w:val="20"/>
          <w:color w:val="auto"/>
        </w:rPr>
      </w:pPr>
      <w:r>
        <w:rPr>
          <w:rFonts w:ascii="Times New Roman" w:cs="Times New Roman" w:eastAsia="Times New Roman" w:hAnsi="Times New Roman"/>
          <w:sz w:val="19"/>
          <w:szCs w:val="19"/>
          <w:color w:val="231F20"/>
        </w:rPr>
        <w:t>We, at times, refer to financial measures which are considered to be “non-GAAP financial measures” under the Securities and Exchange Commission rules. We, at times, also refer to our results of operations excluding certain transactions or amounts that are non-recurring or are not indicative of future results, in order to provide meaningful comparisons between the periods presented.</w:t>
      </w:r>
    </w:p>
    <w:p>
      <w:pPr>
        <w:spacing w:after="0" w:line="72" w:lineRule="exact"/>
        <w:rPr>
          <w:sz w:val="20"/>
          <w:szCs w:val="20"/>
          <w:color w:val="auto"/>
        </w:rPr>
      </w:pPr>
    </w:p>
    <w:p>
      <w:pPr>
        <w:ind w:right="760" w:firstLine="262"/>
        <w:spacing w:after="0" w:line="293" w:lineRule="auto"/>
        <w:rPr>
          <w:sz w:val="20"/>
          <w:szCs w:val="20"/>
          <w:color w:val="auto"/>
        </w:rPr>
      </w:pPr>
      <w:r>
        <w:rPr>
          <w:rFonts w:ascii="Times New Roman" w:cs="Times New Roman" w:eastAsia="Times New Roman" w:hAnsi="Times New Roman"/>
          <w:sz w:val="19"/>
          <w:szCs w:val="19"/>
          <w:color w:val="231F20"/>
        </w:rPr>
        <w:t>These non-GAAP financial measures are not intended to be, and should not be, considered separately from or as an alternative to the most directly comparable U.S. GAAP financial measures.</w:t>
      </w:r>
    </w:p>
    <w:p>
      <w:pPr>
        <w:spacing w:after="0" w:line="49" w:lineRule="exact"/>
        <w:rPr>
          <w:sz w:val="20"/>
          <w:szCs w:val="20"/>
          <w:color w:val="auto"/>
        </w:rPr>
      </w:pPr>
    </w:p>
    <w:p>
      <w:pPr>
        <w:ind w:right="120" w:firstLine="262"/>
        <w:spacing w:after="0" w:line="265" w:lineRule="auto"/>
        <w:rPr>
          <w:sz w:val="20"/>
          <w:szCs w:val="20"/>
          <w:color w:val="auto"/>
        </w:rPr>
      </w:pPr>
      <w:r>
        <w:rPr>
          <w:rFonts w:ascii="Times New Roman" w:cs="Times New Roman" w:eastAsia="Times New Roman" w:hAnsi="Times New Roman"/>
          <w:sz w:val="19"/>
          <w:szCs w:val="19"/>
          <w:color w:val="231F20"/>
        </w:rPr>
        <w:t>These non-GAAP financial measures are presented with the intent of providing greater transparency to supplemental financial information used by management and the Board of Directors in their financial analysis and operational decision-making. These amounts are disclosed so that the reader has the same financial data that management uses with the belief that it will assist investors and other readers in making comparisons to our historical operating results and analyzing the underlying performance of our operations for the periods presented.</w:t>
      </w:r>
    </w:p>
    <w:p>
      <w:pPr>
        <w:spacing w:after="0" w:line="75" w:lineRule="exact"/>
        <w:rPr>
          <w:sz w:val="20"/>
          <w:szCs w:val="20"/>
          <w:color w:val="auto"/>
        </w:rPr>
      </w:pPr>
    </w:p>
    <w:p>
      <w:pPr>
        <w:ind w:right="120" w:firstLine="262"/>
        <w:spacing w:after="0" w:line="265" w:lineRule="auto"/>
        <w:rPr>
          <w:sz w:val="20"/>
          <w:szCs w:val="20"/>
          <w:color w:val="auto"/>
        </w:rPr>
      </w:pPr>
      <w:r>
        <w:rPr>
          <w:rFonts w:ascii="Times New Roman" w:cs="Times New Roman" w:eastAsia="Times New Roman" w:hAnsi="Times New Roman"/>
          <w:sz w:val="19"/>
          <w:szCs w:val="19"/>
          <w:color w:val="231F20"/>
        </w:rPr>
        <w:t>We believe that the presentation of these non-GAAP financial measures, when considered along with our U.S. GAAP financial measures and the reconciliation to the corresponding U.S. GAAP financial measures, provides the reader with a more complete understanding of the factors and trends affecting our business than could be obtained absent this disclosure. It is important for the reader to note that the non-GAAP financial measures used may be calculated differently from, and therefore may not be comparable to, similarly titled measures used by other companies.</w:t>
      </w:r>
    </w:p>
    <w:p>
      <w:pPr>
        <w:spacing w:after="0" w:line="74" w:lineRule="exact"/>
        <w:rPr>
          <w:sz w:val="20"/>
          <w:szCs w:val="20"/>
          <w:color w:val="auto"/>
        </w:rPr>
      </w:pPr>
    </w:p>
    <w:p>
      <w:pPr>
        <w:ind w:right="100" w:firstLine="349"/>
        <w:spacing w:after="0" w:line="265" w:lineRule="auto"/>
        <w:rPr>
          <w:sz w:val="20"/>
          <w:szCs w:val="20"/>
          <w:color w:val="auto"/>
        </w:rPr>
      </w:pPr>
      <w:r>
        <w:rPr>
          <w:rFonts w:ascii="Times New Roman" w:cs="Times New Roman" w:eastAsia="Times New Roman" w:hAnsi="Times New Roman"/>
          <w:sz w:val="19"/>
          <w:szCs w:val="19"/>
          <w:color w:val="231F20"/>
        </w:rPr>
        <w:t>We define free cash flow as net cash provided by operating activities as presented in the Consolidated Statements of Cash Flows less purchases of property, plant, equipment, and intangibles (capital expenditures) plus proceeds from the sale of property, plant, equipment, and intangibles, which are also presented within investing activities in the Consolidated Statements of Cash Flows. We use this as a measure to gauge our ability to pay cash dividends, fund growth outside of core operations, fund future debt principal repayments, and repurchase shares.</w:t>
      </w:r>
    </w:p>
    <w:p>
      <w:pPr>
        <w:spacing w:after="0" w:line="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The following table summarizes the calculation of our free cash flow for the years ended March 31, 2026 and 2025:</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2400" w:type="dxa"/>
            <w:vAlign w:val="bottom"/>
            <w:tcBorders>
              <w:bottom w:val="single" w:sz="8" w:color="231F20"/>
            </w:tcBorders>
            <w:gridSpan w:val="3"/>
          </w:tcPr>
          <w:p>
            <w:pPr>
              <w:jc w:val="right"/>
              <w:ind w:right="445"/>
              <w:spacing w:after="0"/>
              <w:rPr>
                <w:sz w:val="20"/>
                <w:szCs w:val="20"/>
                <w:color w:val="auto"/>
              </w:rPr>
            </w:pPr>
            <w:r>
              <w:rPr>
                <w:rFonts w:ascii="Times New Roman" w:cs="Times New Roman" w:eastAsia="Times New Roman" w:hAnsi="Times New Roman"/>
                <w:sz w:val="17"/>
                <w:szCs w:val="17"/>
                <w:color w:val="231F20"/>
              </w:rPr>
              <w:t>Years Ended March 31,</w:t>
            </w:r>
          </w:p>
        </w:tc>
      </w:tr>
      <w:tr>
        <w:trPr>
          <w:trHeight w:val="228"/>
        </w:trPr>
        <w:tc>
          <w:tcPr>
            <w:tcW w:w="7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231F20"/>
              </w:rPr>
              <w:t>(in millions)</w:t>
            </w:r>
          </w:p>
        </w:tc>
        <w:tc>
          <w:tcPr>
            <w:tcW w:w="320" w:type="dxa"/>
            <w:vAlign w:val="bottom"/>
          </w:tcPr>
          <w:p>
            <w:pPr>
              <w:spacing w:after="0"/>
              <w:rPr>
                <w:sz w:val="19"/>
                <w:szCs w:val="19"/>
                <w:color w:val="auto"/>
              </w:rPr>
            </w:pPr>
          </w:p>
        </w:tc>
        <w:tc>
          <w:tcPr>
            <w:tcW w:w="1060" w:type="dxa"/>
            <w:vAlign w:val="bottom"/>
          </w:tcPr>
          <w:p>
            <w:pPr>
              <w:jc w:val="right"/>
              <w:ind w:right="446"/>
              <w:spacing w:after="0"/>
              <w:rPr>
                <w:sz w:val="20"/>
                <w:szCs w:val="20"/>
                <w:color w:val="auto"/>
              </w:rPr>
            </w:pPr>
            <w:r>
              <w:rPr>
                <w:rFonts w:ascii="Times New Roman" w:cs="Times New Roman" w:eastAsia="Times New Roman" w:hAnsi="Times New Roman"/>
                <w:sz w:val="17"/>
                <w:szCs w:val="17"/>
                <w:color w:val="231F20"/>
              </w:rPr>
              <w:t>2026</w:t>
            </w:r>
          </w:p>
        </w:tc>
        <w:tc>
          <w:tcPr>
            <w:tcW w:w="340" w:type="dxa"/>
            <w:vAlign w:val="bottom"/>
          </w:tcPr>
          <w:p>
            <w:pPr>
              <w:spacing w:after="0"/>
              <w:rPr>
                <w:sz w:val="19"/>
                <w:szCs w:val="19"/>
                <w:color w:val="auto"/>
              </w:rPr>
            </w:pPr>
          </w:p>
        </w:tc>
        <w:tc>
          <w:tcPr>
            <w:tcW w:w="1000" w:type="dxa"/>
            <w:vAlign w:val="bottom"/>
          </w:tcPr>
          <w:p>
            <w:pPr>
              <w:jc w:val="right"/>
              <w:ind w:right="405"/>
              <w:spacing w:after="0"/>
              <w:rPr>
                <w:sz w:val="20"/>
                <w:szCs w:val="20"/>
                <w:color w:val="auto"/>
              </w:rPr>
            </w:pPr>
            <w:r>
              <w:rPr>
                <w:rFonts w:ascii="Times New Roman" w:cs="Times New Roman" w:eastAsia="Times New Roman" w:hAnsi="Times New Roman"/>
                <w:sz w:val="17"/>
                <w:szCs w:val="17"/>
                <w:color w:val="231F20"/>
              </w:rPr>
              <w:t>2025</w:t>
            </w:r>
          </w:p>
        </w:tc>
      </w:tr>
      <w:tr>
        <w:trPr>
          <w:trHeight w:val="215"/>
        </w:trPr>
        <w:tc>
          <w:tcPr>
            <w:tcW w:w="7160" w:type="dxa"/>
            <w:vAlign w:val="bottom"/>
            <w:tcBorders>
              <w:top w:val="single" w:sz="8" w:color="231F20"/>
            </w:tcBorders>
          </w:tcPr>
          <w:p>
            <w:pPr>
              <w:ind w:left="60"/>
              <w:spacing w:after="0" w:line="215" w:lineRule="exact"/>
              <w:rPr>
                <w:sz w:val="20"/>
                <w:szCs w:val="20"/>
                <w:color w:val="auto"/>
              </w:rPr>
            </w:pPr>
            <w:r>
              <w:rPr>
                <w:rFonts w:ascii="Times New Roman" w:cs="Times New Roman" w:eastAsia="Times New Roman" w:hAnsi="Times New Roman"/>
                <w:sz w:val="19"/>
                <w:szCs w:val="19"/>
                <w:color w:val="231F20"/>
              </w:rPr>
              <w:t>Net cash provided by operating activities</w:t>
            </w:r>
          </w:p>
        </w:tc>
        <w:tc>
          <w:tcPr>
            <w:tcW w:w="80" w:type="dxa"/>
            <w:vAlign w:val="bottom"/>
          </w:tcPr>
          <w:p>
            <w:pPr>
              <w:spacing w:after="0"/>
              <w:rPr>
                <w:sz w:val="18"/>
                <w:szCs w:val="18"/>
                <w:color w:val="auto"/>
              </w:rPr>
            </w:pPr>
          </w:p>
        </w:tc>
        <w:tc>
          <w:tcPr>
            <w:tcW w:w="320" w:type="dxa"/>
            <w:vAlign w:val="bottom"/>
            <w:tcBorders>
              <w:top w:val="single" w:sz="8" w:color="231F20"/>
            </w:tcBorders>
          </w:tcPr>
          <w:p>
            <w:pPr>
              <w:jc w:val="right"/>
              <w:ind w:right="83"/>
              <w:spacing w:after="0" w:line="215" w:lineRule="exact"/>
              <w:rPr>
                <w:sz w:val="20"/>
                <w:szCs w:val="20"/>
                <w:color w:val="auto"/>
              </w:rPr>
            </w:pPr>
            <w:r>
              <w:rPr>
                <w:rFonts w:ascii="Times New Roman" w:cs="Times New Roman" w:eastAsia="Times New Roman" w:hAnsi="Times New Roman"/>
                <w:sz w:val="19"/>
                <w:szCs w:val="19"/>
                <w:b w:val="1"/>
                <w:bCs w:val="1"/>
                <w:color w:val="231F20"/>
              </w:rPr>
              <w:t>$</w:t>
            </w:r>
          </w:p>
        </w:tc>
        <w:tc>
          <w:tcPr>
            <w:tcW w:w="1060" w:type="dxa"/>
            <w:vAlign w:val="bottom"/>
            <w:tcBorders>
              <w:top w:val="single" w:sz="8" w:color="231F20"/>
            </w:tcBorders>
          </w:tcPr>
          <w:p>
            <w:pPr>
              <w:jc w:val="right"/>
              <w:ind w:right="46"/>
              <w:spacing w:after="0" w:line="215" w:lineRule="exact"/>
              <w:rPr>
                <w:sz w:val="20"/>
                <w:szCs w:val="20"/>
                <w:color w:val="auto"/>
              </w:rPr>
            </w:pPr>
            <w:r>
              <w:rPr>
                <w:rFonts w:ascii="Times New Roman" w:cs="Times New Roman" w:eastAsia="Times New Roman" w:hAnsi="Times New Roman"/>
                <w:sz w:val="19"/>
                <w:szCs w:val="19"/>
                <w:b w:val="1"/>
                <w:bCs w:val="1"/>
                <w:color w:val="231F20"/>
              </w:rPr>
              <w:t>1,341.4</w:t>
            </w:r>
          </w:p>
        </w:tc>
        <w:tc>
          <w:tcPr>
            <w:tcW w:w="340" w:type="dxa"/>
            <w:vAlign w:val="bottom"/>
            <w:tcBorders>
              <w:top w:val="single" w:sz="8" w:color="231F20"/>
            </w:tcBorders>
          </w:tcPr>
          <w:p>
            <w:pPr>
              <w:jc w:val="right"/>
              <w:ind w:right="83"/>
              <w:spacing w:after="0" w:line="215" w:lineRule="exact"/>
              <w:rPr>
                <w:sz w:val="20"/>
                <w:szCs w:val="20"/>
                <w:color w:val="auto"/>
              </w:rPr>
            </w:pPr>
            <w:r>
              <w:rPr>
                <w:rFonts w:ascii="Times New Roman" w:cs="Times New Roman" w:eastAsia="Times New Roman" w:hAnsi="Times New Roman"/>
                <w:sz w:val="19"/>
                <w:szCs w:val="19"/>
                <w:color w:val="231F20"/>
              </w:rPr>
              <w:t>$</w:t>
            </w:r>
          </w:p>
        </w:tc>
        <w:tc>
          <w:tcPr>
            <w:tcW w:w="1000" w:type="dxa"/>
            <w:vAlign w:val="bottom"/>
            <w:tcBorders>
              <w:top w:val="single" w:sz="8" w:color="231F20"/>
            </w:tcBorders>
          </w:tcPr>
          <w:p>
            <w:pPr>
              <w:jc w:val="right"/>
              <w:spacing w:after="0" w:line="215" w:lineRule="exact"/>
              <w:rPr>
                <w:sz w:val="20"/>
                <w:szCs w:val="20"/>
                <w:color w:val="auto"/>
              </w:rPr>
            </w:pPr>
            <w:r>
              <w:rPr>
                <w:rFonts w:ascii="Times New Roman" w:cs="Times New Roman" w:eastAsia="Times New Roman" w:hAnsi="Times New Roman"/>
                <w:sz w:val="19"/>
                <w:szCs w:val="19"/>
                <w:color w:val="231F20"/>
              </w:rPr>
              <w:t>1,148.1</w:t>
            </w:r>
          </w:p>
        </w:tc>
      </w:tr>
      <w:tr>
        <w:trPr>
          <w:trHeight w:val="247"/>
        </w:trPr>
        <w:tc>
          <w:tcPr>
            <w:tcW w:w="72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231F20"/>
              </w:rPr>
              <w:t>Purchases of property, plant, equipment and intangibles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(369.0)</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(370.1)</w:t>
            </w:r>
          </w:p>
        </w:tc>
      </w:tr>
      <w:tr>
        <w:trPr>
          <w:trHeight w:val="260"/>
        </w:trPr>
        <w:tc>
          <w:tcPr>
            <w:tcW w:w="72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231F20"/>
              </w:rPr>
              <w:t>Proceeds from the sale of property, plant, equipment and intangibles</w:t>
            </w:r>
          </w:p>
        </w:tc>
        <w:tc>
          <w:tcPr>
            <w:tcW w:w="32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tcBorders>
          </w:tcPr>
          <w:p>
            <w:pPr>
              <w:jc w:val="right"/>
              <w:ind w:right="46"/>
              <w:spacing w:after="0"/>
              <w:rPr>
                <w:sz w:val="20"/>
                <w:szCs w:val="20"/>
                <w:color w:val="auto"/>
              </w:rPr>
            </w:pPr>
            <w:r>
              <w:rPr>
                <w:rFonts w:ascii="Times New Roman" w:cs="Times New Roman" w:eastAsia="Times New Roman" w:hAnsi="Times New Roman"/>
                <w:sz w:val="19"/>
                <w:szCs w:val="19"/>
                <w:b w:val="1"/>
                <w:bCs w:val="1"/>
                <w:color w:val="231F20"/>
              </w:rPr>
              <w:t>10.5</w:t>
            </w:r>
          </w:p>
        </w:tc>
        <w:tc>
          <w:tcPr>
            <w:tcW w:w="34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9.2</w:t>
            </w:r>
          </w:p>
        </w:tc>
      </w:tr>
      <w:tr>
        <w:trPr>
          <w:trHeight w:val="236"/>
        </w:trPr>
        <w:tc>
          <w:tcPr>
            <w:tcW w:w="724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231F20"/>
              </w:rPr>
              <w:t>Free cash flow</w:t>
            </w:r>
          </w:p>
        </w:tc>
        <w:tc>
          <w:tcPr>
            <w:tcW w:w="320" w:type="dxa"/>
            <w:vAlign w:val="bottom"/>
            <w:tcBorders>
              <w:bottom w:val="single" w:sz="8" w:color="231F20"/>
            </w:tcBorders>
          </w:tcPr>
          <w:p>
            <w:pPr>
              <w:jc w:val="right"/>
              <w:ind w:right="83"/>
              <w:spacing w:after="0"/>
              <w:rPr>
                <w:sz w:val="20"/>
                <w:szCs w:val="20"/>
                <w:color w:val="auto"/>
              </w:rPr>
            </w:pPr>
            <w:r>
              <w:rPr>
                <w:rFonts w:ascii="Times New Roman" w:cs="Times New Roman" w:eastAsia="Times New Roman" w:hAnsi="Times New Roman"/>
                <w:sz w:val="19"/>
                <w:szCs w:val="19"/>
                <w:b w:val="1"/>
                <w:bCs w:val="1"/>
                <w:color w:val="231F20"/>
              </w:rPr>
              <w:t>$</w:t>
            </w:r>
          </w:p>
        </w:tc>
        <w:tc>
          <w:tcPr>
            <w:tcW w:w="1060" w:type="dxa"/>
            <w:vAlign w:val="bottom"/>
            <w:tcBorders>
              <w:bottom w:val="single" w:sz="8" w:color="231F20"/>
            </w:tcBorders>
          </w:tcPr>
          <w:p>
            <w:pPr>
              <w:jc w:val="right"/>
              <w:ind w:right="46"/>
              <w:spacing w:after="0"/>
              <w:rPr>
                <w:sz w:val="20"/>
                <w:szCs w:val="20"/>
                <w:color w:val="auto"/>
              </w:rPr>
            </w:pPr>
            <w:r>
              <w:rPr>
                <w:rFonts w:ascii="Times New Roman" w:cs="Times New Roman" w:eastAsia="Times New Roman" w:hAnsi="Times New Roman"/>
                <w:sz w:val="19"/>
                <w:szCs w:val="19"/>
                <w:b w:val="1"/>
                <w:bCs w:val="1"/>
                <w:color w:val="231F20"/>
              </w:rPr>
              <w:t>982.9</w:t>
            </w:r>
          </w:p>
        </w:tc>
        <w:tc>
          <w:tcPr>
            <w:tcW w:w="340" w:type="dxa"/>
            <w:vAlign w:val="bottom"/>
            <w:tcBorders>
              <w:bottom w:val="single" w:sz="8" w:color="231F20"/>
            </w:tcBorders>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787.2</w:t>
            </w:r>
          </w:p>
        </w:tc>
      </w:tr>
    </w:tbl>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RESULTS OF OPERATIONS</w:t>
      </w:r>
    </w:p>
    <w:p>
      <w:pPr>
        <w:spacing w:after="0" w:line="138" w:lineRule="exact"/>
        <w:rPr>
          <w:sz w:val="20"/>
          <w:szCs w:val="20"/>
          <w:color w:val="auto"/>
        </w:rPr>
      </w:pPr>
    </w:p>
    <w:p>
      <w:pPr>
        <w:ind w:right="40" w:firstLine="262"/>
        <w:spacing w:after="0" w:line="265" w:lineRule="auto"/>
        <w:rPr>
          <w:sz w:val="20"/>
          <w:szCs w:val="20"/>
          <w:color w:val="auto"/>
        </w:rPr>
      </w:pPr>
      <w:r>
        <w:rPr>
          <w:rFonts w:ascii="Times New Roman" w:cs="Times New Roman" w:eastAsia="Times New Roman" w:hAnsi="Times New Roman"/>
          <w:sz w:val="19"/>
          <w:szCs w:val="19"/>
          <w:color w:val="231F20"/>
        </w:rPr>
        <w:t>In the following subsections, we discuss our performance and the factors affecting it. We begin with a general overview of our operating results and then separately discuss earnings for our operating segments. As a result of the fiscal 2025 divestiture of our Dental segment, Dental is presented as discontinued operations. Historical information has been retrospectively adjusted to reflect these changes for comparability, as required. Therefore, the discussion within this Results of Operations section excludes discontinued operations and relates solely to our continuing operations.</w:t>
      </w:r>
    </w:p>
    <w:p>
      <w:pPr>
        <w:spacing w:after="0" w:line="75" w:lineRule="exact"/>
        <w:rPr>
          <w:sz w:val="20"/>
          <w:szCs w:val="20"/>
          <w:color w:val="auto"/>
        </w:rPr>
      </w:pPr>
    </w:p>
    <w:p>
      <w:pPr>
        <w:ind w:right="40" w:firstLine="262"/>
        <w:spacing w:after="0" w:line="274" w:lineRule="auto"/>
        <w:rPr>
          <w:sz w:val="20"/>
          <w:szCs w:val="20"/>
          <w:color w:val="auto"/>
        </w:rPr>
      </w:pPr>
      <w:r>
        <w:rPr>
          <w:rFonts w:ascii="Times New Roman" w:cs="Times New Roman" w:eastAsia="Times New Roman" w:hAnsi="Times New Roman"/>
          <w:sz w:val="19"/>
          <w:szCs w:val="19"/>
          <w:color w:val="231F20"/>
        </w:rPr>
        <w:t>The discussion of factors affecting our performance for the year ended March 31, 2025 compared to the fiscal year ended March 31, 2024 is included in Item 7. Management's Discussion and Analysis of Financial Condition and Results of Operations in Part II of our Annual Report on Form 10-K for the year ended March 31, 2025.</w:t>
      </w:r>
    </w:p>
    <w:p>
      <w:pPr>
        <w:sectPr>
          <w:pgSz w:w="11880" w:h="15480" w:orient="portrait"/>
          <w:cols w:equalWidth="0" w:num="1">
            <w:col w:w="9960"/>
          </w:cols>
          <w:pgMar w:left="960" w:top="81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33</w:t>
      </w:r>
    </w:p>
    <w:p>
      <w:pPr>
        <w:sectPr>
          <w:pgSz w:w="11880" w:h="15480" w:orient="portrait"/>
          <w:cols w:equalWidth="0" w:num="1">
            <w:col w:w="9960"/>
          </w:cols>
          <w:pgMar w:left="960" w:top="818" w:right="960" w:bottom="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9"/>
          <w:szCs w:val="19"/>
          <w:b w:val="1"/>
          <w:bCs w:val="1"/>
          <w:color w:val="231F20"/>
        </w:rPr>
        <w:t>FISCAL 2026 AS COMPARED TO FISCAL 2025</w:t>
      </w:r>
    </w:p>
    <w:p>
      <w:pPr>
        <w:spacing w:after="0" w:line="134"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9"/>
          <w:szCs w:val="19"/>
          <w:b w:val="1"/>
          <w:bCs w:val="1"/>
          <w:i w:val="1"/>
          <w:iCs w:val="1"/>
          <w:color w:val="231F20"/>
        </w:rPr>
        <w:t xml:space="preserve">Revenues. </w:t>
      </w:r>
      <w:r>
        <w:rPr>
          <w:rFonts w:ascii="Times New Roman" w:cs="Times New Roman" w:eastAsia="Times New Roman" w:hAnsi="Times New Roman"/>
          <w:sz w:val="19"/>
          <w:szCs w:val="19"/>
          <w:color w:val="231F20"/>
        </w:rPr>
        <w:t>The following table compares our revenues, in total and by type and geography, for the year ended March 31, 2026</w:t>
      </w:r>
      <w:r>
        <w:rPr>
          <w:rFonts w:ascii="Times New Roman" w:cs="Times New Roman" w:eastAsia="Times New Roman" w:hAnsi="Times New Roman"/>
          <w:sz w:val="19"/>
          <w:szCs w:val="19"/>
          <w:b w:val="1"/>
          <w:bCs w:val="1"/>
          <w:i w:val="1"/>
          <w:iCs w:val="1"/>
          <w:color w:val="231F20"/>
        </w:rPr>
        <w:t xml:space="preserve"> </w:t>
      </w:r>
      <w:r>
        <w:rPr>
          <w:rFonts w:ascii="Times New Roman" w:cs="Times New Roman" w:eastAsia="Times New Roman" w:hAnsi="Times New Roman"/>
          <w:sz w:val="19"/>
          <w:szCs w:val="19"/>
          <w:color w:val="231F20"/>
        </w:rPr>
        <w:t>to the year ended March 31, 2025:</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940" w:type="dxa"/>
            <w:vAlign w:val="bottom"/>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2360" w:type="dxa"/>
            <w:vAlign w:val="bottom"/>
            <w:tcBorders>
              <w:bottom w:val="single" w:sz="8" w:color="231F20"/>
            </w:tcBorders>
            <w:gridSpan w:val="3"/>
          </w:tcPr>
          <w:p>
            <w:pPr>
              <w:jc w:val="right"/>
              <w:ind w:right="404"/>
              <w:spacing w:after="0"/>
              <w:rPr>
                <w:sz w:val="20"/>
                <w:szCs w:val="20"/>
                <w:color w:val="auto"/>
              </w:rPr>
            </w:pPr>
            <w:r>
              <w:rPr>
                <w:rFonts w:ascii="Times New Roman" w:cs="Times New Roman" w:eastAsia="Times New Roman" w:hAnsi="Times New Roman"/>
                <w:sz w:val="17"/>
                <w:szCs w:val="17"/>
                <w:color w:val="231F20"/>
              </w:rPr>
              <w:t>Years Ended March 31,</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jc w:val="right"/>
              <w:ind w:right="185"/>
              <w:spacing w:after="0"/>
              <w:rPr>
                <w:sz w:val="20"/>
                <w:szCs w:val="20"/>
                <w:color w:val="auto"/>
              </w:rPr>
            </w:pPr>
            <w:r>
              <w:rPr>
                <w:rFonts w:ascii="Times New Roman" w:cs="Times New Roman" w:eastAsia="Times New Roman" w:hAnsi="Times New Roman"/>
                <w:sz w:val="17"/>
                <w:szCs w:val="17"/>
                <w:color w:val="231F20"/>
              </w:rPr>
              <w:t>Percent</w:t>
            </w:r>
          </w:p>
        </w:tc>
      </w:tr>
      <w:tr>
        <w:trPr>
          <w:trHeight w:val="257"/>
        </w:trPr>
        <w:tc>
          <w:tcPr>
            <w:tcW w:w="494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7"/>
                <w:szCs w:val="17"/>
                <w:color w:val="231F20"/>
              </w:rPr>
              <w:t>(dollars in millions)</w:t>
            </w:r>
          </w:p>
        </w:tc>
        <w:tc>
          <w:tcPr>
            <w:tcW w:w="320" w:type="dxa"/>
            <w:vAlign w:val="bottom"/>
            <w:tcBorders>
              <w:bottom w:val="single" w:sz="8" w:color="231F20"/>
            </w:tcBorders>
          </w:tcPr>
          <w:p>
            <w:pPr>
              <w:spacing w:after="0"/>
              <w:rPr>
                <w:sz w:val="22"/>
                <w:szCs w:val="22"/>
                <w:color w:val="auto"/>
              </w:rPr>
            </w:pPr>
          </w:p>
        </w:tc>
        <w:tc>
          <w:tcPr>
            <w:tcW w:w="1020" w:type="dxa"/>
            <w:vAlign w:val="bottom"/>
            <w:tcBorders>
              <w:bottom w:val="single" w:sz="8" w:color="231F20"/>
            </w:tcBorders>
          </w:tcPr>
          <w:p>
            <w:pPr>
              <w:jc w:val="right"/>
              <w:ind w:right="405"/>
              <w:spacing w:after="0"/>
              <w:rPr>
                <w:sz w:val="20"/>
                <w:szCs w:val="20"/>
                <w:color w:val="auto"/>
              </w:rPr>
            </w:pPr>
            <w:r>
              <w:rPr>
                <w:rFonts w:ascii="Times New Roman" w:cs="Times New Roman" w:eastAsia="Times New Roman" w:hAnsi="Times New Roman"/>
                <w:sz w:val="17"/>
                <w:szCs w:val="17"/>
                <w:color w:val="231F20"/>
              </w:rPr>
              <w:t>2026</w:t>
            </w:r>
          </w:p>
        </w:tc>
        <w:tc>
          <w:tcPr>
            <w:tcW w:w="36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right"/>
              <w:ind w:right="364"/>
              <w:spacing w:after="0"/>
              <w:rPr>
                <w:sz w:val="20"/>
                <w:szCs w:val="20"/>
                <w:color w:val="auto"/>
              </w:rPr>
            </w:pPr>
            <w:r>
              <w:rPr>
                <w:rFonts w:ascii="Times New Roman" w:cs="Times New Roman" w:eastAsia="Times New Roman" w:hAnsi="Times New Roman"/>
                <w:sz w:val="17"/>
                <w:szCs w:val="17"/>
                <w:color w:val="231F20"/>
              </w:rPr>
              <w:t>2025</w:t>
            </w:r>
          </w:p>
        </w:tc>
        <w:tc>
          <w:tcPr>
            <w:tcW w:w="30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tcPr>
          <w:p>
            <w:pPr>
              <w:jc w:val="right"/>
              <w:ind w:right="304"/>
              <w:spacing w:after="0"/>
              <w:rPr>
                <w:sz w:val="20"/>
                <w:szCs w:val="20"/>
                <w:color w:val="auto"/>
              </w:rPr>
            </w:pPr>
            <w:r>
              <w:rPr>
                <w:rFonts w:ascii="Times New Roman" w:cs="Times New Roman" w:eastAsia="Times New Roman" w:hAnsi="Times New Roman"/>
                <w:sz w:val="17"/>
                <w:szCs w:val="17"/>
                <w:color w:val="231F20"/>
              </w:rPr>
              <w:t>Change</w:t>
            </w:r>
          </w:p>
        </w:tc>
        <w:tc>
          <w:tcPr>
            <w:tcW w:w="1040" w:type="dxa"/>
            <w:vAlign w:val="bottom"/>
            <w:tcBorders>
              <w:bottom w:val="single" w:sz="8" w:color="231F20"/>
            </w:tcBorders>
          </w:tcPr>
          <w:p>
            <w:pPr>
              <w:jc w:val="right"/>
              <w:ind w:right="185"/>
              <w:spacing w:after="0"/>
              <w:rPr>
                <w:sz w:val="20"/>
                <w:szCs w:val="20"/>
                <w:color w:val="auto"/>
              </w:rPr>
            </w:pPr>
            <w:r>
              <w:rPr>
                <w:rFonts w:ascii="Times New Roman" w:cs="Times New Roman" w:eastAsia="Times New Roman" w:hAnsi="Times New Roman"/>
                <w:sz w:val="17"/>
                <w:szCs w:val="17"/>
                <w:color w:val="231F20"/>
              </w:rPr>
              <w:t>Change</w:t>
            </w:r>
          </w:p>
        </w:tc>
      </w:tr>
      <w:tr>
        <w:trPr>
          <w:trHeight w:val="269"/>
        </w:trPr>
        <w:tc>
          <w:tcPr>
            <w:tcW w:w="49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Total revenues</w:t>
            </w: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b w:val="1"/>
                <w:bCs w:val="1"/>
                <w:color w:val="231F20"/>
              </w:rPr>
              <w:t>$</w:t>
            </w: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231F20"/>
              </w:rPr>
              <w:t>5,935.9</w:t>
            </w:r>
          </w:p>
        </w:tc>
        <w:tc>
          <w:tcPr>
            <w:tcW w:w="36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5,459.5</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Pr>
          <w:p>
            <w:pPr>
              <w:jc w:val="right"/>
              <w:ind w:right="104"/>
              <w:spacing w:after="0"/>
              <w:rPr>
                <w:sz w:val="20"/>
                <w:szCs w:val="20"/>
                <w:color w:val="auto"/>
              </w:rPr>
            </w:pPr>
            <w:r>
              <w:rPr>
                <w:rFonts w:ascii="Times New Roman" w:cs="Times New Roman" w:eastAsia="Times New Roman" w:hAnsi="Times New Roman"/>
                <w:sz w:val="19"/>
                <w:szCs w:val="19"/>
                <w:color w:val="231F20"/>
              </w:rPr>
              <w:t>476.4</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8.7 %</w:t>
            </w:r>
          </w:p>
        </w:tc>
      </w:tr>
      <w:tr>
        <w:trPr>
          <w:trHeight w:val="568"/>
        </w:trPr>
        <w:tc>
          <w:tcPr>
            <w:tcW w:w="49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Revenues by type:</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91"/>
        </w:trPr>
        <w:tc>
          <w:tcPr>
            <w:tcW w:w="4940" w:type="dxa"/>
            <w:vAlign w:val="bottom"/>
          </w:tcPr>
          <w:p>
            <w:pPr>
              <w:ind w:left="280"/>
              <w:spacing w:after="0"/>
              <w:rPr>
                <w:sz w:val="20"/>
                <w:szCs w:val="20"/>
                <w:color w:val="auto"/>
              </w:rPr>
            </w:pPr>
            <w:r>
              <w:rPr>
                <w:rFonts w:ascii="Times New Roman" w:cs="Times New Roman" w:eastAsia="Times New Roman" w:hAnsi="Times New Roman"/>
                <w:sz w:val="19"/>
                <w:szCs w:val="19"/>
                <w:color w:val="231F20"/>
              </w:rPr>
              <w:t>Service revenues</w:t>
            </w:r>
          </w:p>
        </w:tc>
        <w:tc>
          <w:tcPr>
            <w:tcW w:w="320" w:type="dxa"/>
            <w:vAlign w:val="bottom"/>
          </w:tcPr>
          <w:p>
            <w:pPr>
              <w:spacing w:after="0"/>
              <w:rPr>
                <w:sz w:val="24"/>
                <w:szCs w:val="24"/>
                <w:color w:val="auto"/>
              </w:rPr>
            </w:pP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231F20"/>
              </w:rPr>
              <w:t>2,875.8</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2,587.9</w:t>
            </w:r>
          </w:p>
        </w:tc>
        <w:tc>
          <w:tcPr>
            <w:tcW w:w="300" w:type="dxa"/>
            <w:vAlign w:val="bottom"/>
          </w:tcPr>
          <w:p>
            <w:pPr>
              <w:spacing w:after="0"/>
              <w:rPr>
                <w:sz w:val="24"/>
                <w:szCs w:val="24"/>
                <w:color w:val="auto"/>
              </w:rPr>
            </w:pPr>
          </w:p>
        </w:tc>
        <w:tc>
          <w:tcPr>
            <w:tcW w:w="1000" w:type="dxa"/>
            <w:vAlign w:val="bottom"/>
          </w:tcPr>
          <w:p>
            <w:pPr>
              <w:jc w:val="right"/>
              <w:ind w:right="104"/>
              <w:spacing w:after="0"/>
              <w:rPr>
                <w:sz w:val="20"/>
                <w:szCs w:val="20"/>
                <w:color w:val="auto"/>
              </w:rPr>
            </w:pPr>
            <w:r>
              <w:rPr>
                <w:rFonts w:ascii="Times New Roman" w:cs="Times New Roman" w:eastAsia="Times New Roman" w:hAnsi="Times New Roman"/>
                <w:sz w:val="19"/>
                <w:szCs w:val="19"/>
                <w:color w:val="231F20"/>
              </w:rPr>
              <w:t>287.9</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11.1 %</w:t>
            </w:r>
          </w:p>
        </w:tc>
      </w:tr>
      <w:tr>
        <w:trPr>
          <w:trHeight w:val="291"/>
        </w:trPr>
        <w:tc>
          <w:tcPr>
            <w:tcW w:w="4940" w:type="dxa"/>
            <w:vAlign w:val="bottom"/>
          </w:tcPr>
          <w:p>
            <w:pPr>
              <w:ind w:left="280"/>
              <w:spacing w:after="0"/>
              <w:rPr>
                <w:sz w:val="20"/>
                <w:szCs w:val="20"/>
                <w:color w:val="auto"/>
              </w:rPr>
            </w:pPr>
            <w:r>
              <w:rPr>
                <w:rFonts w:ascii="Times New Roman" w:cs="Times New Roman" w:eastAsia="Times New Roman" w:hAnsi="Times New Roman"/>
                <w:sz w:val="19"/>
                <w:szCs w:val="19"/>
                <w:color w:val="231F20"/>
              </w:rPr>
              <w:t>Consumable revenues</w:t>
            </w:r>
          </w:p>
        </w:tc>
        <w:tc>
          <w:tcPr>
            <w:tcW w:w="320" w:type="dxa"/>
            <w:vAlign w:val="bottom"/>
          </w:tcPr>
          <w:p>
            <w:pPr>
              <w:spacing w:after="0"/>
              <w:rPr>
                <w:sz w:val="24"/>
                <w:szCs w:val="24"/>
                <w:color w:val="auto"/>
              </w:rPr>
            </w:pP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231F20"/>
              </w:rPr>
              <w:t>1,808.4</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1,685.9</w:t>
            </w:r>
          </w:p>
        </w:tc>
        <w:tc>
          <w:tcPr>
            <w:tcW w:w="300" w:type="dxa"/>
            <w:vAlign w:val="bottom"/>
          </w:tcPr>
          <w:p>
            <w:pPr>
              <w:spacing w:after="0"/>
              <w:rPr>
                <w:sz w:val="24"/>
                <w:szCs w:val="24"/>
                <w:color w:val="auto"/>
              </w:rPr>
            </w:pPr>
          </w:p>
        </w:tc>
        <w:tc>
          <w:tcPr>
            <w:tcW w:w="1000" w:type="dxa"/>
            <w:vAlign w:val="bottom"/>
          </w:tcPr>
          <w:p>
            <w:pPr>
              <w:jc w:val="right"/>
              <w:ind w:right="104"/>
              <w:spacing w:after="0"/>
              <w:rPr>
                <w:sz w:val="20"/>
                <w:szCs w:val="20"/>
                <w:color w:val="auto"/>
              </w:rPr>
            </w:pPr>
            <w:r>
              <w:rPr>
                <w:rFonts w:ascii="Times New Roman" w:cs="Times New Roman" w:eastAsia="Times New Roman" w:hAnsi="Times New Roman"/>
                <w:sz w:val="19"/>
                <w:szCs w:val="19"/>
                <w:color w:val="231F20"/>
              </w:rPr>
              <w:t>122.5</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7.3 %</w:t>
            </w:r>
          </w:p>
        </w:tc>
      </w:tr>
      <w:tr>
        <w:trPr>
          <w:trHeight w:val="291"/>
        </w:trPr>
        <w:tc>
          <w:tcPr>
            <w:tcW w:w="4940" w:type="dxa"/>
            <w:vAlign w:val="bottom"/>
          </w:tcPr>
          <w:p>
            <w:pPr>
              <w:ind w:left="280"/>
              <w:spacing w:after="0"/>
              <w:rPr>
                <w:sz w:val="20"/>
                <w:szCs w:val="20"/>
                <w:color w:val="auto"/>
              </w:rPr>
            </w:pPr>
            <w:r>
              <w:rPr>
                <w:rFonts w:ascii="Times New Roman" w:cs="Times New Roman" w:eastAsia="Times New Roman" w:hAnsi="Times New Roman"/>
                <w:sz w:val="19"/>
                <w:szCs w:val="19"/>
                <w:color w:val="231F20"/>
              </w:rPr>
              <w:t>Capital equipment revenues</w:t>
            </w:r>
          </w:p>
        </w:tc>
        <w:tc>
          <w:tcPr>
            <w:tcW w:w="320" w:type="dxa"/>
            <w:vAlign w:val="bottom"/>
          </w:tcPr>
          <w:p>
            <w:pPr>
              <w:spacing w:after="0"/>
              <w:rPr>
                <w:sz w:val="24"/>
                <w:szCs w:val="24"/>
                <w:color w:val="auto"/>
              </w:rPr>
            </w:pP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231F20"/>
              </w:rPr>
              <w:t>1,251.7</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1,185.7</w:t>
            </w:r>
          </w:p>
        </w:tc>
        <w:tc>
          <w:tcPr>
            <w:tcW w:w="300" w:type="dxa"/>
            <w:vAlign w:val="bottom"/>
          </w:tcPr>
          <w:p>
            <w:pPr>
              <w:spacing w:after="0"/>
              <w:rPr>
                <w:sz w:val="24"/>
                <w:szCs w:val="24"/>
                <w:color w:val="auto"/>
              </w:rPr>
            </w:pPr>
          </w:p>
        </w:tc>
        <w:tc>
          <w:tcPr>
            <w:tcW w:w="1000" w:type="dxa"/>
            <w:vAlign w:val="bottom"/>
          </w:tcPr>
          <w:p>
            <w:pPr>
              <w:jc w:val="right"/>
              <w:ind w:right="104"/>
              <w:spacing w:after="0"/>
              <w:rPr>
                <w:sz w:val="20"/>
                <w:szCs w:val="20"/>
                <w:color w:val="auto"/>
              </w:rPr>
            </w:pPr>
            <w:r>
              <w:rPr>
                <w:rFonts w:ascii="Times New Roman" w:cs="Times New Roman" w:eastAsia="Times New Roman" w:hAnsi="Times New Roman"/>
                <w:sz w:val="19"/>
                <w:szCs w:val="19"/>
                <w:color w:val="231F20"/>
              </w:rPr>
              <w:t>66.0</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5.6 %</w:t>
            </w:r>
          </w:p>
        </w:tc>
      </w:tr>
      <w:tr>
        <w:trPr>
          <w:trHeight w:val="602"/>
        </w:trPr>
        <w:tc>
          <w:tcPr>
            <w:tcW w:w="49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 xml:space="preserve">Revenues by geography </w:t>
            </w:r>
            <w:r>
              <w:rPr>
                <w:rFonts w:ascii="Times New Roman" w:cs="Times New Roman" w:eastAsia="Times New Roman" w:hAnsi="Times New Roman"/>
                <w:sz w:val="25"/>
                <w:szCs w:val="25"/>
                <w:b w:val="1"/>
                <w:bCs w:val="1"/>
                <w:color w:val="231F20"/>
                <w:vertAlign w:val="superscript"/>
              </w:rPr>
              <w:t>(1)</w:t>
            </w:r>
            <w:r>
              <w:rPr>
                <w:rFonts w:ascii="Times New Roman" w:cs="Times New Roman" w:eastAsia="Times New Roman" w:hAnsi="Times New Roman"/>
                <w:sz w:val="19"/>
                <w:szCs w:val="19"/>
                <w:b w:val="1"/>
                <w:bCs w:val="1"/>
                <w:color w:val="231F20"/>
              </w:rPr>
              <w:t>:</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7"/>
        </w:trPr>
        <w:tc>
          <w:tcPr>
            <w:tcW w:w="4940" w:type="dxa"/>
            <w:vAlign w:val="bottom"/>
          </w:tcPr>
          <w:p>
            <w:pPr>
              <w:ind w:left="280"/>
              <w:spacing w:after="0"/>
              <w:rPr>
                <w:sz w:val="20"/>
                <w:szCs w:val="20"/>
                <w:color w:val="auto"/>
              </w:rPr>
            </w:pPr>
            <w:r>
              <w:rPr>
                <w:rFonts w:ascii="Times New Roman" w:cs="Times New Roman" w:eastAsia="Times New Roman" w:hAnsi="Times New Roman"/>
                <w:sz w:val="19"/>
                <w:szCs w:val="19"/>
                <w:color w:val="231F20"/>
              </w:rPr>
              <w:t>Ireland revenues</w:t>
            </w:r>
          </w:p>
        </w:tc>
        <w:tc>
          <w:tcPr>
            <w:tcW w:w="320" w:type="dxa"/>
            <w:vAlign w:val="bottom"/>
          </w:tcPr>
          <w:p>
            <w:pPr>
              <w:spacing w:after="0"/>
              <w:rPr>
                <w:sz w:val="22"/>
                <w:szCs w:val="22"/>
                <w:color w:val="auto"/>
              </w:rPr>
            </w:pP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231F20"/>
              </w:rPr>
              <w:t>108.5</w:t>
            </w:r>
          </w:p>
        </w:tc>
        <w:tc>
          <w:tcPr>
            <w:tcW w:w="3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107.3</w:t>
            </w:r>
          </w:p>
        </w:tc>
        <w:tc>
          <w:tcPr>
            <w:tcW w:w="300" w:type="dxa"/>
            <w:vAlign w:val="bottom"/>
          </w:tcPr>
          <w:p>
            <w:pPr>
              <w:spacing w:after="0"/>
              <w:rPr>
                <w:sz w:val="22"/>
                <w:szCs w:val="22"/>
                <w:color w:val="auto"/>
              </w:rPr>
            </w:pPr>
          </w:p>
        </w:tc>
        <w:tc>
          <w:tcPr>
            <w:tcW w:w="1000" w:type="dxa"/>
            <w:vAlign w:val="bottom"/>
          </w:tcPr>
          <w:p>
            <w:pPr>
              <w:jc w:val="right"/>
              <w:ind w:right="104"/>
              <w:spacing w:after="0"/>
              <w:rPr>
                <w:sz w:val="20"/>
                <w:szCs w:val="20"/>
                <w:color w:val="auto"/>
              </w:rPr>
            </w:pPr>
            <w:r>
              <w:rPr>
                <w:rFonts w:ascii="Times New Roman" w:cs="Times New Roman" w:eastAsia="Times New Roman" w:hAnsi="Times New Roman"/>
                <w:sz w:val="19"/>
                <w:szCs w:val="19"/>
                <w:color w:val="231F20"/>
              </w:rPr>
              <w:t>1.1</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1.0 %</w:t>
            </w:r>
          </w:p>
        </w:tc>
      </w:tr>
      <w:tr>
        <w:trPr>
          <w:trHeight w:val="291"/>
        </w:trPr>
        <w:tc>
          <w:tcPr>
            <w:tcW w:w="4940" w:type="dxa"/>
            <w:vAlign w:val="bottom"/>
          </w:tcPr>
          <w:p>
            <w:pPr>
              <w:ind w:left="280"/>
              <w:spacing w:after="0"/>
              <w:rPr>
                <w:sz w:val="20"/>
                <w:szCs w:val="20"/>
                <w:color w:val="auto"/>
              </w:rPr>
            </w:pPr>
            <w:r>
              <w:rPr>
                <w:rFonts w:ascii="Times New Roman" w:cs="Times New Roman" w:eastAsia="Times New Roman" w:hAnsi="Times New Roman"/>
                <w:sz w:val="19"/>
                <w:szCs w:val="19"/>
                <w:color w:val="231F20"/>
              </w:rPr>
              <w:t>United States revenues</w:t>
            </w:r>
          </w:p>
        </w:tc>
        <w:tc>
          <w:tcPr>
            <w:tcW w:w="320" w:type="dxa"/>
            <w:vAlign w:val="bottom"/>
          </w:tcPr>
          <w:p>
            <w:pPr>
              <w:spacing w:after="0"/>
              <w:rPr>
                <w:sz w:val="24"/>
                <w:szCs w:val="24"/>
                <w:color w:val="auto"/>
              </w:rPr>
            </w:pP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231F20"/>
              </w:rPr>
              <w:t>4,333.8</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4,007.6</w:t>
            </w:r>
          </w:p>
        </w:tc>
        <w:tc>
          <w:tcPr>
            <w:tcW w:w="300" w:type="dxa"/>
            <w:vAlign w:val="bottom"/>
          </w:tcPr>
          <w:p>
            <w:pPr>
              <w:spacing w:after="0"/>
              <w:rPr>
                <w:sz w:val="24"/>
                <w:szCs w:val="24"/>
                <w:color w:val="auto"/>
              </w:rPr>
            </w:pPr>
          </w:p>
        </w:tc>
        <w:tc>
          <w:tcPr>
            <w:tcW w:w="1000" w:type="dxa"/>
            <w:vAlign w:val="bottom"/>
          </w:tcPr>
          <w:p>
            <w:pPr>
              <w:jc w:val="right"/>
              <w:ind w:right="104"/>
              <w:spacing w:after="0"/>
              <w:rPr>
                <w:sz w:val="20"/>
                <w:szCs w:val="20"/>
                <w:color w:val="auto"/>
              </w:rPr>
            </w:pPr>
            <w:r>
              <w:rPr>
                <w:rFonts w:ascii="Times New Roman" w:cs="Times New Roman" w:eastAsia="Times New Roman" w:hAnsi="Times New Roman"/>
                <w:sz w:val="19"/>
                <w:szCs w:val="19"/>
                <w:color w:val="231F20"/>
              </w:rPr>
              <w:t>326.2</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8.1 %</w:t>
            </w:r>
          </w:p>
        </w:tc>
      </w:tr>
      <w:tr>
        <w:trPr>
          <w:trHeight w:val="291"/>
        </w:trPr>
        <w:tc>
          <w:tcPr>
            <w:tcW w:w="4940" w:type="dxa"/>
            <w:vAlign w:val="bottom"/>
          </w:tcPr>
          <w:p>
            <w:pPr>
              <w:ind w:left="280"/>
              <w:spacing w:after="0"/>
              <w:rPr>
                <w:sz w:val="20"/>
                <w:szCs w:val="20"/>
                <w:color w:val="auto"/>
              </w:rPr>
            </w:pPr>
            <w:r>
              <w:rPr>
                <w:rFonts w:ascii="Times New Roman" w:cs="Times New Roman" w:eastAsia="Times New Roman" w:hAnsi="Times New Roman"/>
                <w:sz w:val="19"/>
                <w:szCs w:val="19"/>
                <w:color w:val="231F20"/>
              </w:rPr>
              <w:t>Other foreign revenues</w:t>
            </w:r>
          </w:p>
        </w:tc>
        <w:tc>
          <w:tcPr>
            <w:tcW w:w="320" w:type="dxa"/>
            <w:vAlign w:val="bottom"/>
          </w:tcPr>
          <w:p>
            <w:pPr>
              <w:spacing w:after="0"/>
              <w:rPr>
                <w:sz w:val="24"/>
                <w:szCs w:val="24"/>
                <w:color w:val="auto"/>
              </w:rPr>
            </w:pP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231F20"/>
              </w:rPr>
              <w:t>1,493.7</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1,344.6</w:t>
            </w:r>
          </w:p>
        </w:tc>
        <w:tc>
          <w:tcPr>
            <w:tcW w:w="300" w:type="dxa"/>
            <w:vAlign w:val="bottom"/>
          </w:tcPr>
          <w:p>
            <w:pPr>
              <w:spacing w:after="0"/>
              <w:rPr>
                <w:sz w:val="24"/>
                <w:szCs w:val="24"/>
                <w:color w:val="auto"/>
              </w:rPr>
            </w:pPr>
          </w:p>
        </w:tc>
        <w:tc>
          <w:tcPr>
            <w:tcW w:w="1000" w:type="dxa"/>
            <w:vAlign w:val="bottom"/>
          </w:tcPr>
          <w:p>
            <w:pPr>
              <w:jc w:val="right"/>
              <w:ind w:right="104"/>
              <w:spacing w:after="0"/>
              <w:rPr>
                <w:sz w:val="20"/>
                <w:szCs w:val="20"/>
                <w:color w:val="auto"/>
              </w:rPr>
            </w:pPr>
            <w:r>
              <w:rPr>
                <w:rFonts w:ascii="Times New Roman" w:cs="Times New Roman" w:eastAsia="Times New Roman" w:hAnsi="Times New Roman"/>
                <w:sz w:val="19"/>
                <w:szCs w:val="19"/>
                <w:color w:val="231F20"/>
              </w:rPr>
              <w:t>149.1</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11.1 %</w:t>
            </w:r>
          </w:p>
        </w:tc>
      </w:tr>
    </w:tbl>
    <w:p>
      <w:pPr>
        <w:spacing w:after="0" w:line="150" w:lineRule="exact"/>
        <w:rPr>
          <w:sz w:val="20"/>
          <w:szCs w:val="20"/>
          <w:color w:val="auto"/>
        </w:rPr>
      </w:pPr>
    </w:p>
    <w:p>
      <w:pPr>
        <w:ind w:left="160" w:hanging="157"/>
        <w:spacing w:after="0"/>
        <w:tabs>
          <w:tab w:leader="none" w:pos="160" w:val="left"/>
        </w:tabs>
        <w:numPr>
          <w:ilvl w:val="0"/>
          <w:numId w:val="8"/>
        </w:numPr>
        <w:rPr>
          <w:rFonts w:ascii="Times New Roman" w:cs="Times New Roman" w:eastAsia="Times New Roman" w:hAnsi="Times New Roman"/>
          <w:sz w:val="20"/>
          <w:szCs w:val="20"/>
          <w:color w:val="231F20"/>
          <w:vertAlign w:val="superscript"/>
        </w:rPr>
      </w:pPr>
      <w:r>
        <w:rPr>
          <w:rFonts w:ascii="Times New Roman" w:cs="Times New Roman" w:eastAsia="Times New Roman" w:hAnsi="Times New Roman"/>
          <w:sz w:val="16"/>
          <w:szCs w:val="16"/>
          <w:color w:val="231F20"/>
        </w:rPr>
        <w:t>Allocation of revenues by geography is based on the location of delivery or distribution of products or location where services are performed.</w:t>
      </w:r>
    </w:p>
    <w:p>
      <w:pPr>
        <w:spacing w:after="0" w:line="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Revenues increased $476.4 million, or 8.7%, to $5,935.9 million for the year ended March 31, 2026, as compared to</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$5,459.5 million for the year ended March 31, 2025. These increases reflect higher volume, primarily due to organic growth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and increased pricing across all three segments, as well as the favorable impacts of foreign currency movements.</w:t>
      </w:r>
    </w:p>
    <w:p>
      <w:pPr>
        <w:spacing w:after="0" w:line="111" w:lineRule="exact"/>
        <w:rPr>
          <w:sz w:val="20"/>
          <w:szCs w:val="20"/>
          <w:color w:val="auto"/>
        </w:rPr>
      </w:pPr>
    </w:p>
    <w:p>
      <w:pPr>
        <w:ind w:right="200" w:firstLine="349"/>
        <w:spacing w:after="0" w:line="268" w:lineRule="auto"/>
        <w:rPr>
          <w:sz w:val="20"/>
          <w:szCs w:val="20"/>
          <w:color w:val="auto"/>
        </w:rPr>
      </w:pPr>
      <w:r>
        <w:rPr>
          <w:rFonts w:ascii="Times New Roman" w:cs="Times New Roman" w:eastAsia="Times New Roman" w:hAnsi="Times New Roman"/>
          <w:sz w:val="19"/>
          <w:szCs w:val="19"/>
          <w:color w:val="231F20"/>
        </w:rPr>
        <w:t>Service revenues for fiscal 2026 increased $287.9 million, or 11.1% over fiscal 2025, reflecting growth across all segments. Consumable revenues for fiscal 2026 increased $122.5 million, or 7.3%, over fiscal 2025, reflecting growth in the Healthcare and Life Sciences segments. Capital equipment revenues for fiscal 2026 increased by $66.0 million, or 5.6%, over fiscal 2025, reflecting growth in the Healthcare and Life Sciences segments, partially offset by a decline in the AST segment.</w:t>
      </w:r>
    </w:p>
    <w:p>
      <w:pPr>
        <w:spacing w:after="0" w:line="72" w:lineRule="exact"/>
        <w:rPr>
          <w:sz w:val="20"/>
          <w:szCs w:val="20"/>
          <w:color w:val="auto"/>
        </w:rPr>
      </w:pPr>
    </w:p>
    <w:p>
      <w:pPr>
        <w:jc w:val="both"/>
        <w:ind w:right="260" w:firstLine="349"/>
        <w:spacing w:after="0" w:line="293" w:lineRule="auto"/>
        <w:rPr>
          <w:sz w:val="20"/>
          <w:szCs w:val="20"/>
          <w:color w:val="auto"/>
        </w:rPr>
      </w:pPr>
      <w:r>
        <w:rPr>
          <w:rFonts w:ascii="Times New Roman" w:cs="Times New Roman" w:eastAsia="Times New Roman" w:hAnsi="Times New Roman"/>
          <w:sz w:val="19"/>
          <w:szCs w:val="19"/>
          <w:color w:val="231F20"/>
        </w:rPr>
        <w:t>Ireland revenues for fiscal 2026 were $108.5 million, representing an increase of $1.1 million, or 1.0%, over fiscal 2025 revenues of $107.3 million, reflecting growth in service revenues, partially offset by a decline in capital equipment revenues.</w:t>
      </w:r>
    </w:p>
    <w:p>
      <w:pPr>
        <w:spacing w:after="0" w:line="49" w:lineRule="exact"/>
        <w:rPr>
          <w:sz w:val="20"/>
          <w:szCs w:val="20"/>
          <w:color w:val="auto"/>
        </w:rPr>
      </w:pPr>
    </w:p>
    <w:p>
      <w:pPr>
        <w:ind w:right="360" w:firstLine="349"/>
        <w:spacing w:after="0" w:line="293" w:lineRule="auto"/>
        <w:rPr>
          <w:sz w:val="20"/>
          <w:szCs w:val="20"/>
          <w:color w:val="auto"/>
        </w:rPr>
      </w:pPr>
      <w:r>
        <w:rPr>
          <w:rFonts w:ascii="Times New Roman" w:cs="Times New Roman" w:eastAsia="Times New Roman" w:hAnsi="Times New Roman"/>
          <w:sz w:val="19"/>
          <w:szCs w:val="19"/>
          <w:color w:val="231F20"/>
        </w:rPr>
        <w:t>United States revenues for fiscal 2026 were $4,333.8 million, representing an increase of $326.2 million, or 8.1%, over fiscal 2025 revenues of $4,007.6 million, reflecting growth in service, consumable, and capital equipment revenues.</w:t>
      </w:r>
    </w:p>
    <w:p>
      <w:pPr>
        <w:spacing w:after="0" w:line="49" w:lineRule="exact"/>
        <w:rPr>
          <w:sz w:val="20"/>
          <w:szCs w:val="20"/>
          <w:color w:val="auto"/>
        </w:rPr>
      </w:pPr>
    </w:p>
    <w:p>
      <w:pPr>
        <w:ind w:right="60" w:firstLine="349"/>
        <w:spacing w:after="0" w:line="293" w:lineRule="auto"/>
        <w:rPr>
          <w:sz w:val="20"/>
          <w:szCs w:val="20"/>
          <w:color w:val="auto"/>
        </w:rPr>
      </w:pPr>
      <w:r>
        <w:rPr>
          <w:rFonts w:ascii="Times New Roman" w:cs="Times New Roman" w:eastAsia="Times New Roman" w:hAnsi="Times New Roman"/>
          <w:sz w:val="19"/>
          <w:szCs w:val="19"/>
          <w:color w:val="231F20"/>
        </w:rPr>
        <w:t>Revenues from other foreign locations for fiscal 2026 were $1,493.7 million, representing an increase of $149.1 million, or 11.1%, over the fiscal 2025 revenues of $1,344.6 million. The increase reflects growth across all geographic regions.</w:t>
      </w:r>
    </w:p>
    <w:p>
      <w:pPr>
        <w:spacing w:after="0" w:line="45" w:lineRule="exact"/>
        <w:rPr>
          <w:sz w:val="20"/>
          <w:szCs w:val="20"/>
          <w:color w:val="auto"/>
        </w:rPr>
      </w:pPr>
    </w:p>
    <w:p>
      <w:pPr>
        <w:ind w:firstLine="349"/>
        <w:spacing w:after="0" w:line="297" w:lineRule="auto"/>
        <w:rPr>
          <w:sz w:val="20"/>
          <w:szCs w:val="20"/>
          <w:color w:val="auto"/>
        </w:rPr>
      </w:pPr>
      <w:r>
        <w:rPr>
          <w:rFonts w:ascii="Times New Roman" w:cs="Times New Roman" w:eastAsia="Times New Roman" w:hAnsi="Times New Roman"/>
          <w:sz w:val="19"/>
          <w:szCs w:val="19"/>
          <w:b w:val="1"/>
          <w:bCs w:val="1"/>
          <w:i w:val="1"/>
          <w:iCs w:val="1"/>
          <w:color w:val="231F20"/>
        </w:rPr>
        <w:t xml:space="preserve">Gross Profit. </w:t>
      </w:r>
      <w:r>
        <w:rPr>
          <w:rFonts w:ascii="Times New Roman" w:cs="Times New Roman" w:eastAsia="Times New Roman" w:hAnsi="Times New Roman"/>
          <w:sz w:val="19"/>
          <w:szCs w:val="19"/>
          <w:color w:val="231F20"/>
        </w:rPr>
        <w:t>The following table compares our gross profit for the year ended March 31, 2026 to the year ended March 31,</w:t>
      </w:r>
      <w:r>
        <w:rPr>
          <w:rFonts w:ascii="Times New Roman" w:cs="Times New Roman" w:eastAsia="Times New Roman" w:hAnsi="Times New Roman"/>
          <w:sz w:val="19"/>
          <w:szCs w:val="19"/>
          <w:b w:val="1"/>
          <w:bCs w:val="1"/>
          <w:i w:val="1"/>
          <w:iCs w:val="1"/>
          <w:color w:val="231F20"/>
        </w:rPr>
        <w:t xml:space="preserve"> </w:t>
      </w:r>
      <w:r>
        <w:rPr>
          <w:rFonts w:ascii="Times New Roman" w:cs="Times New Roman" w:eastAsia="Times New Roman" w:hAnsi="Times New Roman"/>
          <w:sz w:val="19"/>
          <w:szCs w:val="19"/>
          <w:color w:val="231F20"/>
        </w:rPr>
        <w:t>2025:</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88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2440" w:type="dxa"/>
            <w:vAlign w:val="bottom"/>
            <w:tcBorders>
              <w:bottom w:val="single" w:sz="8" w:color="231F20"/>
            </w:tcBorders>
            <w:gridSpan w:val="3"/>
          </w:tcPr>
          <w:p>
            <w:pPr>
              <w:ind w:left="240"/>
              <w:spacing w:after="0"/>
              <w:rPr>
                <w:sz w:val="20"/>
                <w:szCs w:val="20"/>
                <w:color w:val="auto"/>
              </w:rPr>
            </w:pPr>
            <w:r>
              <w:rPr>
                <w:rFonts w:ascii="Times New Roman" w:cs="Times New Roman" w:eastAsia="Times New Roman" w:hAnsi="Times New Roman"/>
                <w:sz w:val="17"/>
                <w:szCs w:val="17"/>
                <w:color w:val="231F20"/>
              </w:rPr>
              <w:t>Years Ended March 31,</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jc w:val="right"/>
              <w:ind w:right="187"/>
              <w:spacing w:after="0"/>
              <w:rPr>
                <w:sz w:val="20"/>
                <w:szCs w:val="20"/>
                <w:color w:val="auto"/>
              </w:rPr>
            </w:pPr>
            <w:r>
              <w:rPr>
                <w:rFonts w:ascii="Times New Roman" w:cs="Times New Roman" w:eastAsia="Times New Roman" w:hAnsi="Times New Roman"/>
                <w:sz w:val="17"/>
                <w:szCs w:val="17"/>
                <w:color w:val="231F20"/>
              </w:rPr>
              <w:t>Percent</w:t>
            </w:r>
          </w:p>
        </w:tc>
      </w:tr>
      <w:tr>
        <w:trPr>
          <w:trHeight w:val="227"/>
        </w:trPr>
        <w:tc>
          <w:tcPr>
            <w:tcW w:w="488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7"/>
                <w:szCs w:val="17"/>
                <w:color w:val="231F20"/>
              </w:rPr>
              <w:t>(dollars in millions)</w:t>
            </w:r>
          </w:p>
        </w:tc>
        <w:tc>
          <w:tcPr>
            <w:tcW w:w="300" w:type="dxa"/>
            <w:vAlign w:val="bottom"/>
            <w:tcBorders>
              <w:bottom w:val="single" w:sz="8" w:color="231F20"/>
            </w:tcBorders>
          </w:tcPr>
          <w:p>
            <w:pPr>
              <w:spacing w:after="0"/>
              <w:rPr>
                <w:sz w:val="19"/>
                <w:szCs w:val="19"/>
                <w:color w:val="auto"/>
              </w:rPr>
            </w:pPr>
          </w:p>
        </w:tc>
        <w:tc>
          <w:tcPr>
            <w:tcW w:w="960" w:type="dxa"/>
            <w:vAlign w:val="bottom"/>
            <w:tcBorders>
              <w:bottom w:val="single" w:sz="8" w:color="231F20"/>
            </w:tcBorders>
          </w:tcPr>
          <w:p>
            <w:pPr>
              <w:ind w:left="180"/>
              <w:spacing w:after="0"/>
              <w:rPr>
                <w:sz w:val="20"/>
                <w:szCs w:val="20"/>
                <w:color w:val="auto"/>
              </w:rPr>
            </w:pPr>
            <w:r>
              <w:rPr>
                <w:rFonts w:ascii="Times New Roman" w:cs="Times New Roman" w:eastAsia="Times New Roman" w:hAnsi="Times New Roman"/>
                <w:sz w:val="17"/>
                <w:szCs w:val="17"/>
                <w:color w:val="231F20"/>
              </w:rPr>
              <w:t>2026</w:t>
            </w:r>
          </w:p>
        </w:tc>
        <w:tc>
          <w:tcPr>
            <w:tcW w:w="480" w:type="dxa"/>
            <w:vAlign w:val="bottom"/>
            <w:tcBorders>
              <w:bottom w:val="single" w:sz="8" w:color="231F20"/>
            </w:tcBorders>
          </w:tcPr>
          <w:p>
            <w:pPr>
              <w:spacing w:after="0"/>
              <w:rPr>
                <w:sz w:val="19"/>
                <w:szCs w:val="19"/>
                <w:color w:val="auto"/>
              </w:rPr>
            </w:pPr>
          </w:p>
        </w:tc>
        <w:tc>
          <w:tcPr>
            <w:tcW w:w="1000" w:type="dxa"/>
            <w:vAlign w:val="bottom"/>
            <w:tcBorders>
              <w:bottom w:val="single" w:sz="8" w:color="231F20"/>
            </w:tcBorders>
          </w:tcPr>
          <w:p>
            <w:pPr>
              <w:ind w:left="180"/>
              <w:spacing w:after="0"/>
              <w:rPr>
                <w:sz w:val="20"/>
                <w:szCs w:val="20"/>
                <w:color w:val="auto"/>
              </w:rPr>
            </w:pPr>
            <w:r>
              <w:rPr>
                <w:rFonts w:ascii="Times New Roman" w:cs="Times New Roman" w:eastAsia="Times New Roman" w:hAnsi="Times New Roman"/>
                <w:sz w:val="17"/>
                <w:szCs w:val="17"/>
                <w:color w:val="231F20"/>
              </w:rPr>
              <w:t>2025</w:t>
            </w:r>
          </w:p>
        </w:tc>
        <w:tc>
          <w:tcPr>
            <w:tcW w:w="300" w:type="dxa"/>
            <w:vAlign w:val="bottom"/>
            <w:tcBorders>
              <w:bottom w:val="single" w:sz="8" w:color="231F20"/>
            </w:tcBorders>
          </w:tcPr>
          <w:p>
            <w:pPr>
              <w:spacing w:after="0"/>
              <w:rPr>
                <w:sz w:val="19"/>
                <w:szCs w:val="19"/>
                <w:color w:val="auto"/>
              </w:rPr>
            </w:pPr>
          </w:p>
        </w:tc>
        <w:tc>
          <w:tcPr>
            <w:tcW w:w="1000" w:type="dxa"/>
            <w:vAlign w:val="bottom"/>
            <w:tcBorders>
              <w:bottom w:val="single" w:sz="8" w:color="231F20"/>
            </w:tcBorders>
          </w:tcPr>
          <w:p>
            <w:pPr>
              <w:jc w:val="right"/>
              <w:ind w:right="305"/>
              <w:spacing w:after="0"/>
              <w:rPr>
                <w:sz w:val="20"/>
                <w:szCs w:val="20"/>
                <w:color w:val="auto"/>
              </w:rPr>
            </w:pPr>
            <w:r>
              <w:rPr>
                <w:rFonts w:ascii="Times New Roman" w:cs="Times New Roman" w:eastAsia="Times New Roman" w:hAnsi="Times New Roman"/>
                <w:sz w:val="17"/>
                <w:szCs w:val="17"/>
                <w:color w:val="231F20"/>
              </w:rPr>
              <w:t>Change</w:t>
            </w:r>
          </w:p>
        </w:tc>
        <w:tc>
          <w:tcPr>
            <w:tcW w:w="1040" w:type="dxa"/>
            <w:vAlign w:val="bottom"/>
            <w:tcBorders>
              <w:bottom w:val="single" w:sz="8" w:color="231F20"/>
            </w:tcBorders>
          </w:tcPr>
          <w:p>
            <w:pPr>
              <w:jc w:val="right"/>
              <w:ind w:right="187"/>
              <w:spacing w:after="0"/>
              <w:rPr>
                <w:sz w:val="20"/>
                <w:szCs w:val="20"/>
                <w:color w:val="auto"/>
              </w:rPr>
            </w:pPr>
            <w:r>
              <w:rPr>
                <w:rFonts w:ascii="Times New Roman" w:cs="Times New Roman" w:eastAsia="Times New Roman" w:hAnsi="Times New Roman"/>
                <w:sz w:val="17"/>
                <w:szCs w:val="17"/>
                <w:color w:val="231F20"/>
              </w:rPr>
              <w:t>Change</w:t>
            </w:r>
          </w:p>
        </w:tc>
      </w:tr>
      <w:tr>
        <w:trPr>
          <w:trHeight w:val="228"/>
        </w:trPr>
        <w:tc>
          <w:tcPr>
            <w:tcW w:w="48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Gross profit:</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3"/>
        </w:trPr>
        <w:tc>
          <w:tcPr>
            <w:tcW w:w="488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Product</w:t>
            </w: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b w:val="1"/>
                <w:bCs w:val="1"/>
                <w:color w:val="231F20"/>
              </w:rPr>
              <w:t>$</w:t>
            </w:r>
          </w:p>
        </w:tc>
        <w:tc>
          <w:tcPr>
            <w:tcW w:w="960" w:type="dxa"/>
            <w:vAlign w:val="bottom"/>
          </w:tcPr>
          <w:p>
            <w:pPr>
              <w:ind w:left="160"/>
              <w:spacing w:after="0"/>
              <w:rPr>
                <w:sz w:val="20"/>
                <w:szCs w:val="20"/>
                <w:color w:val="auto"/>
              </w:rPr>
            </w:pPr>
            <w:r>
              <w:rPr>
                <w:rFonts w:ascii="Times New Roman" w:cs="Times New Roman" w:eastAsia="Times New Roman" w:hAnsi="Times New Roman"/>
                <w:sz w:val="19"/>
                <w:szCs w:val="19"/>
                <w:b w:val="1"/>
                <w:bCs w:val="1"/>
                <w:color w:val="231F20"/>
              </w:rPr>
              <w:t>1,434.6</w:t>
            </w:r>
          </w:p>
        </w:tc>
        <w:tc>
          <w:tcPr>
            <w:tcW w:w="48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Pr>
          <w:p>
            <w:pPr>
              <w:ind w:left="180"/>
              <w:spacing w:after="0"/>
              <w:rPr>
                <w:sz w:val="20"/>
                <w:szCs w:val="20"/>
                <w:color w:val="auto"/>
              </w:rPr>
            </w:pPr>
            <w:r>
              <w:rPr>
                <w:rFonts w:ascii="Times New Roman" w:cs="Times New Roman" w:eastAsia="Times New Roman" w:hAnsi="Times New Roman"/>
                <w:sz w:val="19"/>
                <w:szCs w:val="19"/>
                <w:color w:val="231F20"/>
              </w:rPr>
              <w:t>1,357.3</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231F20"/>
              </w:rPr>
              <w:t>77.3</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5.7 %</w:t>
            </w:r>
          </w:p>
        </w:tc>
      </w:tr>
      <w:tr>
        <w:trPr>
          <w:trHeight w:val="279"/>
        </w:trPr>
        <w:tc>
          <w:tcPr>
            <w:tcW w:w="488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Service</w:t>
            </w:r>
          </w:p>
        </w:tc>
        <w:tc>
          <w:tcPr>
            <w:tcW w:w="30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ind w:left="160"/>
              <w:spacing w:after="0"/>
              <w:rPr>
                <w:sz w:val="20"/>
                <w:szCs w:val="20"/>
                <w:color w:val="auto"/>
              </w:rPr>
            </w:pPr>
            <w:r>
              <w:rPr>
                <w:rFonts w:ascii="Times New Roman" w:cs="Times New Roman" w:eastAsia="Times New Roman" w:hAnsi="Times New Roman"/>
                <w:sz w:val="19"/>
                <w:szCs w:val="19"/>
                <w:b w:val="1"/>
                <w:bCs w:val="1"/>
                <w:color w:val="231F20"/>
              </w:rPr>
              <w:t>1,191.9</w:t>
            </w:r>
          </w:p>
        </w:tc>
        <w:tc>
          <w:tcPr>
            <w:tcW w:w="48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ind w:left="180"/>
              <w:spacing w:after="0"/>
              <w:rPr>
                <w:sz w:val="20"/>
                <w:szCs w:val="20"/>
                <w:color w:val="auto"/>
              </w:rPr>
            </w:pPr>
            <w:r>
              <w:rPr>
                <w:rFonts w:ascii="Times New Roman" w:cs="Times New Roman" w:eastAsia="Times New Roman" w:hAnsi="Times New Roman"/>
                <w:sz w:val="19"/>
                <w:szCs w:val="19"/>
                <w:color w:val="231F20"/>
              </w:rPr>
              <w:t>1,045.4</w:t>
            </w:r>
          </w:p>
        </w:tc>
        <w:tc>
          <w:tcPr>
            <w:tcW w:w="30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ind w:right="105"/>
              <w:spacing w:after="0"/>
              <w:rPr>
                <w:sz w:val="20"/>
                <w:szCs w:val="20"/>
                <w:color w:val="auto"/>
              </w:rPr>
            </w:pPr>
            <w:r>
              <w:rPr>
                <w:rFonts w:ascii="Times New Roman" w:cs="Times New Roman" w:eastAsia="Times New Roman" w:hAnsi="Times New Roman"/>
                <w:sz w:val="19"/>
                <w:szCs w:val="19"/>
                <w:color w:val="231F20"/>
              </w:rPr>
              <w:t>146.5</w:t>
            </w: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14.0 %</w:t>
            </w:r>
          </w:p>
        </w:tc>
      </w:tr>
      <w:tr>
        <w:trPr>
          <w:trHeight w:val="247"/>
        </w:trPr>
        <w:tc>
          <w:tcPr>
            <w:tcW w:w="48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Total gross profit</w:t>
            </w: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b w:val="1"/>
                <w:bCs w:val="1"/>
                <w:color w:val="231F20"/>
              </w:rPr>
              <w:t>$</w:t>
            </w:r>
          </w:p>
        </w:tc>
        <w:tc>
          <w:tcPr>
            <w:tcW w:w="960" w:type="dxa"/>
            <w:vAlign w:val="bottom"/>
          </w:tcPr>
          <w:p>
            <w:pPr>
              <w:ind w:left="160"/>
              <w:spacing w:after="0"/>
              <w:rPr>
                <w:sz w:val="20"/>
                <w:szCs w:val="20"/>
                <w:color w:val="auto"/>
              </w:rPr>
            </w:pPr>
            <w:r>
              <w:rPr>
                <w:rFonts w:ascii="Times New Roman" w:cs="Times New Roman" w:eastAsia="Times New Roman" w:hAnsi="Times New Roman"/>
                <w:sz w:val="19"/>
                <w:szCs w:val="19"/>
                <w:b w:val="1"/>
                <w:bCs w:val="1"/>
                <w:color w:val="231F20"/>
              </w:rPr>
              <w:t>2,626.5</w:t>
            </w:r>
          </w:p>
        </w:tc>
        <w:tc>
          <w:tcPr>
            <w:tcW w:w="48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Pr>
          <w:p>
            <w:pPr>
              <w:ind w:left="180"/>
              <w:spacing w:after="0"/>
              <w:rPr>
                <w:sz w:val="20"/>
                <w:szCs w:val="20"/>
                <w:color w:val="auto"/>
              </w:rPr>
            </w:pPr>
            <w:r>
              <w:rPr>
                <w:rFonts w:ascii="Times New Roman" w:cs="Times New Roman" w:eastAsia="Times New Roman" w:hAnsi="Times New Roman"/>
                <w:sz w:val="19"/>
                <w:szCs w:val="19"/>
                <w:color w:val="231F20"/>
              </w:rPr>
              <w:t>2,402.8</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231F20"/>
              </w:rPr>
              <w:t>223.7</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9.3 %</w:t>
            </w: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7"/>
        </w:trPr>
        <w:tc>
          <w:tcPr>
            <w:tcW w:w="4820" w:type="dxa"/>
            <w:vAlign w:val="bottom"/>
          </w:tcPr>
          <w:p>
            <w:pPr>
              <w:spacing w:after="0"/>
              <w:rPr>
                <w:sz w:val="20"/>
                <w:szCs w:val="20"/>
                <w:color w:val="auto"/>
              </w:rPr>
            </w:pPr>
            <w:r>
              <w:rPr>
                <w:rFonts w:ascii="Times New Roman" w:cs="Times New Roman" w:eastAsia="Times New Roman" w:hAnsi="Times New Roman"/>
                <w:sz w:val="19"/>
                <w:szCs w:val="19"/>
                <w:b w:val="1"/>
                <w:bCs w:val="1"/>
                <w:color w:val="231F20"/>
              </w:rPr>
              <w:t>Gross profit percentage:</w:t>
            </w:r>
          </w:p>
        </w:tc>
        <w:tc>
          <w:tcPr>
            <w:tcW w:w="1740" w:type="dxa"/>
            <w:vAlign w:val="bottom"/>
            <w:tcBorders>
              <w:top w:val="single" w:sz="8" w:color="231F20"/>
            </w:tcBorders>
          </w:tcPr>
          <w:p>
            <w:pPr>
              <w:spacing w:after="0"/>
              <w:rPr>
                <w:sz w:val="20"/>
                <w:szCs w:val="20"/>
                <w:color w:val="auto"/>
              </w:rPr>
            </w:pPr>
          </w:p>
        </w:tc>
        <w:tc>
          <w:tcPr>
            <w:tcW w:w="1000" w:type="dxa"/>
            <w:vAlign w:val="bottom"/>
            <w:tcBorders>
              <w:top w:val="single" w:sz="8" w:color="231F20"/>
            </w:tcBorders>
          </w:tcPr>
          <w:p>
            <w:pPr>
              <w:spacing w:after="0"/>
              <w:rPr>
                <w:sz w:val="20"/>
                <w:szCs w:val="20"/>
                <w:color w:val="auto"/>
              </w:rPr>
            </w:pPr>
          </w:p>
        </w:tc>
        <w:tc>
          <w:tcPr>
            <w:tcW w:w="2340" w:type="dxa"/>
            <w:vAlign w:val="bottom"/>
            <w:tcBorders>
              <w:top w:val="single" w:sz="8" w:color="231F20"/>
            </w:tcBorders>
          </w:tcPr>
          <w:p>
            <w:pPr>
              <w:spacing w:after="0"/>
              <w:rPr>
                <w:sz w:val="20"/>
                <w:szCs w:val="20"/>
                <w:color w:val="auto"/>
              </w:rPr>
            </w:pPr>
          </w:p>
        </w:tc>
      </w:tr>
      <w:tr>
        <w:trPr>
          <w:trHeight w:val="273"/>
        </w:trPr>
        <w:tc>
          <w:tcPr>
            <w:tcW w:w="4820" w:type="dxa"/>
            <w:vAlign w:val="bottom"/>
          </w:tcPr>
          <w:p>
            <w:pPr>
              <w:ind w:left="480"/>
              <w:spacing w:after="0"/>
              <w:rPr>
                <w:sz w:val="20"/>
                <w:szCs w:val="20"/>
                <w:color w:val="auto"/>
              </w:rPr>
            </w:pPr>
            <w:r>
              <w:rPr>
                <w:rFonts w:ascii="Times New Roman" w:cs="Times New Roman" w:eastAsia="Times New Roman" w:hAnsi="Times New Roman"/>
                <w:sz w:val="19"/>
                <w:szCs w:val="19"/>
                <w:color w:val="231F20"/>
              </w:rPr>
              <w:t>Product</w:t>
            </w:r>
          </w:p>
        </w:tc>
        <w:tc>
          <w:tcPr>
            <w:tcW w:w="1740" w:type="dxa"/>
            <w:vAlign w:val="bottom"/>
          </w:tcPr>
          <w:p>
            <w:pPr>
              <w:jc w:val="right"/>
              <w:ind w:right="343"/>
              <w:spacing w:after="0"/>
              <w:rPr>
                <w:sz w:val="20"/>
                <w:szCs w:val="20"/>
                <w:color w:val="auto"/>
              </w:rPr>
            </w:pPr>
            <w:r>
              <w:rPr>
                <w:rFonts w:ascii="Times New Roman" w:cs="Times New Roman" w:eastAsia="Times New Roman" w:hAnsi="Times New Roman"/>
                <w:sz w:val="19"/>
                <w:szCs w:val="19"/>
                <w:b w:val="1"/>
                <w:bCs w:val="1"/>
                <w:color w:val="231F20"/>
              </w:rPr>
              <w:t>46.9 %</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47.3 %</w:t>
            </w:r>
          </w:p>
        </w:tc>
        <w:tc>
          <w:tcPr>
            <w:tcW w:w="2340" w:type="dxa"/>
            <w:vAlign w:val="bottom"/>
          </w:tcPr>
          <w:p>
            <w:pPr>
              <w:spacing w:after="0"/>
              <w:rPr>
                <w:sz w:val="23"/>
                <w:szCs w:val="23"/>
                <w:color w:val="auto"/>
              </w:rPr>
            </w:pPr>
          </w:p>
        </w:tc>
      </w:tr>
      <w:tr>
        <w:trPr>
          <w:trHeight w:val="279"/>
        </w:trPr>
        <w:tc>
          <w:tcPr>
            <w:tcW w:w="4820" w:type="dxa"/>
            <w:vAlign w:val="bottom"/>
          </w:tcPr>
          <w:p>
            <w:pPr>
              <w:ind w:left="480"/>
              <w:spacing w:after="0"/>
              <w:rPr>
                <w:sz w:val="20"/>
                <w:szCs w:val="20"/>
                <w:color w:val="auto"/>
              </w:rPr>
            </w:pPr>
            <w:r>
              <w:rPr>
                <w:rFonts w:ascii="Times New Roman" w:cs="Times New Roman" w:eastAsia="Times New Roman" w:hAnsi="Times New Roman"/>
                <w:sz w:val="19"/>
                <w:szCs w:val="19"/>
                <w:color w:val="231F20"/>
              </w:rPr>
              <w:t>Service</w:t>
            </w:r>
          </w:p>
        </w:tc>
        <w:tc>
          <w:tcPr>
            <w:tcW w:w="1740" w:type="dxa"/>
            <w:vAlign w:val="bottom"/>
            <w:tcBorders>
              <w:bottom w:val="single" w:sz="8" w:color="231F20"/>
            </w:tcBorders>
          </w:tcPr>
          <w:p>
            <w:pPr>
              <w:jc w:val="right"/>
              <w:ind w:right="343"/>
              <w:spacing w:after="0"/>
              <w:rPr>
                <w:sz w:val="20"/>
                <w:szCs w:val="20"/>
                <w:color w:val="auto"/>
              </w:rPr>
            </w:pPr>
            <w:r>
              <w:rPr>
                <w:rFonts w:ascii="Times New Roman" w:cs="Times New Roman" w:eastAsia="Times New Roman" w:hAnsi="Times New Roman"/>
                <w:sz w:val="19"/>
                <w:szCs w:val="19"/>
                <w:b w:val="1"/>
                <w:bCs w:val="1"/>
                <w:color w:val="231F20"/>
              </w:rPr>
              <w:t>41.4 %</w:t>
            </w: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40.4 %</w:t>
            </w:r>
          </w:p>
        </w:tc>
        <w:tc>
          <w:tcPr>
            <w:tcW w:w="2340" w:type="dxa"/>
            <w:vAlign w:val="bottom"/>
          </w:tcPr>
          <w:p>
            <w:pPr>
              <w:spacing w:after="0"/>
              <w:rPr>
                <w:sz w:val="24"/>
                <w:szCs w:val="24"/>
                <w:color w:val="auto"/>
              </w:rPr>
            </w:pPr>
          </w:p>
        </w:tc>
      </w:tr>
      <w:tr>
        <w:trPr>
          <w:trHeight w:val="266"/>
        </w:trPr>
        <w:tc>
          <w:tcPr>
            <w:tcW w:w="4820" w:type="dxa"/>
            <w:vAlign w:val="bottom"/>
          </w:tcPr>
          <w:p>
            <w:pPr>
              <w:spacing w:after="0"/>
              <w:rPr>
                <w:sz w:val="20"/>
                <w:szCs w:val="20"/>
                <w:color w:val="auto"/>
              </w:rPr>
            </w:pPr>
            <w:r>
              <w:rPr>
                <w:rFonts w:ascii="Times New Roman" w:cs="Times New Roman" w:eastAsia="Times New Roman" w:hAnsi="Times New Roman"/>
                <w:sz w:val="19"/>
                <w:szCs w:val="19"/>
                <w:b w:val="1"/>
                <w:bCs w:val="1"/>
                <w:color w:val="231F20"/>
              </w:rPr>
              <w:t>Total gross profit percentage</w:t>
            </w:r>
          </w:p>
        </w:tc>
        <w:tc>
          <w:tcPr>
            <w:tcW w:w="1740" w:type="dxa"/>
            <w:vAlign w:val="bottom"/>
            <w:tcBorders>
              <w:bottom w:val="single" w:sz="8" w:color="231F20"/>
            </w:tcBorders>
          </w:tcPr>
          <w:p>
            <w:pPr>
              <w:jc w:val="right"/>
              <w:ind w:right="343"/>
              <w:spacing w:after="0"/>
              <w:rPr>
                <w:sz w:val="20"/>
                <w:szCs w:val="20"/>
                <w:color w:val="auto"/>
              </w:rPr>
            </w:pPr>
            <w:r>
              <w:rPr>
                <w:rFonts w:ascii="Times New Roman" w:cs="Times New Roman" w:eastAsia="Times New Roman" w:hAnsi="Times New Roman"/>
                <w:sz w:val="19"/>
                <w:szCs w:val="19"/>
                <w:b w:val="1"/>
                <w:bCs w:val="1"/>
                <w:color w:val="231F20"/>
              </w:rPr>
              <w:t>44.2 %</w:t>
            </w: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44.0 %</w:t>
            </w:r>
          </w:p>
        </w:tc>
        <w:tc>
          <w:tcPr>
            <w:tcW w:w="2340" w:type="dxa"/>
            <w:vAlign w:val="bottom"/>
          </w:tcPr>
          <w:p>
            <w:pPr>
              <w:spacing w:after="0"/>
              <w:rPr>
                <w:sz w:val="23"/>
                <w:szCs w:val="23"/>
                <w:color w:val="auto"/>
              </w:rPr>
            </w:pPr>
          </w:p>
        </w:tc>
      </w:tr>
    </w:tbl>
    <w:p>
      <w:pPr>
        <w:spacing w:after="0" w:line="134" w:lineRule="exact"/>
        <w:rPr>
          <w:sz w:val="20"/>
          <w:szCs w:val="20"/>
          <w:color w:val="auto"/>
        </w:rPr>
      </w:pPr>
    </w:p>
    <w:p>
      <w:pPr>
        <w:ind w:right="80" w:firstLine="349"/>
        <w:spacing w:after="0" w:line="263" w:lineRule="auto"/>
        <w:rPr>
          <w:sz w:val="20"/>
          <w:szCs w:val="20"/>
          <w:color w:val="auto"/>
        </w:rPr>
      </w:pPr>
      <w:r>
        <w:rPr>
          <w:rFonts w:ascii="Times New Roman" w:cs="Times New Roman" w:eastAsia="Times New Roman" w:hAnsi="Times New Roman"/>
          <w:sz w:val="19"/>
          <w:szCs w:val="19"/>
          <w:color w:val="231F20"/>
        </w:rPr>
        <w:t>Our gross profit is affected by the volume, pricing and mix of sales of our products and services, as well as the costs associated with the products and services that are sold. Our gross profit percentage increased to 44.2% for fiscal 2026 as compared to 44.0% for fiscal 2025. Favorable impacts from pricing (120 basis points), operational improvements and lower restructuring costs (70 basis points), and productivity (50 basis points) were partially offset by unfavorable impacts from tariffs (80 basis points), inflation (70 basis points), materials costs (30 basis points), mix (30 basis points), and currency (10 basis points).</w:t>
      </w:r>
    </w:p>
    <w:p>
      <w:pPr>
        <w:sectPr>
          <w:pgSz w:w="11880" w:h="15480" w:orient="portrait"/>
          <w:cols w:equalWidth="0" w:num="1">
            <w:col w:w="9960"/>
          </w:cols>
          <w:pgMar w:left="960" w:top="81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34</w:t>
      </w:r>
    </w:p>
    <w:p>
      <w:pPr>
        <w:sectPr>
          <w:pgSz w:w="11880" w:h="15480" w:orient="portrait"/>
          <w:cols w:equalWidth="0" w:num="1">
            <w:col w:w="9960"/>
          </w:cols>
          <w:pgMar w:left="960" w:top="818" w:right="960" w:bottom="0" w:gutter="0" w:footer="0" w:header="0"/>
          <w:type w:val="continuous"/>
        </w:sectPr>
      </w:pPr>
    </w:p>
    <w:bookmarkStart w:id="35" w:name="page36"/>
    <w:bookmarkEnd w:id="35"/>
    <w:p>
      <w:pPr>
        <w:ind w:right="480"/>
        <w:spacing w:after="0" w:line="297" w:lineRule="auto"/>
        <w:rPr>
          <w:sz w:val="20"/>
          <w:szCs w:val="20"/>
          <w:color w:val="auto"/>
        </w:rPr>
      </w:pPr>
      <w:r>
        <w:rPr>
          <w:rFonts w:ascii="Times New Roman" w:cs="Times New Roman" w:eastAsia="Times New Roman" w:hAnsi="Times New Roman"/>
          <w:sz w:val="19"/>
          <w:szCs w:val="19"/>
          <w:b w:val="1"/>
          <w:bCs w:val="1"/>
          <w:i w:val="1"/>
          <w:iCs w:val="1"/>
          <w:color w:val="231F20"/>
        </w:rPr>
        <w:t xml:space="preserve">Operating Expenses. </w:t>
      </w:r>
      <w:r>
        <w:rPr>
          <w:rFonts w:ascii="Times New Roman" w:cs="Times New Roman" w:eastAsia="Times New Roman" w:hAnsi="Times New Roman"/>
          <w:sz w:val="19"/>
          <w:szCs w:val="19"/>
          <w:color w:val="231F20"/>
        </w:rPr>
        <w:t>The following table compares our operating expenses for the year ended March 31, 2026 to the year</w:t>
      </w:r>
      <w:r>
        <w:rPr>
          <w:rFonts w:ascii="Times New Roman" w:cs="Times New Roman" w:eastAsia="Times New Roman" w:hAnsi="Times New Roman"/>
          <w:sz w:val="19"/>
          <w:szCs w:val="19"/>
          <w:b w:val="1"/>
          <w:bCs w:val="1"/>
          <w:i w:val="1"/>
          <w:iCs w:val="1"/>
          <w:color w:val="231F20"/>
        </w:rPr>
        <w:t xml:space="preserve"> </w:t>
      </w:r>
      <w:r>
        <w:rPr>
          <w:rFonts w:ascii="Times New Roman" w:cs="Times New Roman" w:eastAsia="Times New Roman" w:hAnsi="Times New Roman"/>
          <w:sz w:val="19"/>
          <w:szCs w:val="19"/>
          <w:color w:val="231F20"/>
        </w:rPr>
        <w:t>ended March 31, 2025:</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900" w:type="dxa"/>
            <w:vAlign w:val="bottom"/>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2400" w:type="dxa"/>
            <w:vAlign w:val="bottom"/>
            <w:tcBorders>
              <w:bottom w:val="single" w:sz="8" w:color="231F20"/>
            </w:tcBorders>
            <w:gridSpan w:val="3"/>
          </w:tcPr>
          <w:p>
            <w:pPr>
              <w:jc w:val="right"/>
              <w:ind w:right="445"/>
              <w:spacing w:after="0"/>
              <w:rPr>
                <w:sz w:val="20"/>
                <w:szCs w:val="20"/>
                <w:color w:val="auto"/>
              </w:rPr>
            </w:pPr>
            <w:r>
              <w:rPr>
                <w:rFonts w:ascii="Times New Roman" w:cs="Times New Roman" w:eastAsia="Times New Roman" w:hAnsi="Times New Roman"/>
                <w:sz w:val="17"/>
                <w:szCs w:val="17"/>
                <w:color w:val="231F20"/>
              </w:rPr>
              <w:t>Years Ended March 31,</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80" w:type="dxa"/>
            <w:vAlign w:val="bottom"/>
          </w:tcPr>
          <w:p>
            <w:pPr>
              <w:jc w:val="right"/>
              <w:ind w:right="229"/>
              <w:spacing w:after="0"/>
              <w:rPr>
                <w:sz w:val="20"/>
                <w:szCs w:val="20"/>
                <w:color w:val="auto"/>
              </w:rPr>
            </w:pPr>
            <w:r>
              <w:rPr>
                <w:rFonts w:ascii="Times New Roman" w:cs="Times New Roman" w:eastAsia="Times New Roman" w:hAnsi="Times New Roman"/>
                <w:sz w:val="16"/>
                <w:szCs w:val="16"/>
                <w:color w:val="231F20"/>
              </w:rPr>
              <w:t>Percent</w:t>
            </w:r>
          </w:p>
        </w:tc>
      </w:tr>
      <w:tr>
        <w:trPr>
          <w:trHeight w:val="228"/>
        </w:trPr>
        <w:tc>
          <w:tcPr>
            <w:tcW w:w="490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7"/>
                <w:szCs w:val="17"/>
                <w:color w:val="231F20"/>
              </w:rPr>
              <w:t>(in millions)</w:t>
            </w:r>
          </w:p>
        </w:tc>
        <w:tc>
          <w:tcPr>
            <w:tcW w:w="32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tcBorders>
          </w:tcPr>
          <w:p>
            <w:pPr>
              <w:jc w:val="right"/>
              <w:ind w:right="426"/>
              <w:spacing w:after="0"/>
              <w:rPr>
                <w:sz w:val="20"/>
                <w:szCs w:val="20"/>
                <w:color w:val="auto"/>
              </w:rPr>
            </w:pPr>
            <w:r>
              <w:rPr>
                <w:rFonts w:ascii="Times New Roman" w:cs="Times New Roman" w:eastAsia="Times New Roman" w:hAnsi="Times New Roman"/>
                <w:sz w:val="17"/>
                <w:szCs w:val="17"/>
                <w:color w:val="231F20"/>
              </w:rPr>
              <w:t>2026</w:t>
            </w:r>
          </w:p>
        </w:tc>
        <w:tc>
          <w:tcPr>
            <w:tcW w:w="36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tcBorders>
          </w:tcPr>
          <w:p>
            <w:pPr>
              <w:jc w:val="right"/>
              <w:ind w:right="405"/>
              <w:spacing w:after="0"/>
              <w:rPr>
                <w:sz w:val="20"/>
                <w:szCs w:val="20"/>
                <w:color w:val="auto"/>
              </w:rPr>
            </w:pPr>
            <w:r>
              <w:rPr>
                <w:rFonts w:ascii="Times New Roman" w:cs="Times New Roman" w:eastAsia="Times New Roman" w:hAnsi="Times New Roman"/>
                <w:sz w:val="17"/>
                <w:szCs w:val="17"/>
                <w:color w:val="231F20"/>
              </w:rPr>
              <w:t>2025</w:t>
            </w:r>
          </w:p>
        </w:tc>
        <w:tc>
          <w:tcPr>
            <w:tcW w:w="280" w:type="dxa"/>
            <w:vAlign w:val="bottom"/>
            <w:tcBorders>
              <w:bottom w:val="single" w:sz="8" w:color="231F20"/>
            </w:tcBorders>
          </w:tcPr>
          <w:p>
            <w:pPr>
              <w:spacing w:after="0"/>
              <w:rPr>
                <w:sz w:val="19"/>
                <w:szCs w:val="19"/>
                <w:color w:val="auto"/>
              </w:rPr>
            </w:pPr>
          </w:p>
        </w:tc>
        <w:tc>
          <w:tcPr>
            <w:tcW w:w="1060" w:type="dxa"/>
            <w:vAlign w:val="bottom"/>
            <w:tcBorders>
              <w:bottom w:val="single" w:sz="8" w:color="231F20"/>
            </w:tcBorders>
          </w:tcPr>
          <w:p>
            <w:pPr>
              <w:jc w:val="right"/>
              <w:ind w:right="365"/>
              <w:spacing w:after="0"/>
              <w:rPr>
                <w:sz w:val="20"/>
                <w:szCs w:val="20"/>
                <w:color w:val="auto"/>
              </w:rPr>
            </w:pPr>
            <w:r>
              <w:rPr>
                <w:rFonts w:ascii="Times New Roman" w:cs="Times New Roman" w:eastAsia="Times New Roman" w:hAnsi="Times New Roman"/>
                <w:sz w:val="17"/>
                <w:szCs w:val="17"/>
                <w:color w:val="231F20"/>
              </w:rPr>
              <w:t>Change</w:t>
            </w:r>
          </w:p>
        </w:tc>
        <w:tc>
          <w:tcPr>
            <w:tcW w:w="980" w:type="dxa"/>
            <w:vAlign w:val="bottom"/>
            <w:tcBorders>
              <w:bottom w:val="single" w:sz="8" w:color="231F20"/>
            </w:tcBorders>
          </w:tcPr>
          <w:p>
            <w:pPr>
              <w:jc w:val="right"/>
              <w:ind w:right="209"/>
              <w:spacing w:after="0"/>
              <w:rPr>
                <w:sz w:val="20"/>
                <w:szCs w:val="20"/>
                <w:color w:val="auto"/>
              </w:rPr>
            </w:pPr>
            <w:r>
              <w:rPr>
                <w:rFonts w:ascii="Times New Roman" w:cs="Times New Roman" w:eastAsia="Times New Roman" w:hAnsi="Times New Roman"/>
                <w:sz w:val="16"/>
                <w:szCs w:val="16"/>
                <w:color w:val="231F20"/>
              </w:rPr>
              <w:t>Change</w:t>
            </w:r>
          </w:p>
        </w:tc>
      </w:tr>
      <w:tr>
        <w:trPr>
          <w:trHeight w:val="228"/>
        </w:trPr>
        <w:tc>
          <w:tcPr>
            <w:tcW w:w="490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Operating expenses: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3"/>
        </w:trPr>
        <w:tc>
          <w:tcPr>
            <w:tcW w:w="490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Selling, general, and administrative</w:t>
            </w: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b w:val="1"/>
                <w:bCs w:val="1"/>
                <w:color w:val="231F20"/>
              </w:rPr>
              <w:t>$</w:t>
            </w: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9"/>
                <w:szCs w:val="19"/>
                <w:b w:val="1"/>
                <w:bCs w:val="1"/>
                <w:color w:val="231F20"/>
              </w:rPr>
              <w:t>1,407.7</w:t>
            </w:r>
          </w:p>
        </w:tc>
        <w:tc>
          <w:tcPr>
            <w:tcW w:w="36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1,334.3</w:t>
            </w:r>
          </w:p>
        </w:tc>
        <w:tc>
          <w:tcPr>
            <w:tcW w:w="2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060" w:type="dxa"/>
            <w:vAlign w:val="bottom"/>
          </w:tcPr>
          <w:p>
            <w:pPr>
              <w:jc w:val="right"/>
              <w:ind w:right="165"/>
              <w:spacing w:after="0"/>
              <w:rPr>
                <w:sz w:val="20"/>
                <w:szCs w:val="20"/>
                <w:color w:val="auto"/>
              </w:rPr>
            </w:pPr>
            <w:r>
              <w:rPr>
                <w:rFonts w:ascii="Times New Roman" w:cs="Times New Roman" w:eastAsia="Times New Roman" w:hAnsi="Times New Roman"/>
                <w:sz w:val="19"/>
                <w:szCs w:val="19"/>
                <w:color w:val="231F20"/>
              </w:rPr>
              <w:t>73.4</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5.5 %</w:t>
            </w:r>
          </w:p>
        </w:tc>
      </w:tr>
      <w:tr>
        <w:trPr>
          <w:trHeight w:val="277"/>
        </w:trPr>
        <w:tc>
          <w:tcPr>
            <w:tcW w:w="490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Research and development</w:t>
            </w:r>
          </w:p>
        </w:tc>
        <w:tc>
          <w:tcPr>
            <w:tcW w:w="320" w:type="dxa"/>
            <w:vAlign w:val="bottom"/>
          </w:tcPr>
          <w:p>
            <w:pPr>
              <w:spacing w:after="0"/>
              <w:rPr>
                <w:sz w:val="24"/>
                <w:szCs w:val="24"/>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9"/>
                <w:szCs w:val="19"/>
                <w:b w:val="1"/>
                <w:bCs w:val="1"/>
                <w:color w:val="231F20"/>
              </w:rPr>
              <w:t>112.9</w:t>
            </w: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107.6</w:t>
            </w:r>
          </w:p>
        </w:tc>
        <w:tc>
          <w:tcPr>
            <w:tcW w:w="280" w:type="dxa"/>
            <w:vAlign w:val="bottom"/>
          </w:tcPr>
          <w:p>
            <w:pPr>
              <w:spacing w:after="0"/>
              <w:rPr>
                <w:sz w:val="24"/>
                <w:szCs w:val="24"/>
                <w:color w:val="auto"/>
              </w:rPr>
            </w:pPr>
          </w:p>
        </w:tc>
        <w:tc>
          <w:tcPr>
            <w:tcW w:w="1060" w:type="dxa"/>
            <w:vAlign w:val="bottom"/>
          </w:tcPr>
          <w:p>
            <w:pPr>
              <w:jc w:val="right"/>
              <w:ind w:right="165"/>
              <w:spacing w:after="0"/>
              <w:rPr>
                <w:sz w:val="20"/>
                <w:szCs w:val="20"/>
                <w:color w:val="auto"/>
              </w:rPr>
            </w:pPr>
            <w:r>
              <w:rPr>
                <w:rFonts w:ascii="Times New Roman" w:cs="Times New Roman" w:eastAsia="Times New Roman" w:hAnsi="Times New Roman"/>
                <w:sz w:val="19"/>
                <w:szCs w:val="19"/>
                <w:color w:val="231F20"/>
              </w:rPr>
              <w:t>5.3</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4.9 %</w:t>
            </w:r>
          </w:p>
        </w:tc>
      </w:tr>
      <w:tr>
        <w:trPr>
          <w:trHeight w:val="291"/>
        </w:trPr>
        <w:tc>
          <w:tcPr>
            <w:tcW w:w="490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Illinois EO litigation settlement</w:t>
            </w:r>
          </w:p>
        </w:tc>
        <w:tc>
          <w:tcPr>
            <w:tcW w:w="320" w:type="dxa"/>
            <w:vAlign w:val="bottom"/>
          </w:tcPr>
          <w:p>
            <w:pPr>
              <w:spacing w:after="0"/>
              <w:rPr>
                <w:sz w:val="24"/>
                <w:szCs w:val="24"/>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9"/>
                <w:szCs w:val="19"/>
                <w:b w:val="1"/>
                <w:bCs w:val="1"/>
                <w:color w:val="231F20"/>
              </w:rPr>
              <w:t>—</w:t>
            </w: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48.2</w:t>
            </w:r>
          </w:p>
        </w:tc>
        <w:tc>
          <w:tcPr>
            <w:tcW w:w="280" w:type="dxa"/>
            <w:vAlign w:val="bottom"/>
          </w:tcPr>
          <w:p>
            <w:pPr>
              <w:spacing w:after="0"/>
              <w:rPr>
                <w:sz w:val="24"/>
                <w:szCs w:val="24"/>
                <w:color w:val="auto"/>
              </w:rPr>
            </w:pPr>
          </w:p>
        </w:tc>
        <w:tc>
          <w:tcPr>
            <w:tcW w:w="106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231F20"/>
              </w:rPr>
              <w:t>(48.2)</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NM</w:t>
            </w:r>
          </w:p>
        </w:tc>
      </w:tr>
      <w:tr>
        <w:trPr>
          <w:trHeight w:val="294"/>
        </w:trPr>
        <w:tc>
          <w:tcPr>
            <w:tcW w:w="490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Restructuring expenses</w:t>
            </w:r>
          </w:p>
        </w:tc>
        <w:tc>
          <w:tcPr>
            <w:tcW w:w="32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ind w:right="6"/>
              <w:spacing w:after="0"/>
              <w:rPr>
                <w:sz w:val="20"/>
                <w:szCs w:val="20"/>
                <w:color w:val="auto"/>
              </w:rPr>
            </w:pPr>
            <w:r>
              <w:rPr>
                <w:rFonts w:ascii="Times New Roman" w:cs="Times New Roman" w:eastAsia="Times New Roman" w:hAnsi="Times New Roman"/>
                <w:sz w:val="19"/>
                <w:szCs w:val="19"/>
                <w:b w:val="1"/>
                <w:bCs w:val="1"/>
                <w:color w:val="231F20"/>
              </w:rPr>
              <w:t>4.1</w:t>
            </w:r>
          </w:p>
        </w:tc>
        <w:tc>
          <w:tcPr>
            <w:tcW w:w="36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46.0</w:t>
            </w:r>
          </w:p>
        </w:tc>
        <w:tc>
          <w:tcPr>
            <w:tcW w:w="28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ind w:right="105"/>
              <w:spacing w:after="0"/>
              <w:rPr>
                <w:sz w:val="20"/>
                <w:szCs w:val="20"/>
                <w:color w:val="auto"/>
              </w:rPr>
            </w:pPr>
            <w:r>
              <w:rPr>
                <w:rFonts w:ascii="Times New Roman" w:cs="Times New Roman" w:eastAsia="Times New Roman" w:hAnsi="Times New Roman"/>
                <w:sz w:val="19"/>
                <w:szCs w:val="19"/>
                <w:color w:val="231F20"/>
              </w:rPr>
              <w:t>(42.0)</w:t>
            </w: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(91.1)%</w:t>
            </w:r>
          </w:p>
        </w:tc>
      </w:tr>
      <w:tr>
        <w:trPr>
          <w:trHeight w:val="266"/>
        </w:trPr>
        <w:tc>
          <w:tcPr>
            <w:tcW w:w="490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Total operating expenses</w:t>
            </w:r>
          </w:p>
        </w:tc>
        <w:tc>
          <w:tcPr>
            <w:tcW w:w="320" w:type="dxa"/>
            <w:vAlign w:val="bottom"/>
            <w:tcBorders>
              <w:bottom w:val="single" w:sz="8" w:color="231F20"/>
            </w:tcBorders>
          </w:tcPr>
          <w:p>
            <w:pPr>
              <w:jc w:val="right"/>
              <w:ind w:right="83"/>
              <w:spacing w:after="0"/>
              <w:rPr>
                <w:sz w:val="20"/>
                <w:szCs w:val="20"/>
                <w:color w:val="auto"/>
              </w:rPr>
            </w:pPr>
            <w:r>
              <w:rPr>
                <w:rFonts w:ascii="Times New Roman" w:cs="Times New Roman" w:eastAsia="Times New Roman" w:hAnsi="Times New Roman"/>
                <w:sz w:val="19"/>
                <w:szCs w:val="19"/>
                <w:b w:val="1"/>
                <w:bCs w:val="1"/>
                <w:color w:val="231F20"/>
              </w:rPr>
              <w:t>$</w:t>
            </w:r>
          </w:p>
        </w:tc>
        <w:tc>
          <w:tcPr>
            <w:tcW w:w="1020" w:type="dxa"/>
            <w:vAlign w:val="bottom"/>
            <w:tcBorders>
              <w:bottom w:val="single" w:sz="8" w:color="231F20"/>
            </w:tcBorders>
          </w:tcPr>
          <w:p>
            <w:pPr>
              <w:jc w:val="right"/>
              <w:ind w:right="6"/>
              <w:spacing w:after="0"/>
              <w:rPr>
                <w:sz w:val="20"/>
                <w:szCs w:val="20"/>
                <w:color w:val="auto"/>
              </w:rPr>
            </w:pPr>
            <w:r>
              <w:rPr>
                <w:rFonts w:ascii="Times New Roman" w:cs="Times New Roman" w:eastAsia="Times New Roman" w:hAnsi="Times New Roman"/>
                <w:sz w:val="19"/>
                <w:szCs w:val="19"/>
                <w:b w:val="1"/>
                <w:bCs w:val="1"/>
                <w:color w:val="231F20"/>
              </w:rPr>
              <w:t>1,524.7</w:t>
            </w:r>
          </w:p>
        </w:tc>
        <w:tc>
          <w:tcPr>
            <w:tcW w:w="360" w:type="dxa"/>
            <w:vAlign w:val="bottom"/>
            <w:tcBorders>
              <w:bottom w:val="single" w:sz="8" w:color="231F20"/>
            </w:tcBorders>
          </w:tcPr>
          <w:p>
            <w:pPr>
              <w:jc w:val="right"/>
              <w:ind w:right="63"/>
              <w:spacing w:after="0"/>
              <w:rPr>
                <w:sz w:val="20"/>
                <w:szCs w:val="20"/>
                <w:color w:val="auto"/>
              </w:rPr>
            </w:pPr>
            <w:r>
              <w:rPr>
                <w:rFonts w:ascii="Times New Roman" w:cs="Times New Roman" w:eastAsia="Times New Roman" w:hAnsi="Times New Roman"/>
                <w:sz w:val="19"/>
                <w:szCs w:val="19"/>
                <w:color w:val="231F20"/>
              </w:rPr>
              <w:t>$</w:t>
            </w: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1,536.1</w:t>
            </w:r>
          </w:p>
        </w:tc>
        <w:tc>
          <w:tcPr>
            <w:tcW w:w="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060" w:type="dxa"/>
            <w:vAlign w:val="bottom"/>
            <w:tcBorders>
              <w:bottom w:val="single" w:sz="8" w:color="231F20"/>
            </w:tcBorders>
          </w:tcPr>
          <w:p>
            <w:pPr>
              <w:jc w:val="right"/>
              <w:ind w:right="105"/>
              <w:spacing w:after="0"/>
              <w:rPr>
                <w:sz w:val="20"/>
                <w:szCs w:val="20"/>
                <w:color w:val="auto"/>
              </w:rPr>
            </w:pPr>
            <w:r>
              <w:rPr>
                <w:rFonts w:ascii="Times New Roman" w:cs="Times New Roman" w:eastAsia="Times New Roman" w:hAnsi="Times New Roman"/>
                <w:sz w:val="19"/>
                <w:szCs w:val="19"/>
                <w:color w:val="231F20"/>
              </w:rPr>
              <w:t>(11.4)</w:t>
            </w: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(0.7)%</w:t>
            </w: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NM - Not meaningful</w:t>
      </w:r>
    </w:p>
    <w:p>
      <w:pPr>
        <w:spacing w:after="0" w:line="12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b w:val="1"/>
          <w:bCs w:val="1"/>
          <w:i w:val="1"/>
          <w:iCs w:val="1"/>
          <w:color w:val="231F20"/>
        </w:rPr>
        <w:t xml:space="preserve">Selling, General, and Administrative Expenses. </w:t>
      </w:r>
      <w:r>
        <w:rPr>
          <w:rFonts w:ascii="Times New Roman" w:cs="Times New Roman" w:eastAsia="Times New Roman" w:hAnsi="Times New Roman"/>
          <w:sz w:val="19"/>
          <w:szCs w:val="19"/>
          <w:color w:val="231F20"/>
        </w:rPr>
        <w:t>Significant components of total selling, general, and administrative expenses</w:t>
      </w:r>
      <w:r>
        <w:rPr>
          <w:rFonts w:ascii="Times New Roman" w:cs="Times New Roman" w:eastAsia="Times New Roman" w:hAnsi="Times New Roman"/>
          <w:sz w:val="19"/>
          <w:szCs w:val="19"/>
          <w:b w:val="1"/>
          <w:bCs w:val="1"/>
          <w:i w:val="1"/>
          <w:iCs w:val="1"/>
          <w:color w:val="231F20"/>
        </w:rPr>
        <w:t xml:space="preserve"> </w:t>
      </w:r>
      <w:r>
        <w:rPr>
          <w:rFonts w:ascii="Times New Roman" w:cs="Times New Roman" w:eastAsia="Times New Roman" w:hAnsi="Times New Roman"/>
          <w:sz w:val="19"/>
          <w:szCs w:val="19"/>
          <w:color w:val="231F20"/>
        </w:rPr>
        <w:t>(“SG&amp;A”) are compensation and benefit costs, fees for professional services, travel and entertainment expenses, facility costs, and other general and administrative expenses. SG&amp;A increased 5.5% in fiscal 2026 over fiscal 2025. The increase in SG&amp;A during the fiscal year ended March 31, 2026, compared to the fiscal year ended March 31, 2025, is primarily attributable to increased compensation and benefit costs, dealer commissions, and bad debt expense, which were partially offset by lower costs associated with our EO litigation.</w:t>
      </w:r>
    </w:p>
    <w:p>
      <w:pPr>
        <w:spacing w:after="0" w:line="7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9"/>
          <w:szCs w:val="19"/>
          <w:b w:val="1"/>
          <w:bCs w:val="1"/>
          <w:i w:val="1"/>
          <w:iCs w:val="1"/>
          <w:color w:val="231F20"/>
        </w:rPr>
        <w:t xml:space="preserve">Research and Development. </w:t>
      </w:r>
      <w:r>
        <w:rPr>
          <w:rFonts w:ascii="Times New Roman" w:cs="Times New Roman" w:eastAsia="Times New Roman" w:hAnsi="Times New Roman"/>
          <w:sz w:val="19"/>
          <w:szCs w:val="19"/>
          <w:color w:val="231F20"/>
        </w:rPr>
        <w:t>Research and development expenses increased $5.3 million in fiscal 2026 over fiscal 2025.</w:t>
      </w:r>
      <w:r>
        <w:rPr>
          <w:rFonts w:ascii="Times New Roman" w:cs="Times New Roman" w:eastAsia="Times New Roman" w:hAnsi="Times New Roman"/>
          <w:sz w:val="19"/>
          <w:szCs w:val="19"/>
          <w:b w:val="1"/>
          <w:bCs w:val="1"/>
          <w:i w:val="1"/>
          <w:iCs w:val="1"/>
          <w:color w:val="231F20"/>
        </w:rPr>
        <w:t xml:space="preserve"> </w:t>
      </w:r>
      <w:r>
        <w:rPr>
          <w:rFonts w:ascii="Times New Roman" w:cs="Times New Roman" w:eastAsia="Times New Roman" w:hAnsi="Times New Roman"/>
          <w:sz w:val="19"/>
          <w:szCs w:val="19"/>
          <w:color w:val="231F20"/>
        </w:rPr>
        <w:t>Research and development expenses are influenced by the number and timing of in-process projects and labor hours and other costs associated with these projects. Our research and development initiatives continue to emphasize improving innovation governance processes and leveraging technology to accelerate development initiatives to launch critical capital and consumable products. During fiscal 2026, our investments in research and development have continued to be focused on, but were not limited to, enhancing capabilities of sterile processing technologies, procedural products and accessories, and devices and support accessories used in gastrointestinal endoscopy procedures.</w:t>
      </w:r>
    </w:p>
    <w:p>
      <w:pPr>
        <w:spacing w:after="0" w:line="7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9"/>
          <w:szCs w:val="19"/>
          <w:b w:val="1"/>
          <w:bCs w:val="1"/>
          <w:i w:val="1"/>
          <w:iCs w:val="1"/>
          <w:color w:val="231F20"/>
        </w:rPr>
        <w:t>Illinois EO Litigation Settlement</w:t>
      </w:r>
      <w:r>
        <w:rPr>
          <w:rFonts w:ascii="Times New Roman" w:cs="Times New Roman" w:eastAsia="Times New Roman" w:hAnsi="Times New Roman"/>
          <w:sz w:val="19"/>
          <w:szCs w:val="19"/>
          <w:color w:val="231F20"/>
        </w:rPr>
        <w:t>. On March 3, 2025, the Company entered into binding confidential term sheets ("Term</w:t>
      </w:r>
      <w:r>
        <w:rPr>
          <w:rFonts w:ascii="Times New Roman" w:cs="Times New Roman" w:eastAsia="Times New Roman" w:hAnsi="Times New Roman"/>
          <w:sz w:val="19"/>
          <w:szCs w:val="19"/>
          <w:b w:val="1"/>
          <w:bCs w:val="1"/>
          <w:i w:val="1"/>
          <w:iCs w:val="1"/>
          <w:color w:val="231F20"/>
        </w:rPr>
        <w:t xml:space="preserve"> </w:t>
      </w:r>
      <w:r>
        <w:rPr>
          <w:rFonts w:ascii="Times New Roman" w:cs="Times New Roman" w:eastAsia="Times New Roman" w:hAnsi="Times New Roman"/>
          <w:sz w:val="19"/>
          <w:szCs w:val="19"/>
          <w:color w:val="231F20"/>
        </w:rPr>
        <w:t>Sheets") with plaintiffs’ counsel, as well as settlement agreements with several plaintiffs in cases which were at the time scheduled for trial in fiscal 2026. On October 29, 2025, the Company entered into binding confidential settlement agreements ("Settlement Agreements") with plaintiffs' counsel, containing terms and provisions consistent with the Term Sheets. The Settlement Agreements are expected to lead to resolution of substantially all of the claims for personal injury related to EO that are currently pending in the Circuit Court of Cook County, Illinois. We recorded an expense of $48.2 million related to this settlement in fiscal 2025. For more information, refer to Note 12 to our consolidated financial statements titled, "Commitments and Contingencies."</w:t>
      </w:r>
    </w:p>
    <w:p>
      <w:pPr>
        <w:spacing w:after="0" w:line="7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b w:val="1"/>
          <w:bCs w:val="1"/>
          <w:i w:val="1"/>
          <w:iCs w:val="1"/>
          <w:color w:val="231F20"/>
        </w:rPr>
        <w:t xml:space="preserve">Restructuring Expenses. </w:t>
      </w:r>
      <w:r>
        <w:rPr>
          <w:rFonts w:ascii="Times New Roman" w:cs="Times New Roman" w:eastAsia="Times New Roman" w:hAnsi="Times New Roman"/>
          <w:sz w:val="19"/>
          <w:szCs w:val="19"/>
          <w:color w:val="231F20"/>
        </w:rPr>
        <w:t>In May 2024, we adopted and announced a targeted restructuring plan (the "Restructuring Plan"). This</w:t>
      </w:r>
      <w:r>
        <w:rPr>
          <w:rFonts w:ascii="Times New Roman" w:cs="Times New Roman" w:eastAsia="Times New Roman" w:hAnsi="Times New Roman"/>
          <w:sz w:val="19"/>
          <w:szCs w:val="19"/>
          <w:b w:val="1"/>
          <w:bCs w:val="1"/>
          <w:i w:val="1"/>
          <w:iCs w:val="1"/>
          <w:color w:val="231F20"/>
        </w:rPr>
        <w:t xml:space="preserve"> </w:t>
      </w:r>
      <w:r>
        <w:rPr>
          <w:rFonts w:ascii="Times New Roman" w:cs="Times New Roman" w:eastAsia="Times New Roman" w:hAnsi="Times New Roman"/>
          <w:sz w:val="19"/>
          <w:szCs w:val="19"/>
          <w:color w:val="231F20"/>
        </w:rPr>
        <w:t>plan includes a strategic shift in our approach to the Healthcare surgical business in Europe, as well as other actions including the impairment of an internally developed X-ray accelerator, product rationalizations and facility consolidations. Approximately 300 positions have been eliminated. These restructuring actions were designed to enhance profitability and improve efficiency, which we realized beginning in fiscal 2025 and 2026. As of March 31, 2026, the execution of our Restructuring Plan is substantially complete.</w:t>
      </w:r>
    </w:p>
    <w:p>
      <w:pPr>
        <w:spacing w:after="0" w:line="76" w:lineRule="exact"/>
        <w:rPr>
          <w:sz w:val="20"/>
          <w:szCs w:val="20"/>
          <w:color w:val="auto"/>
        </w:rPr>
      </w:pPr>
    </w:p>
    <w:p>
      <w:pPr>
        <w:ind w:right="20" w:firstLine="349"/>
        <w:spacing w:after="0" w:line="282" w:lineRule="auto"/>
        <w:rPr>
          <w:sz w:val="20"/>
          <w:szCs w:val="20"/>
          <w:color w:val="auto"/>
        </w:rPr>
      </w:pPr>
      <w:r>
        <w:rPr>
          <w:rFonts w:ascii="Times New Roman" w:cs="Times New Roman" w:eastAsia="Times New Roman" w:hAnsi="Times New Roman"/>
          <w:sz w:val="19"/>
          <w:szCs w:val="19"/>
          <w:color w:val="231F20"/>
        </w:rPr>
        <w:t>The following table summarizes our total pre-tax restructuring expenses recorded in fiscal 2026 related to the Restructuring Plan: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Restructuring Plan</w:t>
            </w:r>
          </w:p>
        </w:tc>
        <w:tc>
          <w:tcPr>
            <w:tcW w:w="360" w:type="dxa"/>
            <w:vAlign w:val="bottom"/>
            <w:tcBorders>
              <w:bottom w:val="single" w:sz="8" w:color="231F20"/>
            </w:tcBorders>
          </w:tcPr>
          <w:p>
            <w:pPr>
              <w:spacing w:after="0"/>
              <w:rPr>
                <w:sz w:val="22"/>
                <w:szCs w:val="22"/>
                <w:color w:val="auto"/>
              </w:rPr>
            </w:pPr>
          </w:p>
        </w:tc>
        <w:tc>
          <w:tcPr>
            <w:tcW w:w="2560" w:type="dxa"/>
            <w:vAlign w:val="bottom"/>
            <w:tcBorders>
              <w:bottom w:val="single" w:sz="8" w:color="231F20"/>
            </w:tcBorders>
            <w:gridSpan w:val="4"/>
          </w:tcPr>
          <w:p>
            <w:pPr>
              <w:jc w:val="right"/>
              <w:ind w:right="465"/>
              <w:spacing w:after="0"/>
              <w:rPr>
                <w:sz w:val="20"/>
                <w:szCs w:val="20"/>
                <w:color w:val="auto"/>
              </w:rPr>
            </w:pPr>
            <w:r>
              <w:rPr>
                <w:rFonts w:ascii="Times New Roman" w:cs="Times New Roman" w:eastAsia="Times New Roman" w:hAnsi="Times New Roman"/>
                <w:sz w:val="17"/>
                <w:szCs w:val="17"/>
                <w:b w:val="1"/>
                <w:bCs w:val="1"/>
                <w:color w:val="231F20"/>
              </w:rPr>
              <w:t>Years Ended March 31,</w:t>
            </w:r>
          </w:p>
        </w:tc>
      </w:tr>
      <w:tr>
        <w:trPr>
          <w:trHeight w:val="257"/>
        </w:trPr>
        <w:tc>
          <w:tcPr>
            <w:tcW w:w="694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7"/>
                <w:szCs w:val="17"/>
                <w:color w:val="231F20"/>
              </w:rPr>
              <w:t>(in millions)</w:t>
            </w:r>
          </w:p>
        </w:tc>
        <w:tc>
          <w:tcPr>
            <w:tcW w:w="360" w:type="dxa"/>
            <w:vAlign w:val="bottom"/>
            <w:tcBorders>
              <w:bottom w:val="single" w:sz="8" w:color="231F20"/>
            </w:tcBorders>
          </w:tcPr>
          <w:p>
            <w:pPr>
              <w:spacing w:after="0"/>
              <w:rPr>
                <w:sz w:val="22"/>
                <w:szCs w:val="22"/>
                <w:color w:val="auto"/>
              </w:rPr>
            </w:pPr>
          </w:p>
        </w:tc>
        <w:tc>
          <w:tcPr>
            <w:tcW w:w="1100" w:type="dxa"/>
            <w:vAlign w:val="bottom"/>
            <w:tcBorders>
              <w:bottom w:val="single" w:sz="8" w:color="231F20"/>
            </w:tcBorders>
          </w:tcPr>
          <w:p>
            <w:pPr>
              <w:jc w:val="right"/>
              <w:ind w:right="466"/>
              <w:spacing w:after="0"/>
              <w:rPr>
                <w:sz w:val="20"/>
                <w:szCs w:val="20"/>
                <w:color w:val="auto"/>
              </w:rPr>
            </w:pPr>
            <w:r>
              <w:rPr>
                <w:rFonts w:ascii="Times New Roman" w:cs="Times New Roman" w:eastAsia="Times New Roman" w:hAnsi="Times New Roman"/>
                <w:sz w:val="17"/>
                <w:szCs w:val="17"/>
                <w:color w:val="231F20"/>
              </w:rPr>
              <w:t>2026</w:t>
            </w:r>
          </w:p>
        </w:tc>
        <w:tc>
          <w:tcPr>
            <w:tcW w:w="80" w:type="dxa"/>
            <w:vAlign w:val="bottom"/>
            <w:tcBorders>
              <w:bottom w:val="single" w:sz="8" w:color="231F20"/>
            </w:tcBorders>
          </w:tcPr>
          <w:p>
            <w:pPr>
              <w:spacing w:after="0"/>
              <w:rPr>
                <w:sz w:val="22"/>
                <w:szCs w:val="22"/>
                <w:color w:val="auto"/>
              </w:rPr>
            </w:pPr>
          </w:p>
        </w:tc>
        <w:tc>
          <w:tcPr>
            <w:tcW w:w="32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tcBorders>
          </w:tcPr>
          <w:p>
            <w:pPr>
              <w:jc w:val="right"/>
              <w:ind w:right="425"/>
              <w:spacing w:after="0"/>
              <w:rPr>
                <w:sz w:val="20"/>
                <w:szCs w:val="20"/>
                <w:color w:val="auto"/>
              </w:rPr>
            </w:pPr>
            <w:r>
              <w:rPr>
                <w:rFonts w:ascii="Times New Roman" w:cs="Times New Roman" w:eastAsia="Times New Roman" w:hAnsi="Times New Roman"/>
                <w:sz w:val="17"/>
                <w:szCs w:val="17"/>
                <w:color w:val="231F20"/>
              </w:rPr>
              <w:t>2025</w:t>
            </w:r>
          </w:p>
        </w:tc>
      </w:tr>
      <w:tr>
        <w:trPr>
          <w:trHeight w:val="257"/>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Severance and other compensation related costs</w:t>
            </w:r>
          </w:p>
        </w:tc>
        <w:tc>
          <w:tcPr>
            <w:tcW w:w="360" w:type="dxa"/>
            <w:vAlign w:val="bottom"/>
          </w:tcPr>
          <w:p>
            <w:pPr>
              <w:jc w:val="right"/>
              <w:ind w:right="103"/>
              <w:spacing w:after="0"/>
              <w:rPr>
                <w:sz w:val="20"/>
                <w:szCs w:val="20"/>
                <w:color w:val="auto"/>
              </w:rPr>
            </w:pPr>
            <w:r>
              <w:rPr>
                <w:rFonts w:ascii="Times New Roman" w:cs="Times New Roman" w:eastAsia="Times New Roman" w:hAnsi="Times New Roman"/>
                <w:sz w:val="19"/>
                <w:szCs w:val="19"/>
                <w:b w:val="1"/>
                <w:bCs w:val="1"/>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2.6</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231F2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29.0</w:t>
            </w:r>
          </w:p>
        </w:tc>
      </w:tr>
      <w:tr>
        <w:trPr>
          <w:trHeight w:val="274"/>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Lease and other contract termination and other costs</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1.5</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12.4</w:t>
            </w:r>
          </w:p>
        </w:tc>
      </w:tr>
      <w:tr>
        <w:trPr>
          <w:trHeight w:val="296"/>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 xml:space="preserve">Product rationalization </w:t>
            </w:r>
            <w:r>
              <w:rPr>
                <w:rFonts w:ascii="Times New Roman" w:cs="Times New Roman" w:eastAsia="Times New Roman" w:hAnsi="Times New Roman"/>
                <w:sz w:val="25"/>
                <w:szCs w:val="25"/>
                <w:color w:val="231F20"/>
                <w:vertAlign w:val="superscript"/>
              </w:rPr>
              <w:t>(1)</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(0.7)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16.2</w:t>
            </w:r>
          </w:p>
        </w:tc>
      </w:tr>
      <w:tr>
        <w:trPr>
          <w:trHeight w:val="259"/>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Accelerated depreciation and amortization and asset impairment</w:t>
            </w:r>
          </w:p>
        </w:tc>
        <w:tc>
          <w:tcPr>
            <w:tcW w:w="360" w:type="dxa"/>
            <w:vAlign w:val="bottom"/>
            <w:tcBorders>
              <w:bottom w:val="single" w:sz="8" w:color="231F20"/>
            </w:tcBorders>
          </w:tcPr>
          <w:p>
            <w:pPr>
              <w:spacing w:after="0"/>
              <w:rPr>
                <w:sz w:val="22"/>
                <w:szCs w:val="22"/>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80" w:type="dxa"/>
            <w:vAlign w:val="bottom"/>
          </w:tcPr>
          <w:p>
            <w:pPr>
              <w:spacing w:after="0"/>
              <w:rPr>
                <w:sz w:val="22"/>
                <w:szCs w:val="22"/>
                <w:color w:val="auto"/>
              </w:rPr>
            </w:pPr>
          </w:p>
        </w:tc>
        <w:tc>
          <w:tcPr>
            <w:tcW w:w="32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4.7</w:t>
            </w:r>
          </w:p>
        </w:tc>
      </w:tr>
      <w:tr>
        <w:trPr>
          <w:trHeight w:val="238"/>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Total Restructuring Expense</w:t>
            </w:r>
          </w:p>
        </w:tc>
        <w:tc>
          <w:tcPr>
            <w:tcW w:w="360" w:type="dxa"/>
            <w:vAlign w:val="bottom"/>
          </w:tcPr>
          <w:p>
            <w:pPr>
              <w:jc w:val="right"/>
              <w:ind w:right="103"/>
              <w:spacing w:after="0"/>
              <w:rPr>
                <w:sz w:val="20"/>
                <w:szCs w:val="20"/>
                <w:color w:val="auto"/>
              </w:rPr>
            </w:pPr>
            <w:r>
              <w:rPr>
                <w:rFonts w:ascii="Times New Roman" w:cs="Times New Roman" w:eastAsia="Times New Roman" w:hAnsi="Times New Roman"/>
                <w:sz w:val="19"/>
                <w:szCs w:val="19"/>
                <w:b w:val="1"/>
                <w:bCs w:val="1"/>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3.4</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231F2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62.3</w:t>
            </w:r>
          </w:p>
        </w:tc>
      </w:tr>
      <w:tr>
        <w:trPr>
          <w:trHeight w:val="20"/>
        </w:trPr>
        <w:tc>
          <w:tcPr>
            <w:tcW w:w="6940" w:type="dxa"/>
            <w:vAlign w:val="bottom"/>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106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-908685</wp:posOffset>
            </wp:positionV>
            <wp:extent cx="188277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82775" cy="25400"/>
                    </a:xfrm>
                    <a:prstGeom prst="rect">
                      <a:avLst/>
                    </a:prstGeom>
                    <a:noFill/>
                  </pic:spPr>
                </pic:pic>
              </a:graphicData>
            </a:graphic>
          </wp:anchor>
        </w:drawing>
      </w:r>
    </w:p>
    <w:p>
      <w:pPr>
        <w:ind w:left="160" w:hanging="157"/>
        <w:spacing w:after="0"/>
        <w:tabs>
          <w:tab w:leader="none" w:pos="160" w:val="left"/>
        </w:tabs>
        <w:numPr>
          <w:ilvl w:val="0"/>
          <w:numId w:val="9"/>
        </w:numPr>
        <w:rPr>
          <w:rFonts w:ascii="Times New Roman" w:cs="Times New Roman" w:eastAsia="Times New Roman" w:hAnsi="Times New Roman"/>
          <w:sz w:val="20"/>
          <w:szCs w:val="20"/>
          <w:color w:val="231F20"/>
          <w:vertAlign w:val="superscript"/>
        </w:rPr>
      </w:pPr>
      <w:r>
        <w:rPr>
          <w:rFonts w:ascii="Times New Roman" w:cs="Times New Roman" w:eastAsia="Times New Roman" w:hAnsi="Times New Roman"/>
          <w:sz w:val="15"/>
          <w:szCs w:val="15"/>
          <w:color w:val="231F20"/>
        </w:rPr>
        <w:t>Recorded in Cost of revenues on the Consolidated Statements of Income.</w:t>
      </w:r>
    </w:p>
    <w:p>
      <w:pPr>
        <w:spacing w:after="0" w:line="84" w:lineRule="exact"/>
        <w:rPr>
          <w:sz w:val="20"/>
          <w:szCs w:val="20"/>
          <w:color w:val="auto"/>
        </w:rPr>
      </w:pPr>
    </w:p>
    <w:p>
      <w:pPr>
        <w:ind w:right="140" w:firstLine="349"/>
        <w:spacing w:after="0" w:line="264" w:lineRule="auto"/>
        <w:rPr>
          <w:sz w:val="20"/>
          <w:szCs w:val="20"/>
          <w:color w:val="auto"/>
        </w:rPr>
      </w:pPr>
      <w:r>
        <w:rPr>
          <w:rFonts w:ascii="Times New Roman" w:cs="Times New Roman" w:eastAsia="Times New Roman" w:hAnsi="Times New Roman"/>
          <w:sz w:val="19"/>
          <w:szCs w:val="19"/>
          <w:color w:val="231F20"/>
        </w:rPr>
        <w:t>The Restructuring Plan expenses incurred during fiscal 2026 and 2025 primarily related to actions taken in our Healthcare segment. Total pre-tax restructuring expense of $110.1 million has been recorded relating to the Restructuring Plan since inception, of which $33.9 million has been recorded in Cost of revenues.</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35</w:t>
      </w:r>
    </w:p>
    <w:p>
      <w:pPr>
        <w:sectPr>
          <w:pgSz w:w="11880" w:h="15480" w:orient="portrait"/>
          <w:cols w:equalWidth="0" w:num="1">
            <w:col w:w="9960"/>
          </w:cols>
          <w:pgMar w:left="960" w:top="821" w:right="960" w:bottom="0" w:gutter="0" w:footer="0" w:header="0"/>
          <w:type w:val="continuous"/>
        </w:sectPr>
      </w:pPr>
    </w:p>
    <w:bookmarkStart w:id="36" w:name="page37"/>
    <w:bookmarkEnd w:id="36"/>
    <w:p>
      <w:pPr>
        <w:ind w:firstLine="349"/>
        <w:spacing w:after="0" w:line="262" w:lineRule="auto"/>
        <w:rPr>
          <w:sz w:val="20"/>
          <w:szCs w:val="20"/>
          <w:color w:val="auto"/>
        </w:rPr>
      </w:pPr>
      <w:r>
        <w:rPr>
          <w:rFonts w:ascii="Times New Roman" w:cs="Times New Roman" w:eastAsia="Times New Roman" w:hAnsi="Times New Roman"/>
          <w:sz w:val="19"/>
          <w:szCs w:val="19"/>
          <w:color w:val="231F20"/>
        </w:rPr>
        <w:t>Liabilities related to restructuring activities are recorded as current liabilities in the accompanying Consolidated Balance Sheets within "Accrued payroll and other related liabilities" and "Accrued expenses and other." The following table summarizes our restructuring liability balances:</w:t>
      </w:r>
    </w:p>
    <w:tbl>
      <w:tblPr>
        <w:tblLayout w:type="fixed"/>
        <w:tblInd w:w="0" w:type="dxa"/>
        <w:tblCellMar>
          <w:top w:w="0" w:type="dxa"/>
          <w:left w:w="0" w:type="dxa"/>
          <w:bottom w:w="0" w:type="dxa"/>
          <w:right w:w="0" w:type="dxa"/>
        </w:tblCellMar>
      </w:tblPr>
      <w:tr>
        <w:trPr>
          <w:trHeight w:val="201"/>
        </w:trPr>
        <w:tc>
          <w:tcPr>
            <w:tcW w:w="8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43"/>
              <w:spacing w:after="0" w:line="201" w:lineRule="exact"/>
              <w:rPr>
                <w:sz w:val="20"/>
                <w:szCs w:val="20"/>
                <w:color w:val="auto"/>
              </w:rPr>
            </w:pPr>
            <w:r>
              <w:rPr>
                <w:rFonts w:ascii="Times New Roman" w:cs="Times New Roman" w:eastAsia="Times New Roman" w:hAnsi="Times New Roman"/>
                <w:sz w:val="19"/>
                <w:szCs w:val="19"/>
                <w:b w:val="1"/>
                <w:bCs w:val="1"/>
                <w:color w:val="231F20"/>
              </w:rPr>
              <w:t>Restructuring</w:t>
            </w:r>
          </w:p>
        </w:tc>
      </w:tr>
      <w:tr>
        <w:trPr>
          <w:trHeight w:val="255"/>
        </w:trPr>
        <w:tc>
          <w:tcPr>
            <w:tcW w:w="850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7"/>
                <w:szCs w:val="17"/>
                <w:color w:val="231F20"/>
              </w:rPr>
              <w:t>(in millions)</w:t>
            </w:r>
          </w:p>
        </w:tc>
        <w:tc>
          <w:tcPr>
            <w:tcW w:w="140" w:type="dxa"/>
            <w:vAlign w:val="bottom"/>
            <w:tcBorders>
              <w:bottom w:val="single" w:sz="8" w:color="231F20"/>
            </w:tcBorders>
          </w:tcPr>
          <w:p>
            <w:pPr>
              <w:spacing w:after="0"/>
              <w:rPr>
                <w:sz w:val="22"/>
                <w:szCs w:val="22"/>
                <w:color w:val="auto"/>
              </w:rPr>
            </w:pPr>
          </w:p>
        </w:tc>
        <w:tc>
          <w:tcPr>
            <w:tcW w:w="1320" w:type="dxa"/>
            <w:vAlign w:val="bottom"/>
            <w:tcBorders>
              <w:bottom w:val="single" w:sz="8" w:color="231F20"/>
            </w:tcBorders>
          </w:tcPr>
          <w:p>
            <w:pPr>
              <w:jc w:val="right"/>
              <w:ind w:right="443"/>
              <w:spacing w:after="0"/>
              <w:rPr>
                <w:sz w:val="20"/>
                <w:szCs w:val="20"/>
                <w:color w:val="auto"/>
              </w:rPr>
            </w:pPr>
            <w:r>
              <w:rPr>
                <w:rFonts w:ascii="Times New Roman" w:cs="Times New Roman" w:eastAsia="Times New Roman" w:hAnsi="Times New Roman"/>
                <w:sz w:val="19"/>
                <w:szCs w:val="19"/>
                <w:b w:val="1"/>
                <w:bCs w:val="1"/>
                <w:color w:val="231F20"/>
              </w:rPr>
              <w:t>Plan</w:t>
            </w:r>
          </w:p>
        </w:tc>
      </w:tr>
      <w:tr>
        <w:trPr>
          <w:trHeight w:val="256"/>
        </w:trPr>
        <w:tc>
          <w:tcPr>
            <w:tcW w:w="850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Balance at March 31,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0.7</w:t>
            </w:r>
          </w:p>
        </w:tc>
      </w:tr>
      <w:tr>
        <w:trPr>
          <w:trHeight w:val="274"/>
        </w:trPr>
        <w:tc>
          <w:tcPr>
            <w:tcW w:w="850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Fiscal 2025 charges</w:t>
            </w: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41.4</w:t>
            </w:r>
          </w:p>
        </w:tc>
      </w:tr>
      <w:tr>
        <w:trPr>
          <w:trHeight w:val="279"/>
        </w:trPr>
        <w:tc>
          <w:tcPr>
            <w:tcW w:w="850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Payments</w:t>
            </w:r>
          </w:p>
        </w:tc>
        <w:tc>
          <w:tcPr>
            <w:tcW w:w="140" w:type="dxa"/>
            <w:vAlign w:val="bottom"/>
            <w:tcBorders>
              <w:bottom w:val="single" w:sz="8" w:color="231F20"/>
            </w:tcBorders>
          </w:tcPr>
          <w:p>
            <w:pPr>
              <w:spacing w:after="0"/>
              <w:rPr>
                <w:sz w:val="24"/>
                <w:szCs w:val="24"/>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(23.7)</w:t>
            </w:r>
          </w:p>
        </w:tc>
      </w:tr>
      <w:tr>
        <w:trPr>
          <w:trHeight w:val="254"/>
        </w:trPr>
        <w:tc>
          <w:tcPr>
            <w:tcW w:w="850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Balance at March 31, 2025</w:t>
            </w: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18.4</w:t>
            </w:r>
          </w:p>
        </w:tc>
      </w:tr>
      <w:tr>
        <w:trPr>
          <w:trHeight w:val="277"/>
        </w:trPr>
        <w:tc>
          <w:tcPr>
            <w:tcW w:w="850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Fiscal 2026 Charges</w:t>
            </w: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4.1</w:t>
            </w:r>
          </w:p>
        </w:tc>
      </w:tr>
      <w:tr>
        <w:trPr>
          <w:trHeight w:val="308"/>
        </w:trPr>
        <w:tc>
          <w:tcPr>
            <w:tcW w:w="850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Payments</w:t>
            </w:r>
          </w:p>
        </w:tc>
        <w:tc>
          <w:tcPr>
            <w:tcW w:w="140" w:type="dxa"/>
            <w:vAlign w:val="bottom"/>
            <w:tcBorders>
              <w:bottom w:val="single" w:sz="8" w:color="231F20"/>
            </w:tcBorders>
          </w:tcPr>
          <w:p>
            <w:pPr>
              <w:spacing w:after="0"/>
              <w:rPr>
                <w:sz w:val="24"/>
                <w:szCs w:val="24"/>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(15.4)</w:t>
            </w:r>
          </w:p>
        </w:tc>
      </w:tr>
      <w:tr>
        <w:trPr>
          <w:trHeight w:val="267"/>
        </w:trPr>
        <w:tc>
          <w:tcPr>
            <w:tcW w:w="850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Balance at March 31, 2026</w:t>
            </w:r>
          </w:p>
        </w:tc>
        <w:tc>
          <w:tcPr>
            <w:tcW w:w="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7.1</w:t>
            </w:r>
          </w:p>
        </w:tc>
      </w:tr>
      <w:tr>
        <w:trPr>
          <w:trHeight w:val="20"/>
        </w:trPr>
        <w:tc>
          <w:tcPr>
            <w:tcW w:w="850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32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5339715</wp:posOffset>
            </wp:positionH>
            <wp:positionV relativeFrom="paragraph">
              <wp:posOffset>-1296670</wp:posOffset>
            </wp:positionV>
            <wp:extent cx="99568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95680" cy="25400"/>
                    </a:xfrm>
                    <a:prstGeom prst="rect">
                      <a:avLst/>
                    </a:prstGeom>
                    <a:noFill/>
                  </pic:spPr>
                </pic:pic>
              </a:graphicData>
            </a:graphic>
          </wp:anchor>
        </w:drawing>
      </w:r>
    </w:p>
    <w:p>
      <w:pPr>
        <w:spacing w:after="0" w:line="10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9"/>
          <w:szCs w:val="19"/>
          <w:b w:val="1"/>
          <w:bCs w:val="1"/>
          <w:i w:val="1"/>
          <w:iCs w:val="1"/>
          <w:color w:val="231F20"/>
        </w:rPr>
        <w:t xml:space="preserve">Non-Operating Expenses, Net. </w:t>
      </w:r>
      <w:r>
        <w:rPr>
          <w:rFonts w:ascii="Times New Roman" w:cs="Times New Roman" w:eastAsia="Times New Roman" w:hAnsi="Times New Roman"/>
          <w:sz w:val="19"/>
          <w:szCs w:val="19"/>
          <w:color w:val="231F20"/>
        </w:rPr>
        <w:t>Non-operating expenses, net consists of interest expense on debt, offset by interest earned on</w:t>
      </w:r>
      <w:r>
        <w:rPr>
          <w:rFonts w:ascii="Times New Roman" w:cs="Times New Roman" w:eastAsia="Times New Roman" w:hAnsi="Times New Roman"/>
          <w:sz w:val="19"/>
          <w:szCs w:val="19"/>
          <w:b w:val="1"/>
          <w:bCs w:val="1"/>
          <w:i w:val="1"/>
          <w:iCs w:val="1"/>
          <w:color w:val="231F20"/>
        </w:rPr>
        <w:t xml:space="preserve"> </w:t>
      </w:r>
      <w:r>
        <w:rPr>
          <w:rFonts w:ascii="Times New Roman" w:cs="Times New Roman" w:eastAsia="Times New Roman" w:hAnsi="Times New Roman"/>
          <w:sz w:val="19"/>
          <w:szCs w:val="19"/>
          <w:color w:val="231F20"/>
        </w:rPr>
        <w:t>cash, cash equivalents, short-term investment balances, losses (gains) related to disposal activities, and other expense (income) related to our equity investments, including our equity earnings and amortization of basis differences arising from our investments. The following table compares our net non-operating expenses, net for the year ended March 31, 2026 to the year ended March 31, 2025:</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60" w:type="dxa"/>
            <w:vAlign w:val="bottom"/>
          </w:tcPr>
          <w:p>
            <w:pPr>
              <w:spacing w:after="0"/>
              <w:rPr>
                <w:sz w:val="20"/>
                <w:szCs w:val="20"/>
                <w:color w:val="auto"/>
              </w:rPr>
            </w:pPr>
          </w:p>
        </w:tc>
        <w:tc>
          <w:tcPr>
            <w:tcW w:w="2260" w:type="dxa"/>
            <w:vAlign w:val="bottom"/>
            <w:tcBorders>
              <w:bottom w:val="single" w:sz="8" w:color="231F20"/>
            </w:tcBorders>
            <w:gridSpan w:val="3"/>
          </w:tcPr>
          <w:p>
            <w:pPr>
              <w:jc w:val="right"/>
              <w:spacing w:after="0"/>
              <w:rPr>
                <w:sz w:val="20"/>
                <w:szCs w:val="20"/>
                <w:color w:val="auto"/>
              </w:rPr>
            </w:pPr>
            <w:r>
              <w:rPr>
                <w:rFonts w:ascii="Times New Roman" w:cs="Times New Roman" w:eastAsia="Times New Roman" w:hAnsi="Times New Roman"/>
                <w:sz w:val="17"/>
                <w:szCs w:val="17"/>
                <w:color w:val="231F20"/>
              </w:rPr>
              <w:t>Years Ended March 31,</w:t>
            </w:r>
          </w:p>
        </w:tc>
        <w:tc>
          <w:tcPr>
            <w:tcW w:w="460" w:type="dxa"/>
            <w:vAlign w:val="bottom"/>
            <w:tcBorders>
              <w:bottom w:val="single" w:sz="8" w:color="231F20"/>
            </w:tcBorders>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28"/>
        </w:trPr>
        <w:tc>
          <w:tcPr>
            <w:tcW w:w="606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7"/>
                <w:szCs w:val="17"/>
                <w:color w:val="231F20"/>
              </w:rPr>
              <w:t>(in millions)</w:t>
            </w: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2026</w:t>
            </w:r>
          </w:p>
        </w:tc>
        <w:tc>
          <w:tcPr>
            <w:tcW w:w="520" w:type="dxa"/>
            <w:vAlign w:val="bottom"/>
            <w:tcBorders>
              <w:bottom w:val="single" w:sz="8" w:color="231F20"/>
            </w:tcBorders>
          </w:tcPr>
          <w:p>
            <w:pPr>
              <w:spacing w:after="0"/>
              <w:rPr>
                <w:sz w:val="19"/>
                <w:szCs w:val="19"/>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2025</w:t>
            </w:r>
          </w:p>
        </w:tc>
        <w:tc>
          <w:tcPr>
            <w:tcW w:w="460" w:type="dxa"/>
            <w:vAlign w:val="bottom"/>
            <w:tcBorders>
              <w:bottom w:val="single" w:sz="8" w:color="231F20"/>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880" w:type="dxa"/>
            <w:vAlign w:val="bottom"/>
            <w:tcBorders>
              <w:bottom w:val="single" w:sz="8" w:color="231F20"/>
            </w:tcBorders>
          </w:tcPr>
          <w:p>
            <w:pPr>
              <w:jc w:val="right"/>
              <w:ind w:right="185"/>
              <w:spacing w:after="0"/>
              <w:rPr>
                <w:sz w:val="20"/>
                <w:szCs w:val="20"/>
                <w:color w:val="auto"/>
              </w:rPr>
            </w:pPr>
            <w:r>
              <w:rPr>
                <w:rFonts w:ascii="Times New Roman" w:cs="Times New Roman" w:eastAsia="Times New Roman" w:hAnsi="Times New Roman"/>
                <w:sz w:val="17"/>
                <w:szCs w:val="17"/>
                <w:color w:val="231F20"/>
              </w:rPr>
              <w:t>Change</w:t>
            </w:r>
          </w:p>
        </w:tc>
      </w:tr>
      <w:tr>
        <w:trPr>
          <w:trHeight w:val="228"/>
        </w:trPr>
        <w:tc>
          <w:tcPr>
            <w:tcW w:w="606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Non-operating expenses, net:</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73"/>
        </w:trPr>
        <w:tc>
          <w:tcPr>
            <w:tcW w:w="606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Interest expense</w:t>
            </w:r>
          </w:p>
        </w:tc>
        <w:tc>
          <w:tcPr>
            <w:tcW w:w="860" w:type="dxa"/>
            <w:vAlign w:val="bottom"/>
          </w:tcPr>
          <w:p>
            <w:pPr>
              <w:jc w:val="right"/>
              <w:ind w:right="628"/>
              <w:spacing w:after="0"/>
              <w:rPr>
                <w:sz w:val="20"/>
                <w:szCs w:val="20"/>
                <w:color w:val="auto"/>
              </w:rPr>
            </w:pPr>
            <w:r>
              <w:rPr>
                <w:rFonts w:ascii="Times New Roman" w:cs="Times New Roman" w:eastAsia="Times New Roman" w:hAnsi="Times New Roman"/>
                <w:sz w:val="19"/>
                <w:szCs w:val="19"/>
                <w:b w:val="1"/>
                <w:bCs w:val="1"/>
                <w:color w:val="231F20"/>
              </w:rPr>
              <w:t>$</w:t>
            </w:r>
          </w:p>
        </w:tc>
        <w:tc>
          <w:tcPr>
            <w:tcW w:w="52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60.7</w:t>
            </w:r>
          </w:p>
        </w:tc>
        <w:tc>
          <w:tcPr>
            <w:tcW w:w="880" w:type="dxa"/>
            <w:vAlign w:val="bottom"/>
          </w:tcPr>
          <w:p>
            <w:pPr>
              <w:jc w:val="right"/>
              <w:ind w:right="626"/>
              <w:spacing w:after="0"/>
              <w:rPr>
                <w:sz w:val="20"/>
                <w:szCs w:val="20"/>
                <w:color w:val="auto"/>
              </w:rPr>
            </w:pPr>
            <w:r>
              <w:rPr>
                <w:rFonts w:ascii="Times New Roman" w:cs="Times New Roman" w:eastAsia="Times New Roman" w:hAnsi="Times New Roman"/>
                <w:sz w:val="19"/>
                <w:szCs w:val="19"/>
                <w:color w:val="231F2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86.3</w:t>
            </w:r>
          </w:p>
        </w:tc>
        <w:tc>
          <w:tcPr>
            <w:tcW w:w="2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(25.6)</w:t>
            </w:r>
          </w:p>
        </w:tc>
      </w:tr>
      <w:tr>
        <w:trPr>
          <w:trHeight w:val="291"/>
        </w:trPr>
        <w:tc>
          <w:tcPr>
            <w:tcW w:w="606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Interest and miscellaneous income</w:t>
            </w:r>
          </w:p>
        </w:tc>
        <w:tc>
          <w:tcPr>
            <w:tcW w:w="8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(9.8)</w:t>
            </w:r>
          </w:p>
        </w:tc>
        <w:tc>
          <w:tcPr>
            <w:tcW w:w="8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(8.4)</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(1.4)</w:t>
            </w:r>
          </w:p>
        </w:tc>
      </w:tr>
      <w:tr>
        <w:trPr>
          <w:trHeight w:val="294"/>
        </w:trPr>
        <w:tc>
          <w:tcPr>
            <w:tcW w:w="606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Other expense (income), net</w:t>
            </w:r>
          </w:p>
        </w:tc>
        <w:tc>
          <w:tcPr>
            <w:tcW w:w="860" w:type="dxa"/>
            <w:vAlign w:val="bottom"/>
            <w:tcBorders>
              <w:bottom w:val="single" w:sz="8" w:color="231F20"/>
            </w:tcBorders>
          </w:tcPr>
          <w:p>
            <w:pPr>
              <w:spacing w:after="0"/>
              <w:rPr>
                <w:sz w:val="24"/>
                <w:szCs w:val="24"/>
                <w:color w:val="auto"/>
              </w:rPr>
            </w:pPr>
          </w:p>
        </w:tc>
        <w:tc>
          <w:tcPr>
            <w:tcW w:w="520" w:type="dxa"/>
            <w:vAlign w:val="bottom"/>
            <w:tcBorders>
              <w:bottom w:val="single" w:sz="8" w:color="231F20"/>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3.5</w:t>
            </w:r>
          </w:p>
        </w:tc>
        <w:tc>
          <w:tcPr>
            <w:tcW w:w="880" w:type="dxa"/>
            <w:vAlign w:val="bottom"/>
            <w:tcBorders>
              <w:bottom w:val="single" w:sz="8" w:color="231F20"/>
            </w:tcBorders>
          </w:tcPr>
          <w:p>
            <w:pPr>
              <w:spacing w:after="0"/>
              <w:rPr>
                <w:sz w:val="24"/>
                <w:szCs w:val="24"/>
                <w:color w:val="auto"/>
              </w:rPr>
            </w:pPr>
          </w:p>
        </w:tc>
        <w:tc>
          <w:tcPr>
            <w:tcW w:w="4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(7.4)</w:t>
            </w:r>
          </w:p>
        </w:tc>
        <w:tc>
          <w:tcPr>
            <w:tcW w:w="28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10.9</w:t>
            </w:r>
          </w:p>
        </w:tc>
      </w:tr>
      <w:tr>
        <w:trPr>
          <w:trHeight w:val="238"/>
        </w:trPr>
        <w:tc>
          <w:tcPr>
            <w:tcW w:w="606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Non-operating expenses, net</w:t>
            </w:r>
          </w:p>
        </w:tc>
        <w:tc>
          <w:tcPr>
            <w:tcW w:w="860" w:type="dxa"/>
            <w:vAlign w:val="bottom"/>
            <w:tcBorders>
              <w:bottom w:val="single" w:sz="8" w:color="231F20"/>
            </w:tcBorders>
          </w:tcPr>
          <w:p>
            <w:pPr>
              <w:jc w:val="right"/>
              <w:ind w:right="628"/>
              <w:spacing w:after="0"/>
              <w:rPr>
                <w:sz w:val="20"/>
                <w:szCs w:val="20"/>
                <w:color w:val="auto"/>
              </w:rPr>
            </w:pPr>
            <w:r>
              <w:rPr>
                <w:rFonts w:ascii="Times New Roman" w:cs="Times New Roman" w:eastAsia="Times New Roman" w:hAnsi="Times New Roman"/>
                <w:sz w:val="19"/>
                <w:szCs w:val="19"/>
                <w:b w:val="1"/>
                <w:bCs w:val="1"/>
                <w:color w:val="231F20"/>
              </w:rPr>
              <w:t>$</w:t>
            </w:r>
          </w:p>
        </w:tc>
        <w:tc>
          <w:tcPr>
            <w:tcW w:w="520" w:type="dxa"/>
            <w:vAlign w:val="bottom"/>
            <w:tcBorders>
              <w:bottom w:val="single" w:sz="8" w:color="231F20"/>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54.4</w:t>
            </w:r>
          </w:p>
        </w:tc>
        <w:tc>
          <w:tcPr>
            <w:tcW w:w="880" w:type="dxa"/>
            <w:vAlign w:val="bottom"/>
            <w:tcBorders>
              <w:bottom w:val="single" w:sz="8" w:color="231F20"/>
            </w:tcBorders>
          </w:tcPr>
          <w:p>
            <w:pPr>
              <w:jc w:val="right"/>
              <w:ind w:right="626"/>
              <w:spacing w:after="0"/>
              <w:rPr>
                <w:sz w:val="20"/>
                <w:szCs w:val="20"/>
                <w:color w:val="auto"/>
              </w:rPr>
            </w:pPr>
            <w:r>
              <w:rPr>
                <w:rFonts w:ascii="Times New Roman" w:cs="Times New Roman" w:eastAsia="Times New Roman" w:hAnsi="Times New Roman"/>
                <w:sz w:val="19"/>
                <w:szCs w:val="19"/>
                <w:color w:val="231F20"/>
              </w:rPr>
              <w:t>$</w:t>
            </w:r>
          </w:p>
        </w:tc>
        <w:tc>
          <w:tcPr>
            <w:tcW w:w="4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70.4</w:t>
            </w:r>
          </w:p>
        </w:tc>
        <w:tc>
          <w:tcPr>
            <w:tcW w:w="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(16.0)</w:t>
            </w:r>
          </w:p>
        </w:tc>
      </w:tr>
      <w:tr>
        <w:trPr>
          <w:trHeight w:val="20"/>
        </w:trPr>
        <w:tc>
          <w:tcPr>
            <w:tcW w:w="6060" w:type="dxa"/>
            <w:vAlign w:val="bottom"/>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52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460" w:type="dxa"/>
            <w:vAlign w:val="bottom"/>
            <w:tcBorders>
              <w:bottom w:val="single" w:sz="8" w:color="231F20"/>
            </w:tcBorders>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r>
    </w:tbl>
    <w:p>
      <w:pPr>
        <w:spacing w:after="0" w:line="124" w:lineRule="exact"/>
        <w:rPr>
          <w:sz w:val="20"/>
          <w:szCs w:val="20"/>
          <w:color w:val="auto"/>
        </w:rPr>
      </w:pPr>
    </w:p>
    <w:p>
      <w:pPr>
        <w:jc w:val="both"/>
        <w:ind w:firstLine="349"/>
        <w:spacing w:after="0" w:line="293" w:lineRule="auto"/>
        <w:rPr>
          <w:sz w:val="20"/>
          <w:szCs w:val="20"/>
          <w:color w:val="auto"/>
        </w:rPr>
      </w:pPr>
      <w:r>
        <w:rPr>
          <w:rFonts w:ascii="Times New Roman" w:cs="Times New Roman" w:eastAsia="Times New Roman" w:hAnsi="Times New Roman"/>
          <w:sz w:val="19"/>
          <w:szCs w:val="19"/>
          <w:color w:val="231F20"/>
        </w:rPr>
        <w:t>Interest expense decreased $25.6 million during fiscal 2026 as compared to fiscal 2025, primarily due to the lower principal amount of debt outstanding. For more information, refer to Note 8 to our consolidated financial statements titled, "Debt."</w:t>
      </w:r>
    </w:p>
    <w:p>
      <w:pPr>
        <w:spacing w:after="0" w:line="49" w:lineRule="exact"/>
        <w:rPr>
          <w:sz w:val="20"/>
          <w:szCs w:val="20"/>
          <w:color w:val="auto"/>
        </w:rPr>
      </w:pPr>
    </w:p>
    <w:p>
      <w:pPr>
        <w:ind w:right="220" w:firstLine="306"/>
        <w:spacing w:after="0" w:line="293" w:lineRule="auto"/>
        <w:rPr>
          <w:sz w:val="20"/>
          <w:szCs w:val="20"/>
          <w:color w:val="auto"/>
        </w:rPr>
      </w:pPr>
      <w:r>
        <w:rPr>
          <w:rFonts w:ascii="Times New Roman" w:cs="Times New Roman" w:eastAsia="Times New Roman" w:hAnsi="Times New Roman"/>
          <w:sz w:val="19"/>
          <w:szCs w:val="19"/>
          <w:color w:val="231F20"/>
        </w:rPr>
        <w:t>Interest and miscellaneous income increased during fiscal 2026, as compared to fiscal 2025, by $1.4 million and is driven by higher interest income.</w:t>
      </w:r>
    </w:p>
    <w:p>
      <w:pPr>
        <w:spacing w:after="0" w:line="49" w:lineRule="exact"/>
        <w:rPr>
          <w:sz w:val="20"/>
          <w:szCs w:val="20"/>
          <w:color w:val="auto"/>
        </w:rPr>
      </w:pPr>
    </w:p>
    <w:p>
      <w:pPr>
        <w:ind w:right="160" w:firstLine="306"/>
        <w:spacing w:after="0" w:line="262" w:lineRule="auto"/>
        <w:rPr>
          <w:sz w:val="20"/>
          <w:szCs w:val="20"/>
          <w:color w:val="auto"/>
        </w:rPr>
      </w:pPr>
      <w:r>
        <w:rPr>
          <w:rFonts w:ascii="Times New Roman" w:cs="Times New Roman" w:eastAsia="Times New Roman" w:hAnsi="Times New Roman"/>
          <w:sz w:val="19"/>
          <w:szCs w:val="19"/>
          <w:color w:val="231F20"/>
        </w:rPr>
        <w:t>Other expense, net was $3.5 million during fiscal 2026, primarily reflecting a disposal-related fixed asset impairment, as well as amortization related to a noncontrolling equity investment, which were partially offset by a gain on the sale of a building. Other income, net during fiscal 2025 was $7.4 million and primarily related to the gain recorded from the sale of our CECS business, which was partially offset by a loss recorded on an equity investment. For more information on our fixed assets, refer to Note 7 to our consolidated financial statements, titled "Property, Plant, and Equipment." For more information on our equity investments, refer to Note 3 to our consolidated financial statements, titled "Business Acquisitions, Divestitures, and Investments."</w:t>
      </w:r>
    </w:p>
    <w:p>
      <w:pPr>
        <w:spacing w:after="0" w:line="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b w:val="1"/>
          <w:bCs w:val="1"/>
          <w:i w:val="1"/>
          <w:iCs w:val="1"/>
          <w:color w:val="231F20"/>
        </w:rPr>
        <w:t xml:space="preserve">Income Tax Expense. </w:t>
      </w:r>
      <w:r>
        <w:rPr>
          <w:rFonts w:ascii="Times New Roman" w:cs="Times New Roman" w:eastAsia="Times New Roman" w:hAnsi="Times New Roman"/>
          <w:sz w:val="19"/>
          <w:szCs w:val="19"/>
          <w:color w:val="231F20"/>
        </w:rPr>
        <w:t>The following table compares our tax expense and effective income tax rates for the years ended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March 31, 2026 and March 31, 2025:</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900" w:type="dxa"/>
            <w:vAlign w:val="bottom"/>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2200" w:type="dxa"/>
            <w:vAlign w:val="bottom"/>
            <w:tcBorders>
              <w:bottom w:val="single" w:sz="8" w:color="231F20"/>
            </w:tcBorders>
            <w:gridSpan w:val="3"/>
          </w:tcPr>
          <w:p>
            <w:pPr>
              <w:jc w:val="right"/>
              <w:ind w:right="226"/>
              <w:spacing w:after="0"/>
              <w:rPr>
                <w:sz w:val="20"/>
                <w:szCs w:val="20"/>
                <w:color w:val="auto"/>
              </w:rPr>
            </w:pPr>
            <w:r>
              <w:rPr>
                <w:rFonts w:ascii="Times New Roman" w:cs="Times New Roman" w:eastAsia="Times New Roman" w:hAnsi="Times New Roman"/>
                <w:sz w:val="17"/>
                <w:szCs w:val="17"/>
                <w:color w:val="231F20"/>
              </w:rPr>
              <w:t>Years Ended March 31,</w:t>
            </w:r>
          </w:p>
        </w:tc>
        <w:tc>
          <w:tcPr>
            <w:tcW w:w="200" w:type="dxa"/>
            <w:vAlign w:val="bottom"/>
            <w:tcBorders>
              <w:bottom w:val="single" w:sz="8" w:color="231F20"/>
            </w:tcBorders>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jc w:val="right"/>
              <w:ind w:right="189"/>
              <w:spacing w:after="0"/>
              <w:rPr>
                <w:sz w:val="20"/>
                <w:szCs w:val="20"/>
                <w:color w:val="auto"/>
              </w:rPr>
            </w:pPr>
            <w:r>
              <w:rPr>
                <w:rFonts w:ascii="Times New Roman" w:cs="Times New Roman" w:eastAsia="Times New Roman" w:hAnsi="Times New Roman"/>
                <w:sz w:val="17"/>
                <w:szCs w:val="17"/>
                <w:color w:val="231F20"/>
              </w:rPr>
              <w:t>Percent</w:t>
            </w:r>
          </w:p>
        </w:tc>
      </w:tr>
      <w:tr>
        <w:trPr>
          <w:trHeight w:val="227"/>
        </w:trPr>
        <w:tc>
          <w:tcPr>
            <w:tcW w:w="490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7"/>
                <w:szCs w:val="17"/>
                <w:color w:val="231F20"/>
              </w:rPr>
              <w:t>(dollars in millions)</w:t>
            </w:r>
          </w:p>
        </w:tc>
        <w:tc>
          <w:tcPr>
            <w:tcW w:w="320" w:type="dxa"/>
            <w:vAlign w:val="bottom"/>
            <w:tcBorders>
              <w:bottom w:val="single" w:sz="8" w:color="231F20"/>
            </w:tcBorders>
          </w:tcPr>
          <w:p>
            <w:pPr>
              <w:spacing w:after="0"/>
              <w:rPr>
                <w:sz w:val="19"/>
                <w:szCs w:val="19"/>
                <w:color w:val="auto"/>
              </w:rPr>
            </w:pPr>
          </w:p>
        </w:tc>
        <w:tc>
          <w:tcPr>
            <w:tcW w:w="1060" w:type="dxa"/>
            <w:vAlign w:val="bottom"/>
            <w:tcBorders>
              <w:bottom w:val="single" w:sz="8" w:color="231F20"/>
            </w:tcBorders>
          </w:tcPr>
          <w:p>
            <w:pPr>
              <w:jc w:val="right"/>
              <w:ind w:right="448"/>
              <w:spacing w:after="0"/>
              <w:rPr>
                <w:sz w:val="20"/>
                <w:szCs w:val="20"/>
                <w:color w:val="auto"/>
              </w:rPr>
            </w:pPr>
            <w:r>
              <w:rPr>
                <w:rFonts w:ascii="Times New Roman" w:cs="Times New Roman" w:eastAsia="Times New Roman" w:hAnsi="Times New Roman"/>
                <w:sz w:val="17"/>
                <w:szCs w:val="17"/>
                <w:color w:val="231F20"/>
              </w:rPr>
              <w:t>2026</w:t>
            </w:r>
          </w:p>
        </w:tc>
        <w:tc>
          <w:tcPr>
            <w:tcW w:w="340" w:type="dxa"/>
            <w:vAlign w:val="bottom"/>
            <w:tcBorders>
              <w:bottom w:val="single" w:sz="8" w:color="231F20"/>
            </w:tcBorders>
          </w:tcPr>
          <w:p>
            <w:pPr>
              <w:spacing w:after="0"/>
              <w:rPr>
                <w:sz w:val="19"/>
                <w:szCs w:val="19"/>
                <w:color w:val="auto"/>
              </w:rPr>
            </w:pPr>
          </w:p>
        </w:tc>
        <w:tc>
          <w:tcPr>
            <w:tcW w:w="800" w:type="dxa"/>
            <w:vAlign w:val="bottom"/>
            <w:tcBorders>
              <w:bottom w:val="single" w:sz="8" w:color="231F20"/>
            </w:tcBorders>
          </w:tcPr>
          <w:p>
            <w:pPr>
              <w:jc w:val="right"/>
              <w:ind w:right="186"/>
              <w:spacing w:after="0"/>
              <w:rPr>
                <w:sz w:val="20"/>
                <w:szCs w:val="20"/>
                <w:color w:val="auto"/>
              </w:rPr>
            </w:pPr>
            <w:r>
              <w:rPr>
                <w:rFonts w:ascii="Times New Roman" w:cs="Times New Roman" w:eastAsia="Times New Roman" w:hAnsi="Times New Roman"/>
                <w:sz w:val="17"/>
                <w:szCs w:val="17"/>
                <w:color w:val="231F20"/>
              </w:rPr>
              <w:t>2025</w:t>
            </w:r>
          </w:p>
        </w:tc>
        <w:tc>
          <w:tcPr>
            <w:tcW w:w="200" w:type="dxa"/>
            <w:vAlign w:val="bottom"/>
            <w:tcBorders>
              <w:bottom w:val="single" w:sz="8" w:color="231F20"/>
            </w:tcBorders>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1000" w:type="dxa"/>
            <w:vAlign w:val="bottom"/>
            <w:tcBorders>
              <w:bottom w:val="single" w:sz="8" w:color="231F20"/>
            </w:tcBorders>
          </w:tcPr>
          <w:p>
            <w:pPr>
              <w:jc w:val="right"/>
              <w:ind w:right="308"/>
              <w:spacing w:after="0"/>
              <w:rPr>
                <w:sz w:val="20"/>
                <w:szCs w:val="20"/>
                <w:color w:val="auto"/>
              </w:rPr>
            </w:pPr>
            <w:r>
              <w:rPr>
                <w:rFonts w:ascii="Times New Roman" w:cs="Times New Roman" w:eastAsia="Times New Roman" w:hAnsi="Times New Roman"/>
                <w:sz w:val="17"/>
                <w:szCs w:val="17"/>
                <w:color w:val="231F20"/>
              </w:rPr>
              <w:t>Change</w:t>
            </w:r>
          </w:p>
        </w:tc>
        <w:tc>
          <w:tcPr>
            <w:tcW w:w="1040" w:type="dxa"/>
            <w:vAlign w:val="bottom"/>
            <w:tcBorders>
              <w:bottom w:val="single" w:sz="8" w:color="231F20"/>
            </w:tcBorders>
          </w:tcPr>
          <w:p>
            <w:pPr>
              <w:jc w:val="right"/>
              <w:ind w:right="189"/>
              <w:spacing w:after="0"/>
              <w:rPr>
                <w:sz w:val="20"/>
                <w:szCs w:val="20"/>
                <w:color w:val="auto"/>
              </w:rPr>
            </w:pPr>
            <w:r>
              <w:rPr>
                <w:rFonts w:ascii="Times New Roman" w:cs="Times New Roman" w:eastAsia="Times New Roman" w:hAnsi="Times New Roman"/>
                <w:sz w:val="17"/>
                <w:szCs w:val="17"/>
                <w:color w:val="231F20"/>
              </w:rPr>
              <w:t>Change</w:t>
            </w:r>
          </w:p>
        </w:tc>
      </w:tr>
      <w:tr>
        <w:trPr>
          <w:trHeight w:val="530"/>
        </w:trPr>
        <w:tc>
          <w:tcPr>
            <w:tcW w:w="490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Income tax expense</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b w:val="1"/>
                <w:bCs w:val="1"/>
                <w:color w:val="231F20"/>
              </w:rPr>
              <w:t>$</w:t>
            </w:r>
          </w:p>
        </w:tc>
        <w:tc>
          <w:tcPr>
            <w:tcW w:w="1060" w:type="dxa"/>
            <w:vAlign w:val="bottom"/>
          </w:tcPr>
          <w:p>
            <w:pPr>
              <w:jc w:val="right"/>
              <w:ind w:right="228"/>
              <w:spacing w:after="0"/>
              <w:rPr>
                <w:sz w:val="20"/>
                <w:szCs w:val="20"/>
                <w:color w:val="auto"/>
              </w:rPr>
            </w:pPr>
            <w:r>
              <w:rPr>
                <w:rFonts w:ascii="Times New Roman" w:cs="Times New Roman" w:eastAsia="Times New Roman" w:hAnsi="Times New Roman"/>
                <w:sz w:val="19"/>
                <w:szCs w:val="19"/>
                <w:b w:val="1"/>
                <w:bCs w:val="1"/>
                <w:color w:val="231F20"/>
              </w:rPr>
              <w:t>262.2</w:t>
            </w:r>
          </w:p>
        </w:tc>
        <w:tc>
          <w:tcPr>
            <w:tcW w:w="34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184.7</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9"/>
                <w:szCs w:val="19"/>
                <w:color w:val="231F20"/>
              </w:rPr>
              <w:t>77.6</w:t>
            </w:r>
          </w:p>
        </w:tc>
        <w:tc>
          <w:tcPr>
            <w:tcW w:w="1040" w:type="dxa"/>
            <w:vAlign w:val="bottom"/>
          </w:tcPr>
          <w:p>
            <w:pPr>
              <w:jc w:val="right"/>
              <w:ind w:right="189"/>
              <w:spacing w:after="0"/>
              <w:rPr>
                <w:sz w:val="20"/>
                <w:szCs w:val="20"/>
                <w:color w:val="auto"/>
              </w:rPr>
            </w:pPr>
            <w:r>
              <w:rPr>
                <w:rFonts w:ascii="Times New Roman" w:cs="Times New Roman" w:eastAsia="Times New Roman" w:hAnsi="Times New Roman"/>
                <w:sz w:val="19"/>
                <w:szCs w:val="19"/>
                <w:color w:val="231F20"/>
              </w:rPr>
              <w:t>42.0%</w:t>
            </w:r>
          </w:p>
        </w:tc>
      </w:tr>
      <w:tr>
        <w:trPr>
          <w:trHeight w:val="277"/>
        </w:trPr>
        <w:tc>
          <w:tcPr>
            <w:tcW w:w="490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Effective income tax rate</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25.0 %</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23.2</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166" w:lineRule="exact"/>
        <w:rPr>
          <w:sz w:val="20"/>
          <w:szCs w:val="20"/>
          <w:color w:val="auto"/>
        </w:rPr>
      </w:pPr>
    </w:p>
    <w:p>
      <w:pPr>
        <w:ind w:right="40" w:firstLine="349"/>
        <w:spacing w:after="0" w:line="265" w:lineRule="auto"/>
        <w:rPr>
          <w:sz w:val="20"/>
          <w:szCs w:val="20"/>
          <w:color w:val="auto"/>
        </w:rPr>
      </w:pPr>
      <w:r>
        <w:rPr>
          <w:rFonts w:ascii="Times New Roman" w:cs="Times New Roman" w:eastAsia="Times New Roman" w:hAnsi="Times New Roman"/>
          <w:sz w:val="19"/>
          <w:szCs w:val="19"/>
          <w:color w:val="231F20"/>
        </w:rPr>
        <w:t>The effective income tax rates from continuing operations for fiscal 2026 was 25.0% compared to 23.2% for fiscal 2025. The fiscal 2026 effective tax rate from continuing operations increased when compared to 2025, primarily due to changes in geographic mix of income and unfavorable discrete items, including withholding taxes. Additional information regarding our income tax expense and effective income tax rate is included in Note 10 to our consolidated financial statements titled, "Income Taxes."</w:t>
      </w:r>
    </w:p>
    <w:p>
      <w:pPr>
        <w:sectPr>
          <w:pgSz w:w="11880" w:h="15480" w:orient="portrait"/>
          <w:cols w:equalWidth="0" w:num="1">
            <w:col w:w="9960"/>
          </w:cols>
          <w:pgMar w:left="960" w:top="82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36</w:t>
      </w:r>
    </w:p>
    <w:p>
      <w:pPr>
        <w:sectPr>
          <w:pgSz w:w="11880" w:h="15480" w:orient="portrait"/>
          <w:cols w:equalWidth="0" w:num="1">
            <w:col w:w="9960"/>
          </w:cols>
          <w:pgMar w:left="960" w:top="825" w:right="960" w:bottom="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9"/>
          <w:szCs w:val="19"/>
          <w:b w:val="1"/>
          <w:bCs w:val="1"/>
          <w:i w:val="1"/>
          <w:iCs w:val="1"/>
          <w:color w:val="231F20"/>
        </w:rPr>
        <w:t>Business Segment Results of Operations.</w:t>
      </w:r>
    </w:p>
    <w:p>
      <w:pPr>
        <w:spacing w:after="0" w:line="148" w:lineRule="exact"/>
        <w:rPr>
          <w:sz w:val="20"/>
          <w:szCs w:val="20"/>
          <w:color w:val="auto"/>
        </w:rPr>
      </w:pPr>
    </w:p>
    <w:p>
      <w:pPr>
        <w:jc w:val="both"/>
        <w:ind w:right="40" w:firstLine="306"/>
        <w:spacing w:after="0" w:line="272" w:lineRule="auto"/>
        <w:rPr>
          <w:sz w:val="20"/>
          <w:szCs w:val="20"/>
          <w:color w:val="auto"/>
        </w:rPr>
      </w:pPr>
      <w:r>
        <w:rPr>
          <w:rFonts w:ascii="Times New Roman" w:cs="Times New Roman" w:eastAsia="Times New Roman" w:hAnsi="Times New Roman"/>
          <w:sz w:val="19"/>
          <w:szCs w:val="19"/>
          <w:color w:val="231F20"/>
        </w:rPr>
        <w:t>We operate and report our financial information in three reportable business segments: Healthcare, AST, and Life Sciences. Previously, we had four reportable business segments; however, as a result of the fiscal 2025 divestiture of our Dental segment, Dental is presented as discontinued operations. Historical information has been retrospectively adjusted to reflect these changes for comparability, as required.</w:t>
      </w:r>
    </w:p>
    <w:p>
      <w:pPr>
        <w:spacing w:after="0" w:line="67" w:lineRule="exact"/>
        <w:rPr>
          <w:sz w:val="20"/>
          <w:szCs w:val="20"/>
          <w:color w:val="auto"/>
        </w:rPr>
      </w:pPr>
    </w:p>
    <w:p>
      <w:pPr>
        <w:ind w:firstLine="306"/>
        <w:spacing w:after="0" w:line="263" w:lineRule="auto"/>
        <w:rPr>
          <w:sz w:val="20"/>
          <w:szCs w:val="20"/>
          <w:color w:val="auto"/>
        </w:rPr>
      </w:pPr>
      <w:r>
        <w:rPr>
          <w:rFonts w:ascii="Times New Roman" w:cs="Times New Roman" w:eastAsia="Times New Roman" w:hAnsi="Times New Roman"/>
          <w:sz w:val="19"/>
          <w:szCs w:val="19"/>
          <w:color w:val="231F20"/>
        </w:rPr>
        <w:t>Our Healthcare segment provides a comprehensive offering for healthcare providers worldwide, focused on sterile processing departments and procedural centers, such as operating rooms and endoscopy suites. Our products and services range from infection prevention consumables and capital equipment, as well as services to maintain that equipment; to the repair of re-usable procedural instruments; to outsourced instrument reprocessing services. In addition, our procedural products also include endoscopy accessories, instruments, and capital equipment infrastructure used primarily in operating rooms, ambulatory surgery centers, endoscopy suites, and other procedural areas.</w:t>
      </w:r>
    </w:p>
    <w:p>
      <w:pPr>
        <w:spacing w:after="0" w:line="77" w:lineRule="exact"/>
        <w:rPr>
          <w:sz w:val="20"/>
          <w:szCs w:val="20"/>
          <w:color w:val="auto"/>
        </w:rPr>
      </w:pPr>
    </w:p>
    <w:p>
      <w:pPr>
        <w:ind w:right="40" w:firstLine="306"/>
        <w:spacing w:after="0" w:line="274" w:lineRule="auto"/>
        <w:rPr>
          <w:sz w:val="20"/>
          <w:szCs w:val="20"/>
          <w:color w:val="auto"/>
        </w:rPr>
      </w:pPr>
      <w:r>
        <w:rPr>
          <w:rFonts w:ascii="Times New Roman" w:cs="Times New Roman" w:eastAsia="Times New Roman" w:hAnsi="Times New Roman"/>
          <w:sz w:val="19"/>
          <w:szCs w:val="19"/>
          <w:color w:val="231F20"/>
        </w:rPr>
        <w:t>Our AST segment supports medical device and pharmaceutical manufacturers through a global network of contract sterilization and laboratory testing facilities, and integrated sterilization equipment and control systems. Our technology-neutral offering supports Customers every step of the way, from testing through sterilization.</w:t>
      </w:r>
    </w:p>
    <w:p>
      <w:pPr>
        <w:spacing w:after="0" w:line="67" w:lineRule="exact"/>
        <w:rPr>
          <w:sz w:val="20"/>
          <w:szCs w:val="20"/>
          <w:color w:val="auto"/>
        </w:rPr>
      </w:pPr>
    </w:p>
    <w:p>
      <w:pPr>
        <w:ind w:right="500" w:firstLine="349"/>
        <w:spacing w:after="0" w:line="274" w:lineRule="auto"/>
        <w:rPr>
          <w:sz w:val="20"/>
          <w:szCs w:val="20"/>
          <w:color w:val="auto"/>
        </w:rPr>
      </w:pPr>
      <w:r>
        <w:rPr>
          <w:rFonts w:ascii="Times New Roman" w:cs="Times New Roman" w:eastAsia="Times New Roman" w:hAnsi="Times New Roman"/>
          <w:sz w:val="19"/>
          <w:szCs w:val="19"/>
          <w:color w:val="231F20"/>
        </w:rPr>
        <w:t>Our Life Sciences segment provides a comprehensive offering of products and services designed to support biopharmaceutical and medical device manufacturing facilities, in particular those focused on aseptic manufacturing. Our portfolio includes a full suite of capital equipment, consumable products, equipment maintenance and specialty services.</w:t>
      </w:r>
    </w:p>
    <w:p>
      <w:pPr>
        <w:spacing w:after="0" w:line="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We disclose a measure of segment income that is consistent with the way management operates and views the business.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The accounting policies for reportable segments are the same as those for the consolidated Company.</w:t>
      </w:r>
    </w:p>
    <w:p>
      <w:pPr>
        <w:spacing w:after="0" w:line="111" w:lineRule="exact"/>
        <w:rPr>
          <w:sz w:val="20"/>
          <w:szCs w:val="20"/>
          <w:color w:val="auto"/>
        </w:rPr>
      </w:pPr>
    </w:p>
    <w:p>
      <w:pPr>
        <w:ind w:right="600" w:firstLine="349"/>
        <w:spacing w:after="0" w:line="293" w:lineRule="auto"/>
        <w:rPr>
          <w:sz w:val="20"/>
          <w:szCs w:val="20"/>
          <w:color w:val="auto"/>
        </w:rPr>
      </w:pPr>
      <w:r>
        <w:rPr>
          <w:rFonts w:ascii="Times New Roman" w:cs="Times New Roman" w:eastAsia="Times New Roman" w:hAnsi="Times New Roman"/>
          <w:sz w:val="19"/>
          <w:szCs w:val="19"/>
          <w:color w:val="231F20"/>
        </w:rPr>
        <w:t>For more information regarding our segments please refer to Note 13 to our consolidated financial statements titled, "Business Segment Information," and Item 1, "Business."</w:t>
      </w:r>
    </w:p>
    <w:p>
      <w:pPr>
        <w:spacing w:after="0" w:line="49" w:lineRule="exact"/>
        <w:rPr>
          <w:sz w:val="20"/>
          <w:szCs w:val="20"/>
          <w:color w:val="auto"/>
        </w:rPr>
      </w:pPr>
    </w:p>
    <w:p>
      <w:pPr>
        <w:ind w:right="300" w:firstLine="349"/>
        <w:spacing w:after="0" w:line="293" w:lineRule="auto"/>
        <w:rPr>
          <w:sz w:val="20"/>
          <w:szCs w:val="20"/>
          <w:color w:val="auto"/>
        </w:rPr>
      </w:pPr>
      <w:r>
        <w:rPr>
          <w:rFonts w:ascii="Times New Roman" w:cs="Times New Roman" w:eastAsia="Times New Roman" w:hAnsi="Times New Roman"/>
          <w:sz w:val="19"/>
          <w:szCs w:val="19"/>
          <w:color w:val="231F20"/>
        </w:rPr>
        <w:t>The following table compares business segment revenues as well as impacts from acquisitions, divestitures, and foreign currency movements for the year ended March 31, 2026 to the year ended March 31, 2025.</w:t>
      </w:r>
    </w:p>
    <w:p>
      <w:pPr>
        <w:spacing w:after="0" w:line="63" w:lineRule="exact"/>
        <w:rPr>
          <w:sz w:val="20"/>
          <w:szCs w:val="20"/>
          <w:color w:val="auto"/>
        </w:rPr>
      </w:pPr>
    </w:p>
    <w:tbl>
      <w:tblPr>
        <w:tblLayout w:type="fixed"/>
        <w:tblInd w:w="180" w:type="dxa"/>
        <w:tblCellMar>
          <w:top w:w="0" w:type="dxa"/>
          <w:left w:w="0" w:type="dxa"/>
          <w:bottom w:w="0" w:type="dxa"/>
          <w:right w:w="0" w:type="dxa"/>
        </w:tblCellMar>
      </w:tblPr>
      <w:tr>
        <w:trPr>
          <w:trHeight w:val="210"/>
        </w:trPr>
        <w:tc>
          <w:tcPr>
            <w:tcW w:w="2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680" w:type="dxa"/>
            <w:vAlign w:val="bottom"/>
            <w:tcBorders>
              <w:bottom w:val="single" w:sz="8" w:color="231F20"/>
            </w:tcBorders>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66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800" w:type="dxa"/>
            <w:vAlign w:val="bottom"/>
            <w:tcBorders>
              <w:bottom w:val="single" w:sz="8" w:color="231F20"/>
            </w:tcBorders>
          </w:tcPr>
          <w:p>
            <w:pPr>
              <w:spacing w:after="0"/>
              <w:rPr>
                <w:sz w:val="18"/>
                <w:szCs w:val="18"/>
                <w:color w:val="auto"/>
              </w:rPr>
            </w:pPr>
          </w:p>
        </w:tc>
        <w:tc>
          <w:tcPr>
            <w:tcW w:w="1980" w:type="dxa"/>
            <w:vAlign w:val="bottom"/>
            <w:tcBorders>
              <w:bottom w:val="single" w:sz="8" w:color="231F20"/>
            </w:tcBorders>
            <w:gridSpan w:val="6"/>
          </w:tcPr>
          <w:p>
            <w:pPr>
              <w:jc w:val="right"/>
              <w:ind w:right="322"/>
              <w:spacing w:after="0"/>
              <w:rPr>
                <w:sz w:val="20"/>
                <w:szCs w:val="20"/>
                <w:color w:val="auto"/>
              </w:rPr>
            </w:pPr>
            <w:r>
              <w:rPr>
                <w:rFonts w:ascii="Times New Roman" w:cs="Times New Roman" w:eastAsia="Times New Roman" w:hAnsi="Times New Roman"/>
                <w:sz w:val="16"/>
                <w:szCs w:val="16"/>
                <w:b w:val="1"/>
                <w:bCs w:val="1"/>
                <w:color w:val="231F20"/>
                <w:w w:val="98"/>
              </w:rPr>
              <w:t>Years ended March 31,</w:t>
            </w:r>
          </w:p>
        </w:tc>
        <w:tc>
          <w:tcPr>
            <w:tcW w:w="80" w:type="dxa"/>
            <w:vAlign w:val="bottom"/>
            <w:tcBorders>
              <w:bottom w:val="single" w:sz="8" w:color="231F20"/>
            </w:tcBorders>
          </w:tcPr>
          <w:p>
            <w:pPr>
              <w:spacing w:after="0"/>
              <w:rPr>
                <w:sz w:val="18"/>
                <w:szCs w:val="18"/>
                <w:color w:val="auto"/>
              </w:rPr>
            </w:pPr>
          </w:p>
        </w:tc>
        <w:tc>
          <w:tcPr>
            <w:tcW w:w="74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74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76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231F20"/>
                <w:w w:val="96"/>
              </w:rPr>
              <w:t>Impact of</w:t>
            </w:r>
          </w:p>
        </w:tc>
        <w:tc>
          <w:tcPr>
            <w:tcW w:w="80" w:type="dxa"/>
            <w:vAlign w:val="bottom"/>
          </w:tcPr>
          <w:p>
            <w:pPr>
              <w:spacing w:after="0"/>
              <w:rPr>
                <w:sz w:val="24"/>
                <w:szCs w:val="24"/>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U.S.</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6"/>
              </w:rPr>
              <w:t>Constant</w:t>
            </w:r>
          </w:p>
        </w:tc>
        <w:tc>
          <w:tcPr>
            <w:tcW w:w="0" w:type="dxa"/>
            <w:vAlign w:val="bottom"/>
          </w:tcPr>
          <w:p>
            <w:pPr>
              <w:spacing w:after="0"/>
              <w:rPr>
                <w:sz w:val="1"/>
                <w:szCs w:val="1"/>
                <w:color w:val="auto"/>
              </w:rPr>
            </w:pPr>
          </w:p>
        </w:tc>
      </w:tr>
      <w:tr>
        <w:trPr>
          <w:trHeight w:val="155"/>
        </w:trPr>
        <w:tc>
          <w:tcPr>
            <w:tcW w:w="2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b w:val="1"/>
                <w:bCs w:val="1"/>
                <w:color w:val="231F20"/>
                <w:w w:val="96"/>
              </w:rPr>
              <w:t>Impact of</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b w:val="1"/>
                <w:bCs w:val="1"/>
                <w:color w:val="231F20"/>
                <w:w w:val="96"/>
              </w:rPr>
              <w:t>Impact of</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62"/>
              <w:spacing w:after="0" w:line="155" w:lineRule="exact"/>
              <w:rPr>
                <w:sz w:val="20"/>
                <w:szCs w:val="20"/>
                <w:color w:val="auto"/>
              </w:rPr>
            </w:pPr>
            <w:r>
              <w:rPr>
                <w:rFonts w:ascii="Times New Roman" w:cs="Times New Roman" w:eastAsia="Times New Roman" w:hAnsi="Times New Roman"/>
                <w:sz w:val="16"/>
                <w:szCs w:val="16"/>
                <w:b w:val="1"/>
                <w:bCs w:val="1"/>
                <w:color w:val="231F20"/>
                <w:w w:val="97"/>
              </w:rPr>
              <w:t>Foreign</w:t>
            </w:r>
          </w:p>
        </w:tc>
        <w:tc>
          <w:tcPr>
            <w:tcW w:w="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b w:val="1"/>
                <w:bCs w:val="1"/>
                <w:color w:val="231F20"/>
              </w:rPr>
              <w:t>Organic</w:t>
            </w:r>
          </w:p>
        </w:tc>
        <w:tc>
          <w:tcPr>
            <w:tcW w:w="60" w:type="dxa"/>
            <w:vAlign w:val="bottom"/>
          </w:tcPr>
          <w:p>
            <w:pPr>
              <w:spacing w:after="0"/>
              <w:rPr>
                <w:sz w:val="13"/>
                <w:szCs w:val="13"/>
                <w:color w:val="auto"/>
              </w:rPr>
            </w:pPr>
          </w:p>
        </w:tc>
        <w:tc>
          <w:tcPr>
            <w:tcW w:w="7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231F20"/>
                <w:w w:val="97"/>
              </w:rPr>
              <w:t>Currency</w:t>
            </w:r>
          </w:p>
        </w:tc>
        <w:tc>
          <w:tcPr>
            <w:tcW w:w="0" w:type="dxa"/>
            <w:vAlign w:val="bottom"/>
          </w:tcPr>
          <w:p>
            <w:pPr>
              <w:spacing w:after="0"/>
              <w:rPr>
                <w:sz w:val="1"/>
                <w:szCs w:val="1"/>
                <w:color w:val="auto"/>
              </w:rPr>
            </w:pPr>
          </w:p>
        </w:tc>
      </w:tr>
      <w:tr>
        <w:trPr>
          <w:trHeight w:val="155"/>
        </w:trPr>
        <w:tc>
          <w:tcPr>
            <w:tcW w:w="2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20" w:type="dxa"/>
            <w:vAlign w:val="bottom"/>
            <w:gridSpan w:val="4"/>
            <w:vMerge w:val="restart"/>
          </w:tcPr>
          <w:p>
            <w:pPr>
              <w:jc w:val="right"/>
              <w:ind w:right="22"/>
              <w:spacing w:after="0"/>
              <w:rPr>
                <w:sz w:val="20"/>
                <w:szCs w:val="20"/>
                <w:color w:val="auto"/>
              </w:rPr>
            </w:pPr>
            <w:r>
              <w:rPr>
                <w:rFonts w:ascii="Times New Roman" w:cs="Times New Roman" w:eastAsia="Times New Roman" w:hAnsi="Times New Roman"/>
                <w:sz w:val="16"/>
                <w:szCs w:val="16"/>
                <w:b w:val="1"/>
                <w:bCs w:val="1"/>
                <w:color w:val="231F20"/>
              </w:rPr>
              <w:t>As reported, U.S. GAAP</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62"/>
              <w:spacing w:after="0" w:line="155" w:lineRule="exact"/>
              <w:rPr>
                <w:sz w:val="20"/>
                <w:szCs w:val="20"/>
                <w:color w:val="auto"/>
              </w:rPr>
            </w:pPr>
            <w:r>
              <w:rPr>
                <w:rFonts w:ascii="Times New Roman" w:cs="Times New Roman" w:eastAsia="Times New Roman" w:hAnsi="Times New Roman"/>
                <w:sz w:val="16"/>
                <w:szCs w:val="16"/>
                <w:b w:val="1"/>
                <w:bCs w:val="1"/>
                <w:color w:val="231F20"/>
                <w:w w:val="97"/>
              </w:rPr>
              <w:t>Currency</w:t>
            </w:r>
          </w:p>
        </w:tc>
        <w:tc>
          <w:tcPr>
            <w:tcW w:w="80" w:type="dxa"/>
            <w:vAlign w:val="bottom"/>
          </w:tcPr>
          <w:p>
            <w:pPr>
              <w:spacing w:after="0"/>
              <w:rPr>
                <w:sz w:val="13"/>
                <w:szCs w:val="13"/>
                <w:color w:val="auto"/>
              </w:rPr>
            </w:pPr>
          </w:p>
        </w:tc>
        <w:tc>
          <w:tcPr>
            <w:tcW w:w="7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231F20"/>
                <w:w w:val="96"/>
              </w:rPr>
              <w:t>GAAP</w:t>
            </w:r>
          </w:p>
        </w:tc>
        <w:tc>
          <w:tcPr>
            <w:tcW w:w="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231F20"/>
                <w:w w:val="96"/>
              </w:rPr>
              <w:t>Organic</w:t>
            </w:r>
          </w:p>
        </w:tc>
        <w:tc>
          <w:tcPr>
            <w:tcW w:w="0" w:type="dxa"/>
            <w:vAlign w:val="bottom"/>
          </w:tcPr>
          <w:p>
            <w:pPr>
              <w:spacing w:after="0"/>
              <w:rPr>
                <w:sz w:val="1"/>
                <w:szCs w:val="1"/>
                <w:color w:val="auto"/>
              </w:rPr>
            </w:pPr>
          </w:p>
        </w:tc>
      </w:tr>
      <w:tr>
        <w:trPr>
          <w:trHeight w:val="207"/>
        </w:trPr>
        <w:tc>
          <w:tcPr>
            <w:tcW w:w="2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20" w:type="dxa"/>
            <w:vAlign w:val="bottom"/>
            <w:tcBorders>
              <w:bottom w:val="single" w:sz="8" w:color="231F20"/>
            </w:tcBorders>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231F20"/>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231F20"/>
              </w:rPr>
              <w:t>Acquisitions</w:t>
            </w:r>
          </w:p>
        </w:tc>
        <w:tc>
          <w:tcPr>
            <w:tcW w:w="80" w:type="dxa"/>
            <w:vAlign w:val="bottom"/>
          </w:tcPr>
          <w:p>
            <w:pPr>
              <w:spacing w:after="0"/>
              <w:rPr>
                <w:sz w:val="18"/>
                <w:szCs w:val="18"/>
                <w:color w:val="auto"/>
              </w:rPr>
            </w:pPr>
          </w:p>
        </w:tc>
        <w:tc>
          <w:tcPr>
            <w:tcW w:w="92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Divestitures</w:t>
            </w:r>
          </w:p>
        </w:tc>
        <w:tc>
          <w:tcPr>
            <w:tcW w:w="60" w:type="dxa"/>
            <w:vAlign w:val="bottom"/>
          </w:tcPr>
          <w:p>
            <w:pPr>
              <w:spacing w:after="0"/>
              <w:rPr>
                <w:sz w:val="18"/>
                <w:szCs w:val="18"/>
                <w:color w:val="auto"/>
              </w:rPr>
            </w:pPr>
          </w:p>
        </w:tc>
        <w:tc>
          <w:tcPr>
            <w:tcW w:w="920" w:type="dxa"/>
            <w:vAlign w:val="bottom"/>
            <w:tcBorders>
              <w:bottom w:val="single" w:sz="8" w:color="231F20"/>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6"/>
              </w:rPr>
              <w:t>Movements</w:t>
            </w:r>
          </w:p>
        </w:tc>
        <w:tc>
          <w:tcPr>
            <w:tcW w:w="80" w:type="dxa"/>
            <w:vAlign w:val="bottom"/>
          </w:tcPr>
          <w:p>
            <w:pPr>
              <w:spacing w:after="0"/>
              <w:rPr>
                <w:sz w:val="18"/>
                <w:szCs w:val="18"/>
                <w:color w:val="auto"/>
              </w:rPr>
            </w:pPr>
          </w:p>
        </w:tc>
        <w:tc>
          <w:tcPr>
            <w:tcW w:w="7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Growth</w:t>
            </w:r>
          </w:p>
        </w:tc>
        <w:tc>
          <w:tcPr>
            <w:tcW w:w="80" w:type="dxa"/>
            <w:vAlign w:val="bottom"/>
          </w:tcPr>
          <w:p>
            <w:pPr>
              <w:spacing w:after="0"/>
              <w:rPr>
                <w:sz w:val="18"/>
                <w:szCs w:val="18"/>
                <w:color w:val="auto"/>
              </w:rPr>
            </w:pPr>
          </w:p>
        </w:tc>
        <w:tc>
          <w:tcPr>
            <w:tcW w:w="740" w:type="dxa"/>
            <w:vAlign w:val="bottom"/>
            <w:tcBorders>
              <w:bottom w:val="single" w:sz="8" w:color="231F20"/>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231F20"/>
              </w:rPr>
              <w:t>Growth</w:t>
            </w:r>
          </w:p>
        </w:tc>
        <w:tc>
          <w:tcPr>
            <w:tcW w:w="60" w:type="dxa"/>
            <w:vAlign w:val="bottom"/>
          </w:tcPr>
          <w:p>
            <w:pPr>
              <w:spacing w:after="0"/>
              <w:rPr>
                <w:sz w:val="18"/>
                <w:szCs w:val="18"/>
                <w:color w:val="auto"/>
              </w:rPr>
            </w:pPr>
          </w:p>
        </w:tc>
        <w:tc>
          <w:tcPr>
            <w:tcW w:w="7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Growth</w:t>
            </w:r>
          </w:p>
        </w:tc>
        <w:tc>
          <w:tcPr>
            <w:tcW w:w="0" w:type="dxa"/>
            <w:vAlign w:val="bottom"/>
          </w:tcPr>
          <w:p>
            <w:pPr>
              <w:spacing w:after="0"/>
              <w:rPr>
                <w:sz w:val="1"/>
                <w:szCs w:val="1"/>
                <w:color w:val="auto"/>
              </w:rPr>
            </w:pPr>
          </w:p>
        </w:tc>
      </w:tr>
      <w:tr>
        <w:trPr>
          <w:trHeight w:val="227"/>
        </w:trPr>
        <w:tc>
          <w:tcPr>
            <w:tcW w:w="2260" w:type="dxa"/>
            <w:vAlign w:val="bottom"/>
            <w:tcBorders>
              <w:bottom w:val="single" w:sz="8" w:color="231F20"/>
            </w:tcBorders>
          </w:tcPr>
          <w:p>
            <w:pPr>
              <w:ind w:left="40"/>
              <w:spacing w:after="0"/>
              <w:rPr>
                <w:sz w:val="20"/>
                <w:szCs w:val="20"/>
                <w:color w:val="auto"/>
              </w:rPr>
            </w:pPr>
            <w:r>
              <w:rPr>
                <w:rFonts w:ascii="Times New Roman" w:cs="Times New Roman" w:eastAsia="Times New Roman" w:hAnsi="Times New Roman"/>
                <w:sz w:val="16"/>
                <w:szCs w:val="16"/>
                <w:color w:val="231F20"/>
              </w:rPr>
              <w:t>(dollars in millions)</w:t>
            </w:r>
          </w:p>
        </w:tc>
        <w:tc>
          <w:tcPr>
            <w:tcW w:w="60" w:type="dxa"/>
            <w:vAlign w:val="bottom"/>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680" w:type="dxa"/>
            <w:vAlign w:val="bottom"/>
            <w:tcBorders>
              <w:bottom w:val="single" w:sz="8" w:color="231F20"/>
            </w:tcBorders>
          </w:tcPr>
          <w:p>
            <w:pPr>
              <w:jc w:val="right"/>
              <w:ind w:right="222"/>
              <w:spacing w:after="0"/>
              <w:rPr>
                <w:sz w:val="20"/>
                <w:szCs w:val="20"/>
                <w:color w:val="auto"/>
              </w:rPr>
            </w:pPr>
            <w:r>
              <w:rPr>
                <w:rFonts w:ascii="Times New Roman" w:cs="Times New Roman" w:eastAsia="Times New Roman" w:hAnsi="Times New Roman"/>
                <w:sz w:val="16"/>
                <w:szCs w:val="16"/>
                <w:color w:val="231F20"/>
              </w:rPr>
              <w:t>2026</w:t>
            </w:r>
          </w:p>
        </w:tc>
        <w:tc>
          <w:tcPr>
            <w:tcW w:w="260" w:type="dxa"/>
            <w:vAlign w:val="bottom"/>
            <w:tcBorders>
              <w:bottom w:val="single" w:sz="8" w:color="231F20"/>
            </w:tcBorders>
          </w:tcPr>
          <w:p>
            <w:pPr>
              <w:spacing w:after="0"/>
              <w:rPr>
                <w:sz w:val="19"/>
                <w:szCs w:val="19"/>
                <w:color w:val="auto"/>
              </w:rPr>
            </w:pPr>
          </w:p>
        </w:tc>
        <w:tc>
          <w:tcPr>
            <w:tcW w:w="660" w:type="dxa"/>
            <w:vAlign w:val="bottom"/>
            <w:tcBorders>
              <w:bottom w:val="single" w:sz="8" w:color="231F20"/>
            </w:tcBorders>
          </w:tcPr>
          <w:p>
            <w:pPr>
              <w:jc w:val="right"/>
              <w:ind w:right="202"/>
              <w:spacing w:after="0"/>
              <w:rPr>
                <w:sz w:val="20"/>
                <w:szCs w:val="20"/>
                <w:color w:val="auto"/>
              </w:rPr>
            </w:pPr>
            <w:r>
              <w:rPr>
                <w:rFonts w:ascii="Times New Roman" w:cs="Times New Roman" w:eastAsia="Times New Roman" w:hAnsi="Times New Roman"/>
                <w:sz w:val="16"/>
                <w:szCs w:val="16"/>
                <w:color w:val="231F20"/>
              </w:rPr>
              <w:t>2025</w:t>
            </w:r>
          </w:p>
        </w:tc>
        <w:tc>
          <w:tcPr>
            <w:tcW w:w="80" w:type="dxa"/>
            <w:vAlign w:val="bottom"/>
            <w:tcBorders>
              <w:bottom w:val="single" w:sz="8" w:color="231F20"/>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800" w:type="dxa"/>
            <w:vAlign w:val="bottom"/>
            <w:tcBorders>
              <w:bottom w:val="single" w:sz="8" w:color="231F20"/>
            </w:tcBorders>
          </w:tcPr>
          <w:p>
            <w:pPr>
              <w:jc w:val="right"/>
              <w:ind w:right="242"/>
              <w:spacing w:after="0"/>
              <w:rPr>
                <w:sz w:val="20"/>
                <w:szCs w:val="20"/>
                <w:color w:val="auto"/>
              </w:rPr>
            </w:pPr>
            <w:r>
              <w:rPr>
                <w:rFonts w:ascii="Times New Roman" w:cs="Times New Roman" w:eastAsia="Times New Roman" w:hAnsi="Times New Roman"/>
                <w:sz w:val="16"/>
                <w:szCs w:val="16"/>
                <w:color w:val="231F20"/>
              </w:rPr>
              <w:t>2026</w:t>
            </w:r>
          </w:p>
        </w:tc>
        <w:tc>
          <w:tcPr>
            <w:tcW w:w="80" w:type="dxa"/>
            <w:vAlign w:val="bottom"/>
            <w:tcBorders>
              <w:bottom w:val="single" w:sz="8" w:color="231F20"/>
            </w:tcBorders>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800" w:type="dxa"/>
            <w:vAlign w:val="bottom"/>
            <w:tcBorders>
              <w:bottom w:val="single" w:sz="8" w:color="231F20"/>
            </w:tcBorders>
          </w:tcPr>
          <w:p>
            <w:pPr>
              <w:jc w:val="right"/>
              <w:ind w:right="222"/>
              <w:spacing w:after="0"/>
              <w:rPr>
                <w:sz w:val="20"/>
                <w:szCs w:val="20"/>
                <w:color w:val="auto"/>
              </w:rPr>
            </w:pPr>
            <w:r>
              <w:rPr>
                <w:rFonts w:ascii="Times New Roman" w:cs="Times New Roman" w:eastAsia="Times New Roman" w:hAnsi="Times New Roman"/>
                <w:sz w:val="16"/>
                <w:szCs w:val="16"/>
                <w:color w:val="231F20"/>
              </w:rPr>
              <w:t>2025</w:t>
            </w:r>
          </w:p>
        </w:tc>
        <w:tc>
          <w:tcPr>
            <w:tcW w:w="60" w:type="dxa"/>
            <w:vAlign w:val="bottom"/>
            <w:tcBorders>
              <w:bottom w:val="single" w:sz="8" w:color="231F20"/>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780" w:type="dxa"/>
            <w:vAlign w:val="bottom"/>
            <w:tcBorders>
              <w:bottom w:val="single" w:sz="8" w:color="231F20"/>
            </w:tcBorders>
          </w:tcPr>
          <w:p>
            <w:pPr>
              <w:jc w:val="center"/>
              <w:ind w:right="62"/>
              <w:spacing w:after="0"/>
              <w:rPr>
                <w:sz w:val="20"/>
                <w:szCs w:val="20"/>
                <w:color w:val="auto"/>
              </w:rPr>
            </w:pPr>
            <w:r>
              <w:rPr>
                <w:rFonts w:ascii="Times New Roman" w:cs="Times New Roman" w:eastAsia="Times New Roman" w:hAnsi="Times New Roman"/>
                <w:sz w:val="16"/>
                <w:szCs w:val="16"/>
                <w:color w:val="231F20"/>
                <w:w w:val="99"/>
              </w:rPr>
              <w:t>2026</w:t>
            </w:r>
          </w:p>
        </w:tc>
        <w:tc>
          <w:tcPr>
            <w:tcW w:w="820" w:type="dxa"/>
            <w:vAlign w:val="bottom"/>
            <w:tcBorders>
              <w:bottom w:val="single" w:sz="8" w:color="231F20"/>
            </w:tcBorders>
            <w:gridSpan w:val="2"/>
          </w:tcPr>
          <w:p>
            <w:pPr>
              <w:jc w:val="center"/>
              <w:ind w:left="2"/>
              <w:spacing w:after="0"/>
              <w:rPr>
                <w:sz w:val="20"/>
                <w:szCs w:val="20"/>
                <w:color w:val="auto"/>
              </w:rPr>
            </w:pPr>
            <w:r>
              <w:rPr>
                <w:rFonts w:ascii="Times New Roman" w:cs="Times New Roman" w:eastAsia="Times New Roman" w:hAnsi="Times New Roman"/>
                <w:sz w:val="16"/>
                <w:szCs w:val="16"/>
                <w:color w:val="231F20"/>
                <w:w w:val="93"/>
              </w:rPr>
              <w:t>2026</w:t>
            </w:r>
          </w:p>
        </w:tc>
        <w:tc>
          <w:tcPr>
            <w:tcW w:w="820" w:type="dxa"/>
            <w:vAlign w:val="bottom"/>
            <w:tcBorders>
              <w:bottom w:val="single" w:sz="8" w:color="231F20"/>
            </w:tcBorders>
            <w:gridSpan w:val="2"/>
          </w:tcPr>
          <w:p>
            <w:pPr>
              <w:jc w:val="right"/>
              <w:ind w:right="142"/>
              <w:spacing w:after="0"/>
              <w:rPr>
                <w:sz w:val="20"/>
                <w:szCs w:val="20"/>
                <w:color w:val="auto"/>
              </w:rPr>
            </w:pPr>
            <w:r>
              <w:rPr>
                <w:rFonts w:ascii="Times New Roman" w:cs="Times New Roman" w:eastAsia="Times New Roman" w:hAnsi="Times New Roman"/>
                <w:sz w:val="16"/>
                <w:szCs w:val="16"/>
                <w:color w:val="231F20"/>
              </w:rPr>
              <w:t>2026</w:t>
            </w:r>
          </w:p>
        </w:tc>
        <w:tc>
          <w:tcPr>
            <w:tcW w:w="820" w:type="dxa"/>
            <w:vAlign w:val="bottom"/>
            <w:tcBorders>
              <w:bottom w:val="single" w:sz="8" w:color="231F20"/>
            </w:tcBorders>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2026</w:t>
            </w:r>
          </w:p>
        </w:tc>
        <w:tc>
          <w:tcPr>
            <w:tcW w:w="0" w:type="dxa"/>
            <w:vAlign w:val="bottom"/>
          </w:tcPr>
          <w:p>
            <w:pPr>
              <w:spacing w:after="0"/>
              <w:rPr>
                <w:sz w:val="1"/>
                <w:szCs w:val="1"/>
                <w:color w:val="auto"/>
              </w:rPr>
            </w:pPr>
          </w:p>
        </w:tc>
      </w:tr>
      <w:tr>
        <w:trPr>
          <w:trHeight w:val="250"/>
        </w:trPr>
        <w:tc>
          <w:tcPr>
            <w:tcW w:w="23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231F20"/>
              </w:rPr>
              <w:t>Segment revenues:</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231F20"/>
              </w:rPr>
              <w:t>Healthcare</w:t>
            </w:r>
          </w:p>
        </w:tc>
        <w:tc>
          <w:tcPr>
            <w:tcW w:w="22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w:t>
            </w: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4,208.6</w:t>
            </w:r>
          </w:p>
        </w:tc>
        <w:tc>
          <w:tcPr>
            <w:tcW w:w="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3,878.7</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231F20"/>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2.4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33.5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8.5 %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8.4 %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7.6 %</w:t>
            </w:r>
          </w:p>
        </w:tc>
        <w:tc>
          <w:tcPr>
            <w:tcW w:w="0" w:type="dxa"/>
            <w:vAlign w:val="bottom"/>
          </w:tcPr>
          <w:p>
            <w:pPr>
              <w:spacing w:after="0"/>
              <w:rPr>
                <w:sz w:val="1"/>
                <w:szCs w:val="1"/>
                <w:color w:val="auto"/>
              </w:rPr>
            </w:pPr>
          </w:p>
        </w:tc>
      </w:tr>
      <w:tr>
        <w:trPr>
          <w:trHeight w:val="277"/>
        </w:trPr>
        <w:tc>
          <w:tcPr>
            <w:tcW w:w="2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231F20"/>
              </w:rPr>
              <w:t>AST</w:t>
            </w:r>
          </w:p>
        </w:tc>
        <w:tc>
          <w:tcPr>
            <w:tcW w:w="220" w:type="dxa"/>
            <w:vAlign w:val="bottom"/>
          </w:tcPr>
          <w:p>
            <w:pPr>
              <w:spacing w:after="0"/>
              <w:rPr>
                <w:sz w:val="24"/>
                <w:szCs w:val="24"/>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1,138.5</w:t>
            </w: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1,038.6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30.8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9.6 %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9.6 %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6.7 %</w:t>
            </w:r>
          </w:p>
        </w:tc>
        <w:tc>
          <w:tcPr>
            <w:tcW w:w="0" w:type="dxa"/>
            <w:vAlign w:val="bottom"/>
          </w:tcPr>
          <w:p>
            <w:pPr>
              <w:spacing w:after="0"/>
              <w:rPr>
                <w:sz w:val="1"/>
                <w:szCs w:val="1"/>
                <w:color w:val="auto"/>
              </w:rPr>
            </w:pPr>
          </w:p>
        </w:tc>
      </w:tr>
      <w:tr>
        <w:trPr>
          <w:trHeight w:val="239"/>
        </w:trPr>
        <w:tc>
          <w:tcPr>
            <w:tcW w:w="2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231F20"/>
              </w:rPr>
              <w:t>Life Sciences</w:t>
            </w:r>
          </w:p>
        </w:tc>
        <w:tc>
          <w:tcPr>
            <w:tcW w:w="220" w:type="dxa"/>
            <w:vAlign w:val="bottom"/>
            <w:tcBorders>
              <w:bottom w:val="single" w:sz="8" w:color="231F20"/>
            </w:tcBorders>
          </w:tcPr>
          <w:p>
            <w:pPr>
              <w:spacing w:after="0"/>
              <w:rPr>
                <w:sz w:val="20"/>
                <w:szCs w:val="20"/>
                <w:color w:val="auto"/>
              </w:rPr>
            </w:pPr>
          </w:p>
        </w:tc>
        <w:tc>
          <w:tcPr>
            <w:tcW w:w="68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588.8</w:t>
            </w:r>
          </w:p>
        </w:tc>
        <w:tc>
          <w:tcPr>
            <w:tcW w:w="260" w:type="dxa"/>
            <w:vAlign w:val="bottom"/>
            <w:tcBorders>
              <w:bottom w:val="single" w:sz="8" w:color="231F20"/>
            </w:tcBorders>
          </w:tcPr>
          <w:p>
            <w:pPr>
              <w:spacing w:after="0"/>
              <w:rPr>
                <w:sz w:val="20"/>
                <w:szCs w:val="20"/>
                <w:color w:val="auto"/>
              </w:rPr>
            </w:pP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542.3</w:t>
            </w:r>
          </w:p>
        </w:tc>
        <w:tc>
          <w:tcPr>
            <w:tcW w:w="80" w:type="dxa"/>
            <w:vAlign w:val="bottom"/>
            <w:tcBorders>
              <w:bottom w:val="single" w:sz="8" w:color="231F20"/>
            </w:tcBorders>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c>
          <w:tcPr>
            <w:tcW w:w="80" w:type="dxa"/>
            <w:vAlign w:val="bottom"/>
            <w:tcBorders>
              <w:bottom w:val="single" w:sz="8" w:color="231F20"/>
            </w:tcBorders>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80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60" w:type="dxa"/>
            <w:vAlign w:val="bottom"/>
            <w:tcBorders>
              <w:bottom w:val="single" w:sz="8" w:color="231F20"/>
            </w:tcBorders>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10.1</w:t>
            </w:r>
          </w:p>
        </w:tc>
        <w:tc>
          <w:tcPr>
            <w:tcW w:w="82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6"/>
                <w:szCs w:val="16"/>
                <w:color w:val="231F20"/>
              </w:rPr>
              <w:t>8.6 %</w:t>
            </w:r>
          </w:p>
        </w:tc>
        <w:tc>
          <w:tcPr>
            <w:tcW w:w="82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8.6 %</w:t>
            </w:r>
          </w:p>
        </w:tc>
        <w:tc>
          <w:tcPr>
            <w:tcW w:w="82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6"/>
                <w:szCs w:val="16"/>
                <w:color w:val="231F20"/>
              </w:rPr>
              <w:t>6.7 %</w:t>
            </w:r>
          </w:p>
        </w:tc>
        <w:tc>
          <w:tcPr>
            <w:tcW w:w="0" w:type="dxa"/>
            <w:vAlign w:val="bottom"/>
          </w:tcPr>
          <w:p>
            <w:pPr>
              <w:spacing w:after="0"/>
              <w:rPr>
                <w:sz w:val="1"/>
                <w:szCs w:val="1"/>
                <w:color w:val="auto"/>
              </w:rPr>
            </w:pPr>
          </w:p>
        </w:tc>
      </w:tr>
      <w:tr>
        <w:trPr>
          <w:trHeight w:val="194"/>
        </w:trPr>
        <w:tc>
          <w:tcPr>
            <w:tcW w:w="23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22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w:t>
            </w:r>
          </w:p>
        </w:tc>
        <w:tc>
          <w:tcPr>
            <w:tcW w:w="68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5,935.9</w:t>
            </w:r>
          </w:p>
        </w:tc>
        <w:tc>
          <w:tcPr>
            <w:tcW w:w="26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5,459.5</w:t>
            </w:r>
          </w:p>
        </w:tc>
        <w:tc>
          <w:tcPr>
            <w:tcW w:w="220" w:type="dxa"/>
            <w:vAlign w:val="bottom"/>
            <w:tcBorders>
              <w:bottom w:val="single" w:sz="8" w:color="231F20"/>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231F20"/>
                <w:w w:val="99"/>
              </w:rPr>
              <w:t>$</w:t>
            </w: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2.4</w:t>
            </w:r>
          </w:p>
        </w:tc>
        <w:tc>
          <w:tcPr>
            <w:tcW w:w="20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74.4</w:t>
            </w:r>
          </w:p>
        </w:tc>
        <w:tc>
          <w:tcPr>
            <w:tcW w:w="82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6"/>
                <w:szCs w:val="16"/>
                <w:color w:val="231F20"/>
              </w:rPr>
              <w:t>8.7 %</w:t>
            </w:r>
          </w:p>
        </w:tc>
        <w:tc>
          <w:tcPr>
            <w:tcW w:w="82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8.7 %</w:t>
            </w:r>
          </w:p>
        </w:tc>
        <w:tc>
          <w:tcPr>
            <w:tcW w:w="82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6"/>
                <w:szCs w:val="16"/>
                <w:color w:val="231F20"/>
              </w:rPr>
              <w:t>7.3 %</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ind w:right="100" w:firstLine="349"/>
        <w:spacing w:after="0" w:line="268" w:lineRule="auto"/>
        <w:rPr>
          <w:sz w:val="20"/>
          <w:szCs w:val="20"/>
          <w:color w:val="auto"/>
        </w:rPr>
      </w:pPr>
      <w:r>
        <w:rPr>
          <w:rFonts w:ascii="Times New Roman" w:cs="Times New Roman" w:eastAsia="Times New Roman" w:hAnsi="Times New Roman"/>
          <w:sz w:val="19"/>
          <w:szCs w:val="19"/>
          <w:color w:val="231F20"/>
        </w:rPr>
        <w:t>Organic revenue growth and constant currency organic revenue growth are non-GAAP financial measures of revenue performance. Organic revenue growth is calculated by removing the impact of acquisitions and divestitures for one year following the respective transaction from the GAAP revenue growth. Constant currency organic revenue growth is subject to a further adjustment to eliminate the impact of foreign currency movements.</w:t>
      </w:r>
    </w:p>
    <w:p>
      <w:pPr>
        <w:spacing w:after="0" w:line="72" w:lineRule="exact"/>
        <w:rPr>
          <w:sz w:val="20"/>
          <w:szCs w:val="20"/>
          <w:color w:val="auto"/>
        </w:rPr>
      </w:pPr>
    </w:p>
    <w:p>
      <w:pPr>
        <w:ind w:right="20" w:firstLine="349"/>
        <w:spacing w:after="0" w:line="268" w:lineRule="auto"/>
        <w:rPr>
          <w:sz w:val="20"/>
          <w:szCs w:val="20"/>
          <w:color w:val="auto"/>
        </w:rPr>
      </w:pPr>
      <w:r>
        <w:rPr>
          <w:rFonts w:ascii="Times New Roman" w:cs="Times New Roman" w:eastAsia="Times New Roman" w:hAnsi="Times New Roman"/>
          <w:sz w:val="19"/>
          <w:szCs w:val="19"/>
          <w:color w:val="231F20"/>
        </w:rPr>
        <w:t>Healthcare revenues increased 8.5% in fiscal 2026, as compared to fiscal 2025, reflecting growth across service, consumable, and capital revenues of 11.8%, 7.2%, and 5.7%, respectively. The constant currency organic growth of 7.6% is primarily due to increased volume, impacting revenues by a mid-single digit percentage, as well as increased pricing, impacting revenues by a low-single digit percentage.</w:t>
      </w:r>
    </w:p>
    <w:p>
      <w:pPr>
        <w:spacing w:after="0" w:line="72" w:lineRule="exact"/>
        <w:rPr>
          <w:sz w:val="20"/>
          <w:szCs w:val="20"/>
          <w:color w:val="auto"/>
        </w:rPr>
      </w:pPr>
    </w:p>
    <w:p>
      <w:pPr>
        <w:ind w:right="280" w:firstLine="349"/>
        <w:spacing w:after="0" w:line="293" w:lineRule="auto"/>
        <w:rPr>
          <w:sz w:val="20"/>
          <w:szCs w:val="20"/>
          <w:color w:val="auto"/>
        </w:rPr>
      </w:pPr>
      <w:r>
        <w:rPr>
          <w:rFonts w:ascii="Times New Roman" w:cs="Times New Roman" w:eastAsia="Times New Roman" w:hAnsi="Times New Roman"/>
          <w:sz w:val="19"/>
          <w:szCs w:val="19"/>
          <w:color w:val="231F20"/>
        </w:rPr>
        <w:t>The Healthcare segment’s backlog at March 31, 2026 amounted to $392.1 million. The Healthcare segment's backlog at March 31, 2025 was $369.2 million. The increase is due to the timing of shipments and the benefit of acquisitions.</w:t>
      </w:r>
    </w:p>
    <w:p>
      <w:pPr>
        <w:spacing w:after="0" w:line="49" w:lineRule="exact"/>
        <w:rPr>
          <w:sz w:val="20"/>
          <w:szCs w:val="20"/>
          <w:color w:val="auto"/>
        </w:rPr>
      </w:pPr>
    </w:p>
    <w:p>
      <w:pPr>
        <w:jc w:val="both"/>
        <w:ind w:right="20" w:firstLine="349"/>
        <w:spacing w:after="0" w:line="274" w:lineRule="auto"/>
        <w:rPr>
          <w:sz w:val="20"/>
          <w:szCs w:val="20"/>
          <w:color w:val="auto"/>
        </w:rPr>
      </w:pPr>
      <w:r>
        <w:rPr>
          <w:rFonts w:ascii="Times New Roman" w:cs="Times New Roman" w:eastAsia="Times New Roman" w:hAnsi="Times New Roman"/>
          <w:sz w:val="19"/>
          <w:szCs w:val="19"/>
          <w:color w:val="231F20"/>
        </w:rPr>
        <w:t>AST revenues increased 9.6% in fiscal 2026, as compared to fiscal 2025. The constant currency organic growth of 6.7% is primarily due to increased pricing, impacting revenues by a mid-single digit percentage, as well as increased volume, impacting revenues by a low-single digit percentage, with service growth partially offset by a decline in capital equipment.</w:t>
      </w:r>
    </w:p>
    <w:p>
      <w:pPr>
        <w:spacing w:after="0" w:line="67" w:lineRule="exact"/>
        <w:rPr>
          <w:sz w:val="20"/>
          <w:szCs w:val="20"/>
          <w:color w:val="auto"/>
        </w:rPr>
      </w:pPr>
    </w:p>
    <w:p>
      <w:pPr>
        <w:ind w:right="180" w:firstLine="349"/>
        <w:spacing w:after="0" w:line="293" w:lineRule="auto"/>
        <w:rPr>
          <w:sz w:val="20"/>
          <w:szCs w:val="20"/>
          <w:color w:val="auto"/>
        </w:rPr>
      </w:pPr>
      <w:r>
        <w:rPr>
          <w:rFonts w:ascii="Times New Roman" w:cs="Times New Roman" w:eastAsia="Times New Roman" w:hAnsi="Times New Roman"/>
          <w:sz w:val="19"/>
          <w:szCs w:val="19"/>
          <w:color w:val="231F20"/>
        </w:rPr>
        <w:t>Life Sciences revenues increased 8.6% in fiscal 2026, as compared to fiscal 2025 reflecting growth across capital, consumable, and service revenues of 15.5%, 7.6%, and 4.9% , respectively. The constant currency organic growth of 6.7% is</w:t>
      </w:r>
    </w:p>
    <w:p>
      <w:pPr>
        <w:sectPr>
          <w:pgSz w:w="11880" w:h="15480" w:orient="portrait"/>
          <w:cols w:equalWidth="0" w:num="1">
            <w:col w:w="9940"/>
          </w:cols>
          <w:pgMar w:left="960" w:top="117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37</w:t>
      </w:r>
    </w:p>
    <w:p>
      <w:pPr>
        <w:sectPr>
          <w:pgSz w:w="11880" w:h="15480" w:orient="portrait"/>
          <w:cols w:equalWidth="0" w:num="1">
            <w:col w:w="9940"/>
          </w:cols>
          <w:pgMar w:left="960" w:top="1170" w:right="980" w:bottom="0" w:gutter="0" w:footer="0" w:header="0"/>
          <w:type w:val="continuous"/>
        </w:sectPr>
      </w:pPr>
    </w:p>
    <w:bookmarkStart w:id="38" w:name="page39"/>
    <w:bookmarkEnd w:id="38"/>
    <w:p>
      <w:pPr>
        <w:ind w:right="20"/>
        <w:spacing w:after="0" w:line="293" w:lineRule="auto"/>
        <w:rPr>
          <w:sz w:val="20"/>
          <w:szCs w:val="20"/>
          <w:color w:val="auto"/>
        </w:rPr>
      </w:pPr>
      <w:r>
        <w:rPr>
          <w:rFonts w:ascii="Times New Roman" w:cs="Times New Roman" w:eastAsia="Times New Roman" w:hAnsi="Times New Roman"/>
          <w:sz w:val="19"/>
          <w:szCs w:val="19"/>
          <w:color w:val="231F20"/>
        </w:rPr>
        <w:t>primarily due to increased volume, impacting revenues by a mid-single digit percentage, as well as increased pricing, impacting revenues by a low-single digit percentage.</w:t>
      </w:r>
    </w:p>
    <w:p>
      <w:pPr>
        <w:spacing w:after="0" w:line="49" w:lineRule="exact"/>
        <w:rPr>
          <w:sz w:val="20"/>
          <w:szCs w:val="20"/>
          <w:color w:val="auto"/>
        </w:rPr>
      </w:pPr>
    </w:p>
    <w:p>
      <w:pPr>
        <w:ind w:right="340" w:firstLine="349"/>
        <w:spacing w:after="0" w:line="293" w:lineRule="auto"/>
        <w:rPr>
          <w:sz w:val="20"/>
          <w:szCs w:val="20"/>
          <w:color w:val="auto"/>
        </w:rPr>
      </w:pPr>
      <w:r>
        <w:rPr>
          <w:rFonts w:ascii="Times New Roman" w:cs="Times New Roman" w:eastAsia="Times New Roman" w:hAnsi="Times New Roman"/>
          <w:sz w:val="19"/>
          <w:szCs w:val="19"/>
          <w:color w:val="231F20"/>
        </w:rPr>
        <w:t>The Life Sciences backlog at March 31, 2026 and 2025 amounted to $98.7 million and $83.7 million, respectively. The increase is due to timing of shipments.</w:t>
      </w:r>
    </w:p>
    <w:p>
      <w:pPr>
        <w:spacing w:after="0" w:line="49" w:lineRule="exact"/>
        <w:rPr>
          <w:sz w:val="20"/>
          <w:szCs w:val="20"/>
          <w:color w:val="auto"/>
        </w:rPr>
      </w:pPr>
    </w:p>
    <w:p>
      <w:pPr>
        <w:ind w:right="140" w:firstLine="306"/>
        <w:spacing w:after="0" w:line="276" w:lineRule="auto"/>
        <w:rPr>
          <w:sz w:val="20"/>
          <w:szCs w:val="20"/>
          <w:color w:val="auto"/>
        </w:rPr>
      </w:pPr>
      <w:r>
        <w:rPr>
          <w:rFonts w:ascii="Times New Roman" w:cs="Times New Roman" w:eastAsia="Times New Roman" w:hAnsi="Times New Roman"/>
          <w:sz w:val="19"/>
          <w:szCs w:val="19"/>
          <w:color w:val="231F20"/>
        </w:rPr>
        <w:t>The following table compares business segment and Corporate operating income for the year ended March 31, 2026 to the year ended March 31, 2025:</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526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2320" w:type="dxa"/>
            <w:vAlign w:val="bottom"/>
            <w:tcBorders>
              <w:bottom w:val="single" w:sz="8" w:color="231F20"/>
            </w:tcBorders>
            <w:gridSpan w:val="3"/>
          </w:tcPr>
          <w:p>
            <w:pPr>
              <w:jc w:val="right"/>
              <w:ind w:right="385"/>
              <w:spacing w:after="0"/>
              <w:rPr>
                <w:sz w:val="20"/>
                <w:szCs w:val="20"/>
                <w:color w:val="auto"/>
              </w:rPr>
            </w:pPr>
            <w:r>
              <w:rPr>
                <w:rFonts w:ascii="Times New Roman" w:cs="Times New Roman" w:eastAsia="Times New Roman" w:hAnsi="Times New Roman"/>
                <w:sz w:val="17"/>
                <w:szCs w:val="17"/>
                <w:color w:val="231F20"/>
              </w:rPr>
              <w:t>Years ended March 31,</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7"/>
                <w:szCs w:val="17"/>
                <w:color w:val="231F20"/>
              </w:rPr>
              <w:t>Percent</w:t>
            </w:r>
          </w:p>
        </w:tc>
      </w:tr>
      <w:tr>
        <w:trPr>
          <w:trHeight w:val="228"/>
        </w:trPr>
        <w:tc>
          <w:tcPr>
            <w:tcW w:w="5260" w:type="dxa"/>
            <w:vAlign w:val="bottom"/>
            <w:tcBorders>
              <w:bottom w:val="single" w:sz="8" w:color="231F20"/>
            </w:tcBorders>
          </w:tcPr>
          <w:p>
            <w:pPr>
              <w:ind w:left="40"/>
              <w:spacing w:after="0"/>
              <w:rPr>
                <w:sz w:val="20"/>
                <w:szCs w:val="20"/>
                <w:color w:val="auto"/>
              </w:rPr>
            </w:pPr>
            <w:r>
              <w:rPr>
                <w:rFonts w:ascii="Times New Roman" w:cs="Times New Roman" w:eastAsia="Times New Roman" w:hAnsi="Times New Roman"/>
                <w:sz w:val="17"/>
                <w:szCs w:val="17"/>
                <w:color w:val="231F20"/>
              </w:rPr>
              <w:t>(dollars in millions)</w:t>
            </w:r>
          </w:p>
        </w:tc>
        <w:tc>
          <w:tcPr>
            <w:tcW w:w="300" w:type="dxa"/>
            <w:vAlign w:val="bottom"/>
            <w:tcBorders>
              <w:bottom w:val="single" w:sz="8" w:color="231F20"/>
            </w:tcBorders>
          </w:tcPr>
          <w:p>
            <w:pPr>
              <w:spacing w:after="0"/>
              <w:rPr>
                <w:sz w:val="19"/>
                <w:szCs w:val="19"/>
                <w:color w:val="auto"/>
              </w:rPr>
            </w:pPr>
          </w:p>
        </w:tc>
        <w:tc>
          <w:tcPr>
            <w:tcW w:w="980" w:type="dxa"/>
            <w:vAlign w:val="bottom"/>
            <w:tcBorders>
              <w:bottom w:val="single" w:sz="8" w:color="231F20"/>
            </w:tcBorders>
          </w:tcPr>
          <w:p>
            <w:pPr>
              <w:jc w:val="right"/>
              <w:ind w:right="386"/>
              <w:spacing w:after="0"/>
              <w:rPr>
                <w:sz w:val="20"/>
                <w:szCs w:val="20"/>
                <w:color w:val="auto"/>
              </w:rPr>
            </w:pPr>
            <w:r>
              <w:rPr>
                <w:rFonts w:ascii="Times New Roman" w:cs="Times New Roman" w:eastAsia="Times New Roman" w:hAnsi="Times New Roman"/>
                <w:sz w:val="17"/>
                <w:szCs w:val="17"/>
                <w:color w:val="231F20"/>
              </w:rPr>
              <w:t>2026</w:t>
            </w:r>
          </w:p>
        </w:tc>
        <w:tc>
          <w:tcPr>
            <w:tcW w:w="340" w:type="dxa"/>
            <w:vAlign w:val="bottom"/>
            <w:tcBorders>
              <w:bottom w:val="single" w:sz="8" w:color="231F20"/>
            </w:tcBorders>
          </w:tcPr>
          <w:p>
            <w:pPr>
              <w:spacing w:after="0"/>
              <w:rPr>
                <w:sz w:val="19"/>
                <w:szCs w:val="19"/>
                <w:color w:val="auto"/>
              </w:rPr>
            </w:pPr>
          </w:p>
        </w:tc>
        <w:tc>
          <w:tcPr>
            <w:tcW w:w="1000" w:type="dxa"/>
            <w:vAlign w:val="bottom"/>
            <w:tcBorders>
              <w:bottom w:val="single" w:sz="8" w:color="231F20"/>
            </w:tcBorders>
          </w:tcPr>
          <w:p>
            <w:pPr>
              <w:jc w:val="right"/>
              <w:ind w:right="385"/>
              <w:spacing w:after="0"/>
              <w:rPr>
                <w:sz w:val="20"/>
                <w:szCs w:val="20"/>
                <w:color w:val="auto"/>
              </w:rPr>
            </w:pPr>
            <w:r>
              <w:rPr>
                <w:rFonts w:ascii="Times New Roman" w:cs="Times New Roman" w:eastAsia="Times New Roman" w:hAnsi="Times New Roman"/>
                <w:sz w:val="17"/>
                <w:szCs w:val="17"/>
                <w:color w:val="231F20"/>
              </w:rPr>
              <w:t>2025</w:t>
            </w:r>
          </w:p>
        </w:tc>
        <w:tc>
          <w:tcPr>
            <w:tcW w:w="280" w:type="dxa"/>
            <w:vAlign w:val="bottom"/>
            <w:tcBorders>
              <w:bottom w:val="single" w:sz="8" w:color="231F20"/>
            </w:tcBorders>
          </w:tcPr>
          <w:p>
            <w:pPr>
              <w:spacing w:after="0"/>
              <w:rPr>
                <w:sz w:val="19"/>
                <w:szCs w:val="19"/>
                <w:color w:val="auto"/>
              </w:rPr>
            </w:pPr>
          </w:p>
        </w:tc>
        <w:tc>
          <w:tcPr>
            <w:tcW w:w="980" w:type="dxa"/>
            <w:vAlign w:val="bottom"/>
            <w:tcBorders>
              <w:bottom w:val="single" w:sz="8" w:color="231F20"/>
            </w:tcBorders>
          </w:tcPr>
          <w:p>
            <w:pPr>
              <w:jc w:val="right"/>
              <w:ind w:right="285"/>
              <w:spacing w:after="0"/>
              <w:rPr>
                <w:sz w:val="20"/>
                <w:szCs w:val="20"/>
                <w:color w:val="auto"/>
              </w:rPr>
            </w:pPr>
            <w:r>
              <w:rPr>
                <w:rFonts w:ascii="Times New Roman" w:cs="Times New Roman" w:eastAsia="Times New Roman" w:hAnsi="Times New Roman"/>
                <w:sz w:val="17"/>
                <w:szCs w:val="17"/>
                <w:color w:val="231F20"/>
              </w:rPr>
              <w:t>Change</w:t>
            </w:r>
          </w:p>
        </w:tc>
        <w:tc>
          <w:tcPr>
            <w:tcW w:w="780" w:type="dxa"/>
            <w:vAlign w:val="bottom"/>
            <w:tcBorders>
              <w:bottom w:val="single" w:sz="8" w:color="231F20"/>
            </w:tcBorders>
          </w:tcPr>
          <w:p>
            <w:pPr>
              <w:jc w:val="right"/>
              <w:ind w:right="26"/>
              <w:spacing w:after="0"/>
              <w:rPr>
                <w:sz w:val="20"/>
                <w:szCs w:val="20"/>
                <w:color w:val="auto"/>
              </w:rPr>
            </w:pPr>
            <w:r>
              <w:rPr>
                <w:rFonts w:ascii="Times New Roman" w:cs="Times New Roman" w:eastAsia="Times New Roman" w:hAnsi="Times New Roman"/>
                <w:sz w:val="17"/>
                <w:szCs w:val="17"/>
                <w:color w:val="231F20"/>
              </w:rPr>
              <w:t>Change</w:t>
            </w:r>
          </w:p>
        </w:tc>
      </w:tr>
      <w:tr>
        <w:trPr>
          <w:trHeight w:val="257"/>
        </w:trPr>
        <w:tc>
          <w:tcPr>
            <w:tcW w:w="5260" w:type="dxa"/>
            <w:vAlign w:val="bottom"/>
          </w:tcPr>
          <w:p>
            <w:pPr>
              <w:ind w:left="40"/>
              <w:spacing w:after="0"/>
              <w:rPr>
                <w:sz w:val="20"/>
                <w:szCs w:val="20"/>
                <w:color w:val="auto"/>
              </w:rPr>
            </w:pPr>
            <w:r>
              <w:rPr>
                <w:rFonts w:ascii="Times New Roman" w:cs="Times New Roman" w:eastAsia="Times New Roman" w:hAnsi="Times New Roman"/>
                <w:sz w:val="19"/>
                <w:szCs w:val="19"/>
                <w:b w:val="1"/>
                <w:bCs w:val="1"/>
                <w:color w:val="231F20"/>
              </w:rPr>
              <w:t>Income (loss) from operations before adjustments: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4"/>
        </w:trPr>
        <w:tc>
          <w:tcPr>
            <w:tcW w:w="5260" w:type="dxa"/>
            <w:vAlign w:val="bottom"/>
          </w:tcPr>
          <w:p>
            <w:pPr>
              <w:ind w:left="520"/>
              <w:spacing w:after="0"/>
              <w:rPr>
                <w:sz w:val="20"/>
                <w:szCs w:val="20"/>
                <w:color w:val="auto"/>
              </w:rPr>
            </w:pPr>
            <w:r>
              <w:rPr>
                <w:rFonts w:ascii="Times New Roman" w:cs="Times New Roman" w:eastAsia="Times New Roman" w:hAnsi="Times New Roman"/>
                <w:sz w:val="19"/>
                <w:szCs w:val="19"/>
                <w:color w:val="231F20"/>
              </w:rPr>
              <w:t>Healthcare</w:t>
            </w:r>
          </w:p>
        </w:tc>
        <w:tc>
          <w:tcPr>
            <w:tcW w:w="30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w:t>
            </w:r>
          </w:p>
        </w:tc>
        <w:tc>
          <w:tcPr>
            <w:tcW w:w="980" w:type="dxa"/>
            <w:vAlign w:val="bottom"/>
          </w:tcPr>
          <w:p>
            <w:pPr>
              <w:jc w:val="right"/>
              <w:ind w:right="46"/>
              <w:spacing w:after="0"/>
              <w:rPr>
                <w:sz w:val="20"/>
                <w:szCs w:val="20"/>
                <w:color w:val="auto"/>
              </w:rPr>
            </w:pPr>
            <w:r>
              <w:rPr>
                <w:rFonts w:ascii="Times New Roman" w:cs="Times New Roman" w:eastAsia="Times New Roman" w:hAnsi="Times New Roman"/>
                <w:sz w:val="19"/>
                <w:szCs w:val="19"/>
                <w:b w:val="1"/>
                <w:bCs w:val="1"/>
                <w:color w:val="231F20"/>
              </w:rPr>
              <w:t>1,036.4</w:t>
            </w: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971.5</w:t>
            </w:r>
          </w:p>
        </w:tc>
        <w:tc>
          <w:tcPr>
            <w:tcW w:w="2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8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231F20"/>
              </w:rPr>
              <w:t>64.8</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6.7 %</w:t>
            </w:r>
          </w:p>
        </w:tc>
      </w:tr>
      <w:tr>
        <w:trPr>
          <w:trHeight w:val="277"/>
        </w:trPr>
        <w:tc>
          <w:tcPr>
            <w:tcW w:w="5260" w:type="dxa"/>
            <w:vAlign w:val="bottom"/>
          </w:tcPr>
          <w:p>
            <w:pPr>
              <w:ind w:left="520"/>
              <w:spacing w:after="0"/>
              <w:rPr>
                <w:sz w:val="20"/>
                <w:szCs w:val="20"/>
                <w:color w:val="auto"/>
              </w:rPr>
            </w:pPr>
            <w:r>
              <w:rPr>
                <w:rFonts w:ascii="Times New Roman" w:cs="Times New Roman" w:eastAsia="Times New Roman" w:hAnsi="Times New Roman"/>
                <w:sz w:val="19"/>
                <w:szCs w:val="19"/>
                <w:color w:val="231F20"/>
              </w:rPr>
              <w:t>AST</w:t>
            </w:r>
          </w:p>
        </w:tc>
        <w:tc>
          <w:tcPr>
            <w:tcW w:w="300" w:type="dxa"/>
            <w:vAlign w:val="bottom"/>
          </w:tcPr>
          <w:p>
            <w:pPr>
              <w:spacing w:after="0"/>
              <w:rPr>
                <w:sz w:val="24"/>
                <w:szCs w:val="24"/>
                <w:color w:val="auto"/>
              </w:rPr>
            </w:pPr>
          </w:p>
        </w:tc>
        <w:tc>
          <w:tcPr>
            <w:tcW w:w="980" w:type="dxa"/>
            <w:vAlign w:val="bottom"/>
          </w:tcPr>
          <w:p>
            <w:pPr>
              <w:jc w:val="right"/>
              <w:ind w:right="46"/>
              <w:spacing w:after="0"/>
              <w:rPr>
                <w:sz w:val="20"/>
                <w:szCs w:val="20"/>
                <w:color w:val="auto"/>
              </w:rPr>
            </w:pPr>
            <w:r>
              <w:rPr>
                <w:rFonts w:ascii="Times New Roman" w:cs="Times New Roman" w:eastAsia="Times New Roman" w:hAnsi="Times New Roman"/>
                <w:sz w:val="19"/>
                <w:szCs w:val="19"/>
                <w:b w:val="1"/>
                <w:bCs w:val="1"/>
                <w:color w:val="231F20"/>
              </w:rPr>
              <w:t>524.7</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465.6</w:t>
            </w:r>
          </w:p>
        </w:tc>
        <w:tc>
          <w:tcPr>
            <w:tcW w:w="28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231F20"/>
              </w:rPr>
              <w:t>59.1</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12.7 %</w:t>
            </w:r>
          </w:p>
        </w:tc>
      </w:tr>
      <w:tr>
        <w:trPr>
          <w:trHeight w:val="277"/>
        </w:trPr>
        <w:tc>
          <w:tcPr>
            <w:tcW w:w="5260" w:type="dxa"/>
            <w:vAlign w:val="bottom"/>
          </w:tcPr>
          <w:p>
            <w:pPr>
              <w:ind w:left="520"/>
              <w:spacing w:after="0"/>
              <w:rPr>
                <w:sz w:val="20"/>
                <w:szCs w:val="20"/>
                <w:color w:val="auto"/>
              </w:rPr>
            </w:pPr>
            <w:r>
              <w:rPr>
                <w:rFonts w:ascii="Times New Roman" w:cs="Times New Roman" w:eastAsia="Times New Roman" w:hAnsi="Times New Roman"/>
                <w:sz w:val="19"/>
                <w:szCs w:val="19"/>
                <w:color w:val="231F20"/>
              </w:rPr>
              <w:t>Life Sciences</w:t>
            </w:r>
          </w:p>
        </w:tc>
        <w:tc>
          <w:tcPr>
            <w:tcW w:w="300" w:type="dxa"/>
            <w:vAlign w:val="bottom"/>
          </w:tcPr>
          <w:p>
            <w:pPr>
              <w:spacing w:after="0"/>
              <w:rPr>
                <w:sz w:val="24"/>
                <w:szCs w:val="24"/>
                <w:color w:val="auto"/>
              </w:rPr>
            </w:pPr>
          </w:p>
        </w:tc>
        <w:tc>
          <w:tcPr>
            <w:tcW w:w="980" w:type="dxa"/>
            <w:vAlign w:val="bottom"/>
          </w:tcPr>
          <w:p>
            <w:pPr>
              <w:jc w:val="right"/>
              <w:ind w:right="46"/>
              <w:spacing w:after="0"/>
              <w:rPr>
                <w:sz w:val="20"/>
                <w:szCs w:val="20"/>
                <w:color w:val="auto"/>
              </w:rPr>
            </w:pPr>
            <w:r>
              <w:rPr>
                <w:rFonts w:ascii="Times New Roman" w:cs="Times New Roman" w:eastAsia="Times New Roman" w:hAnsi="Times New Roman"/>
                <w:sz w:val="19"/>
                <w:szCs w:val="19"/>
                <w:b w:val="1"/>
                <w:bCs w:val="1"/>
                <w:color w:val="231F20"/>
              </w:rPr>
              <w:t>251.0</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229.4</w:t>
            </w:r>
          </w:p>
        </w:tc>
        <w:tc>
          <w:tcPr>
            <w:tcW w:w="28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231F20"/>
              </w:rPr>
              <w:t>21.5</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9.4 %</w:t>
            </w:r>
          </w:p>
        </w:tc>
      </w:tr>
      <w:tr>
        <w:trPr>
          <w:trHeight w:val="279"/>
        </w:trPr>
        <w:tc>
          <w:tcPr>
            <w:tcW w:w="526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Corporate</w:t>
            </w:r>
          </w:p>
        </w:tc>
        <w:tc>
          <w:tcPr>
            <w:tcW w:w="30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(430.1)</w:t>
            </w:r>
          </w:p>
        </w:tc>
        <w:tc>
          <w:tcPr>
            <w:tcW w:w="34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(399.0)</w:t>
            </w:r>
          </w:p>
        </w:tc>
        <w:tc>
          <w:tcPr>
            <w:tcW w:w="28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ind w:right="45"/>
              <w:spacing w:after="0"/>
              <w:rPr>
                <w:sz w:val="20"/>
                <w:szCs w:val="20"/>
                <w:color w:val="auto"/>
              </w:rPr>
            </w:pPr>
            <w:r>
              <w:rPr>
                <w:rFonts w:ascii="Times New Roman" w:cs="Times New Roman" w:eastAsia="Times New Roman" w:hAnsi="Times New Roman"/>
                <w:sz w:val="19"/>
                <w:szCs w:val="19"/>
                <w:color w:val="231F20"/>
              </w:rPr>
              <w:t>(31.1)</w:t>
            </w: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7.8 %</w:t>
            </w:r>
          </w:p>
        </w:tc>
      </w:tr>
      <w:tr>
        <w:trPr>
          <w:trHeight w:val="257"/>
        </w:trPr>
        <w:tc>
          <w:tcPr>
            <w:tcW w:w="5260" w:type="dxa"/>
            <w:vAlign w:val="bottom"/>
          </w:tcPr>
          <w:p>
            <w:pPr>
              <w:ind w:left="40"/>
              <w:spacing w:after="0"/>
              <w:rPr>
                <w:sz w:val="20"/>
                <w:szCs w:val="20"/>
                <w:color w:val="auto"/>
              </w:rPr>
            </w:pPr>
            <w:r>
              <w:rPr>
                <w:rFonts w:ascii="Times New Roman" w:cs="Times New Roman" w:eastAsia="Times New Roman" w:hAnsi="Times New Roman"/>
                <w:sz w:val="19"/>
                <w:szCs w:val="19"/>
                <w:b w:val="1"/>
                <w:bCs w:val="1"/>
                <w:color w:val="231F20"/>
              </w:rPr>
              <w:t>Total income from operations before adjustments</w:t>
            </w:r>
          </w:p>
        </w:tc>
        <w:tc>
          <w:tcPr>
            <w:tcW w:w="300" w:type="dxa"/>
            <w:vAlign w:val="bottom"/>
            <w:tcBorders>
              <w:bottom w:val="single" w:sz="8" w:color="231F20"/>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w:t>
            </w:r>
          </w:p>
        </w:tc>
        <w:tc>
          <w:tcPr>
            <w:tcW w:w="980" w:type="dxa"/>
            <w:vAlign w:val="bottom"/>
            <w:tcBorders>
              <w:bottom w:val="single" w:sz="8" w:color="231F20"/>
            </w:tcBorders>
          </w:tcPr>
          <w:p>
            <w:pPr>
              <w:jc w:val="right"/>
              <w:ind w:right="46"/>
              <w:spacing w:after="0"/>
              <w:rPr>
                <w:sz w:val="20"/>
                <w:szCs w:val="20"/>
                <w:color w:val="auto"/>
              </w:rPr>
            </w:pPr>
            <w:r>
              <w:rPr>
                <w:rFonts w:ascii="Times New Roman" w:cs="Times New Roman" w:eastAsia="Times New Roman" w:hAnsi="Times New Roman"/>
                <w:sz w:val="19"/>
                <w:szCs w:val="19"/>
                <w:b w:val="1"/>
                <w:bCs w:val="1"/>
                <w:color w:val="231F20"/>
              </w:rPr>
              <w:t>1,381.9</w:t>
            </w:r>
          </w:p>
        </w:tc>
        <w:tc>
          <w:tcPr>
            <w:tcW w:w="340" w:type="dxa"/>
            <w:vAlign w:val="bottom"/>
            <w:tcBorders>
              <w:bottom w:val="single" w:sz="8" w:color="231F20"/>
            </w:tcBorders>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1,267.5</w:t>
            </w:r>
          </w:p>
        </w:tc>
        <w:tc>
          <w:tcPr>
            <w:tcW w:w="2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8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231F20"/>
              </w:rPr>
              <w:t>114.4</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9.0 %</w:t>
            </w:r>
          </w:p>
        </w:tc>
      </w:tr>
      <w:tr>
        <w:trPr>
          <w:trHeight w:val="254"/>
        </w:trPr>
        <w:tc>
          <w:tcPr>
            <w:tcW w:w="5260" w:type="dxa"/>
            <w:vAlign w:val="bottom"/>
          </w:tcPr>
          <w:p>
            <w:pPr>
              <w:ind w:left="40"/>
              <w:spacing w:after="0"/>
              <w:rPr>
                <w:sz w:val="20"/>
                <w:szCs w:val="20"/>
                <w:color w:val="auto"/>
              </w:rPr>
            </w:pPr>
            <w:r>
              <w:rPr>
                <w:rFonts w:ascii="Times New Roman" w:cs="Times New Roman" w:eastAsia="Times New Roman" w:hAnsi="Times New Roman"/>
                <w:sz w:val="19"/>
                <w:szCs w:val="19"/>
                <w:b w:val="1"/>
                <w:bCs w:val="1"/>
                <w:color w:val="231F20"/>
              </w:rPr>
              <w:t>Less: Adjustments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80" w:type="dxa"/>
            <w:vAlign w:val="bottom"/>
          </w:tcPr>
          <w:p>
            <w:pPr>
              <w:spacing w:after="0"/>
              <w:rPr>
                <w:sz w:val="22"/>
                <w:szCs w:val="22"/>
                <w:color w:val="auto"/>
              </w:rPr>
            </w:pPr>
          </w:p>
        </w:tc>
      </w:tr>
    </w:tbl>
    <w:p>
      <w:pPr>
        <w:spacing w:after="0" w:line="34" w:lineRule="exact"/>
        <w:rPr>
          <w:sz w:val="20"/>
          <w:szCs w:val="20"/>
          <w:color w:val="auto"/>
        </w:rPr>
      </w:pPr>
    </w:p>
    <w:p>
      <w:pPr>
        <w:sectPr>
          <w:pgSz w:w="11880" w:h="15480" w:orient="portrait"/>
          <w:cols w:equalWidth="0" w:num="1">
            <w:col w:w="9940"/>
          </w:cols>
          <w:pgMar w:left="960" w:top="825" w:right="980" w:bottom="0" w:gutter="0" w:footer="0" w:header="0"/>
        </w:sectPr>
      </w:pPr>
    </w:p>
    <w:p>
      <w:pPr>
        <w:spacing w:after="0" w:line="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231F20"/>
        </w:rPr>
        <w:t xml:space="preserve">Amortization of acquired intangible assets </w:t>
      </w:r>
      <w:r>
        <w:rPr>
          <w:rFonts w:ascii="Times New Roman" w:cs="Times New Roman" w:eastAsia="Times New Roman" w:hAnsi="Times New Roman"/>
          <w:sz w:val="25"/>
          <w:szCs w:val="25"/>
          <w:color w:val="231F20"/>
          <w:vertAlign w:val="superscript"/>
        </w:rPr>
        <w:t>(1)</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231F20"/>
        </w:rPr>
        <w:t xml:space="preserve">Acquisition and integration related charges </w:t>
      </w:r>
      <w:r>
        <w:rPr>
          <w:rFonts w:ascii="Times New Roman" w:cs="Times New Roman" w:eastAsia="Times New Roman" w:hAnsi="Times New Roman"/>
          <w:sz w:val="25"/>
          <w:szCs w:val="25"/>
          <w:color w:val="231F20"/>
          <w:vertAlign w:val="superscript"/>
        </w:rPr>
        <w:t>(2)</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231F20"/>
        </w:rPr>
        <w:t xml:space="preserve">Tax restructuring costs </w:t>
      </w:r>
      <w:r>
        <w:rPr>
          <w:rFonts w:ascii="Times New Roman" w:cs="Times New Roman" w:eastAsia="Times New Roman" w:hAnsi="Times New Roman"/>
          <w:sz w:val="25"/>
          <w:szCs w:val="25"/>
          <w:color w:val="231F20"/>
          <w:vertAlign w:val="superscript"/>
        </w:rPr>
        <w:t>(3)</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231F20"/>
        </w:rPr>
        <w:t xml:space="preserve">Amortization of inventory and property "step up" to fair value </w:t>
      </w:r>
      <w:r>
        <w:rPr>
          <w:rFonts w:ascii="Times New Roman" w:cs="Times New Roman" w:eastAsia="Times New Roman" w:hAnsi="Times New Roman"/>
          <w:sz w:val="25"/>
          <w:szCs w:val="25"/>
          <w:color w:val="231F20"/>
          <w:vertAlign w:val="superscript"/>
        </w:rPr>
        <w:t>(1)</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231F20"/>
        </w:rPr>
        <w:t xml:space="preserve">Restructuring charges </w:t>
      </w:r>
      <w:r>
        <w:rPr>
          <w:rFonts w:ascii="Times New Roman" w:cs="Times New Roman" w:eastAsia="Times New Roman" w:hAnsi="Times New Roman"/>
          <w:sz w:val="25"/>
          <w:szCs w:val="25"/>
          <w:color w:val="231F20"/>
          <w:vertAlign w:val="superscript"/>
        </w:rPr>
        <w:t>(4)</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231F20"/>
        </w:rPr>
        <w:t xml:space="preserve">Illinois EO litigation settlement </w:t>
      </w:r>
      <w:r>
        <w:rPr>
          <w:rFonts w:ascii="Times New Roman" w:cs="Times New Roman" w:eastAsia="Times New Roman" w:hAnsi="Times New Roman"/>
          <w:sz w:val="25"/>
          <w:szCs w:val="25"/>
          <w:color w:val="231F20"/>
          <w:vertAlign w:val="superscript"/>
        </w:rPr>
        <w:t>(5)</w:t>
      </w:r>
    </w:p>
    <w:p>
      <w:pPr>
        <w:ind w:left="60"/>
        <w:spacing w:after="0"/>
        <w:rPr>
          <w:sz w:val="20"/>
          <w:szCs w:val="20"/>
          <w:color w:val="auto"/>
        </w:rPr>
      </w:pPr>
      <w:r>
        <w:rPr>
          <w:rFonts w:ascii="Times New Roman" w:cs="Times New Roman" w:eastAsia="Times New Roman" w:hAnsi="Times New Roman"/>
          <w:sz w:val="19"/>
          <w:szCs w:val="19"/>
          <w:b w:val="1"/>
          <w:bCs w:val="1"/>
          <w:color w:val="231F20"/>
        </w:rPr>
        <w:t>Total income from operations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360" w:type="dxa"/>
            <w:vAlign w:val="bottom"/>
          </w:tcPr>
          <w:p>
            <w:pPr>
              <w:jc w:val="right"/>
              <w:ind w:right="103"/>
              <w:spacing w:after="0"/>
              <w:rPr>
                <w:sz w:val="20"/>
                <w:szCs w:val="20"/>
                <w:color w:val="auto"/>
              </w:rPr>
            </w:pPr>
            <w:r>
              <w:rPr>
                <w:rFonts w:ascii="Times New Roman" w:cs="Times New Roman" w:eastAsia="Times New Roman" w:hAnsi="Times New Roman"/>
                <w:sz w:val="19"/>
                <w:szCs w:val="19"/>
                <w:b w:val="1"/>
                <w:bCs w:val="1"/>
                <w:color w:val="231F20"/>
              </w:rPr>
              <w:t>$</w:t>
            </w: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231F20"/>
              </w:rPr>
              <w:t>265.0</w:t>
            </w:r>
          </w:p>
        </w:tc>
        <w:tc>
          <w:tcPr>
            <w:tcW w:w="520" w:type="dxa"/>
            <w:vAlign w:val="bottom"/>
          </w:tcPr>
          <w:p>
            <w:pPr>
              <w:jc w:val="right"/>
              <w:ind w:right="243"/>
              <w:spacing w:after="0"/>
              <w:rPr>
                <w:sz w:val="20"/>
                <w:szCs w:val="20"/>
                <w:color w:val="auto"/>
              </w:rPr>
            </w:pPr>
            <w:r>
              <w:rPr>
                <w:rFonts w:ascii="Times New Roman" w:cs="Times New Roman" w:eastAsia="Times New Roman" w:hAnsi="Times New Roman"/>
                <w:sz w:val="19"/>
                <w:szCs w:val="19"/>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273.8</w:t>
            </w:r>
          </w:p>
        </w:tc>
      </w:tr>
      <w:tr>
        <w:trPr>
          <w:trHeight w:val="291"/>
        </w:trPr>
        <w:tc>
          <w:tcPr>
            <w:tcW w:w="360" w:type="dxa"/>
            <w:vAlign w:val="bottom"/>
          </w:tcPr>
          <w:p>
            <w:pPr>
              <w:spacing w:after="0"/>
              <w:rPr>
                <w:sz w:val="24"/>
                <w:szCs w:val="24"/>
                <w:color w:val="auto"/>
              </w:rPr>
            </w:pP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231F20"/>
              </w:rPr>
              <w:t>6.2</w:t>
            </w:r>
          </w:p>
        </w:tc>
        <w:tc>
          <w:tcPr>
            <w:tcW w:w="5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11.2</w:t>
            </w:r>
          </w:p>
        </w:tc>
      </w:tr>
      <w:tr>
        <w:trPr>
          <w:trHeight w:val="306"/>
        </w:trPr>
        <w:tc>
          <w:tcPr>
            <w:tcW w:w="360" w:type="dxa"/>
            <w:vAlign w:val="bottom"/>
          </w:tcPr>
          <w:p>
            <w:pPr>
              <w:spacing w:after="0"/>
              <w:rPr>
                <w:sz w:val="24"/>
                <w:szCs w:val="24"/>
                <w:color w:val="auto"/>
              </w:rPr>
            </w:pP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231F20"/>
              </w:rPr>
              <w:t>0.5</w:t>
            </w:r>
          </w:p>
        </w:tc>
        <w:tc>
          <w:tcPr>
            <w:tcW w:w="5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0.1</w:t>
            </w:r>
          </w:p>
        </w:tc>
      </w:tr>
      <w:tr>
        <w:trPr>
          <w:trHeight w:val="306"/>
        </w:trPr>
        <w:tc>
          <w:tcPr>
            <w:tcW w:w="360" w:type="dxa"/>
            <w:vAlign w:val="bottom"/>
          </w:tcPr>
          <w:p>
            <w:pPr>
              <w:spacing w:after="0"/>
              <w:rPr>
                <w:sz w:val="24"/>
                <w:szCs w:val="24"/>
                <w:color w:val="auto"/>
              </w:rPr>
            </w:pP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231F20"/>
              </w:rPr>
              <w:t>5.0</w:t>
            </w:r>
          </w:p>
        </w:tc>
        <w:tc>
          <w:tcPr>
            <w:tcW w:w="5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5.4</w:t>
            </w:r>
          </w:p>
        </w:tc>
      </w:tr>
      <w:tr>
        <w:trPr>
          <w:trHeight w:val="306"/>
        </w:trPr>
        <w:tc>
          <w:tcPr>
            <w:tcW w:w="360" w:type="dxa"/>
            <w:vAlign w:val="bottom"/>
          </w:tcPr>
          <w:p>
            <w:pPr>
              <w:spacing w:after="0"/>
              <w:rPr>
                <w:sz w:val="24"/>
                <w:szCs w:val="24"/>
                <w:color w:val="auto"/>
              </w:rPr>
            </w:pP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231F20"/>
              </w:rPr>
              <w:t>3.4</w:t>
            </w:r>
          </w:p>
        </w:tc>
        <w:tc>
          <w:tcPr>
            <w:tcW w:w="5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62.3</w:t>
            </w:r>
          </w:p>
        </w:tc>
      </w:tr>
      <w:tr>
        <w:trPr>
          <w:trHeight w:val="308"/>
        </w:trPr>
        <w:tc>
          <w:tcPr>
            <w:tcW w:w="36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ind w:right="23"/>
              <w:spacing w:after="0"/>
              <w:rPr>
                <w:sz w:val="20"/>
                <w:szCs w:val="20"/>
                <w:color w:val="auto"/>
              </w:rPr>
            </w:pPr>
            <w:r>
              <w:rPr>
                <w:rFonts w:ascii="Times New Roman" w:cs="Times New Roman" w:eastAsia="Times New Roman" w:hAnsi="Times New Roman"/>
                <w:sz w:val="19"/>
                <w:szCs w:val="19"/>
                <w:b w:val="1"/>
                <w:bCs w:val="1"/>
                <w:color w:val="231F20"/>
              </w:rPr>
              <w:t>—</w:t>
            </w:r>
          </w:p>
        </w:tc>
        <w:tc>
          <w:tcPr>
            <w:tcW w:w="520" w:type="dxa"/>
            <w:vAlign w:val="bottom"/>
            <w:tcBorders>
              <w:bottom w:val="single" w:sz="8" w:color="231F20"/>
            </w:tcBorders>
          </w:tcPr>
          <w:p>
            <w:pPr>
              <w:spacing w:after="0"/>
              <w:rPr>
                <w:sz w:val="24"/>
                <w:szCs w:val="24"/>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48.2</w:t>
            </w:r>
          </w:p>
        </w:tc>
      </w:tr>
      <w:tr>
        <w:trPr>
          <w:trHeight w:val="238"/>
        </w:trPr>
        <w:tc>
          <w:tcPr>
            <w:tcW w:w="360" w:type="dxa"/>
            <w:vAlign w:val="bottom"/>
            <w:tcBorders>
              <w:bottom w:val="single" w:sz="8" w:color="231F20"/>
            </w:tcBorders>
          </w:tcPr>
          <w:p>
            <w:pPr>
              <w:jc w:val="right"/>
              <w:ind w:right="103"/>
              <w:spacing w:after="0"/>
              <w:rPr>
                <w:sz w:val="20"/>
                <w:szCs w:val="20"/>
                <w:color w:val="auto"/>
              </w:rPr>
            </w:pPr>
            <w:r>
              <w:rPr>
                <w:rFonts w:ascii="Times New Roman" w:cs="Times New Roman" w:eastAsia="Times New Roman" w:hAnsi="Times New Roman"/>
                <w:sz w:val="19"/>
                <w:szCs w:val="19"/>
                <w:b w:val="1"/>
                <w:bCs w:val="1"/>
                <w:color w:val="231F20"/>
              </w:rPr>
              <w:t>$</w:t>
            </w:r>
          </w:p>
        </w:tc>
        <w:tc>
          <w:tcPr>
            <w:tcW w:w="900" w:type="dxa"/>
            <w:vAlign w:val="bottom"/>
            <w:tcBorders>
              <w:bottom w:val="single" w:sz="8" w:color="231F20"/>
            </w:tcBorders>
          </w:tcPr>
          <w:p>
            <w:pPr>
              <w:jc w:val="right"/>
              <w:ind w:right="23"/>
              <w:spacing w:after="0"/>
              <w:rPr>
                <w:sz w:val="20"/>
                <w:szCs w:val="20"/>
                <w:color w:val="auto"/>
              </w:rPr>
            </w:pPr>
            <w:r>
              <w:rPr>
                <w:rFonts w:ascii="Times New Roman" w:cs="Times New Roman" w:eastAsia="Times New Roman" w:hAnsi="Times New Roman"/>
                <w:sz w:val="19"/>
                <w:szCs w:val="19"/>
                <w:b w:val="1"/>
                <w:bCs w:val="1"/>
                <w:color w:val="231F20"/>
              </w:rPr>
              <w:t>1,101.8</w:t>
            </w:r>
          </w:p>
        </w:tc>
        <w:tc>
          <w:tcPr>
            <w:tcW w:w="520" w:type="dxa"/>
            <w:vAlign w:val="bottom"/>
            <w:tcBorders>
              <w:bottom w:val="single" w:sz="8" w:color="231F20"/>
            </w:tcBorders>
          </w:tcPr>
          <w:p>
            <w:pPr>
              <w:jc w:val="right"/>
              <w:ind w:right="243"/>
              <w:spacing w:after="0"/>
              <w:rPr>
                <w:sz w:val="20"/>
                <w:szCs w:val="20"/>
                <w:color w:val="auto"/>
              </w:rPr>
            </w:pPr>
            <w:r>
              <w:rPr>
                <w:rFonts w:ascii="Times New Roman" w:cs="Times New Roman" w:eastAsia="Times New Roman" w:hAnsi="Times New Roman"/>
                <w:sz w:val="19"/>
                <w:szCs w:val="19"/>
                <w:color w:val="231F20"/>
              </w:rPr>
              <w:t>$</w:t>
            </w: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866.6</w:t>
            </w:r>
          </w:p>
        </w:tc>
      </w:tr>
      <w:tr>
        <w:trPr>
          <w:trHeight w:val="20"/>
        </w:trPr>
        <w:tc>
          <w:tcPr>
            <w:tcW w:w="36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52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r>
    </w:tbl>
    <w:p>
      <w:pPr>
        <w:spacing w:after="0" w:line="19" w:lineRule="exact"/>
        <w:rPr>
          <w:sz w:val="20"/>
          <w:szCs w:val="20"/>
          <w:color w:val="auto"/>
        </w:rPr>
      </w:pPr>
    </w:p>
    <w:p>
      <w:pPr>
        <w:sectPr>
          <w:pgSz w:w="11880" w:h="15480" w:orient="portrait"/>
          <w:cols w:equalWidth="0" w:num="2">
            <w:col w:w="5080" w:space="200"/>
            <w:col w:w="4660"/>
          </w:cols>
          <w:pgMar w:left="960" w:top="825" w:right="980" w:bottom="0" w:gutter="0" w:footer="0" w:header="0"/>
          <w:type w:val="continuous"/>
        </w:sectPr>
      </w:pPr>
    </w:p>
    <w:p>
      <w:pPr>
        <w:ind w:left="180" w:right="820" w:hanging="177"/>
        <w:spacing w:after="0" w:line="238" w:lineRule="auto"/>
        <w:tabs>
          <w:tab w:leader="none" w:pos="148" w:val="left"/>
        </w:tabs>
        <w:numPr>
          <w:ilvl w:val="0"/>
          <w:numId w:val="10"/>
        </w:numPr>
        <w:rPr>
          <w:rFonts w:ascii="Times New Roman" w:cs="Times New Roman" w:eastAsia="Times New Roman" w:hAnsi="Times New Roman"/>
          <w:sz w:val="18"/>
          <w:szCs w:val="18"/>
          <w:color w:val="231F20"/>
          <w:vertAlign w:val="superscript"/>
        </w:rPr>
      </w:pPr>
      <w:r>
        <w:rPr>
          <w:rFonts w:ascii="Times New Roman" w:cs="Times New Roman" w:eastAsia="Times New Roman" w:hAnsi="Times New Roman"/>
          <w:sz w:val="14"/>
          <w:szCs w:val="14"/>
          <w:color w:val="231F20"/>
        </w:rPr>
        <w:t>For more information regarding our recent acquisitions and divestitures, refer to Note 3 to our consolidated financial statements titled, "Business Acquisitions, Divestitures, and Investments."</w:t>
      </w:r>
    </w:p>
    <w:p>
      <w:pPr>
        <w:ind w:left="160" w:hanging="157"/>
        <w:spacing w:after="0" w:line="192" w:lineRule="auto"/>
        <w:tabs>
          <w:tab w:leader="none" w:pos="160" w:val="left"/>
        </w:tabs>
        <w:numPr>
          <w:ilvl w:val="0"/>
          <w:numId w:val="10"/>
        </w:numPr>
        <w:rPr>
          <w:rFonts w:ascii="Times New Roman" w:cs="Times New Roman" w:eastAsia="Times New Roman" w:hAnsi="Times New Roman"/>
          <w:sz w:val="20"/>
          <w:szCs w:val="20"/>
          <w:color w:val="231F20"/>
          <w:vertAlign w:val="superscript"/>
        </w:rPr>
      </w:pPr>
      <w:r>
        <w:rPr>
          <w:rFonts w:ascii="Times New Roman" w:cs="Times New Roman" w:eastAsia="Times New Roman" w:hAnsi="Times New Roman"/>
          <w:sz w:val="16"/>
          <w:szCs w:val="16"/>
          <w:color w:val="231F20"/>
        </w:rPr>
        <w:t>Acquisition and integration related charges include transaction costs and integration expenses associated with acquisitions.</w:t>
      </w:r>
    </w:p>
    <w:p>
      <w:pPr>
        <w:spacing w:after="0" w:line="2" w:lineRule="exact"/>
        <w:rPr>
          <w:rFonts w:ascii="Times New Roman" w:cs="Times New Roman" w:eastAsia="Times New Roman" w:hAnsi="Times New Roman"/>
          <w:sz w:val="20"/>
          <w:szCs w:val="20"/>
          <w:color w:val="231F20"/>
          <w:vertAlign w:val="superscript"/>
        </w:rPr>
      </w:pPr>
    </w:p>
    <w:p>
      <w:pPr>
        <w:ind w:left="160" w:hanging="157"/>
        <w:spacing w:after="0" w:line="192" w:lineRule="auto"/>
        <w:tabs>
          <w:tab w:leader="none" w:pos="160" w:val="left"/>
        </w:tabs>
        <w:numPr>
          <w:ilvl w:val="0"/>
          <w:numId w:val="10"/>
        </w:numPr>
        <w:rPr>
          <w:rFonts w:ascii="Times New Roman" w:cs="Times New Roman" w:eastAsia="Times New Roman" w:hAnsi="Times New Roman"/>
          <w:sz w:val="20"/>
          <w:szCs w:val="20"/>
          <w:color w:val="231F20"/>
          <w:vertAlign w:val="superscript"/>
        </w:rPr>
      </w:pPr>
      <w:r>
        <w:rPr>
          <w:rFonts w:ascii="Times New Roman" w:cs="Times New Roman" w:eastAsia="Times New Roman" w:hAnsi="Times New Roman"/>
          <w:sz w:val="16"/>
          <w:szCs w:val="16"/>
          <w:color w:val="231F20"/>
        </w:rPr>
        <w:t>Costs incurred in tax restructuring.</w:t>
      </w:r>
    </w:p>
    <w:p>
      <w:pPr>
        <w:spacing w:after="0" w:line="2" w:lineRule="exact"/>
        <w:rPr>
          <w:rFonts w:ascii="Times New Roman" w:cs="Times New Roman" w:eastAsia="Times New Roman" w:hAnsi="Times New Roman"/>
          <w:sz w:val="20"/>
          <w:szCs w:val="20"/>
          <w:color w:val="231F20"/>
          <w:vertAlign w:val="superscript"/>
        </w:rPr>
      </w:pPr>
    </w:p>
    <w:p>
      <w:pPr>
        <w:ind w:left="140" w:hanging="137"/>
        <w:spacing w:after="0" w:line="226" w:lineRule="auto"/>
        <w:tabs>
          <w:tab w:leader="none" w:pos="140" w:val="left"/>
        </w:tabs>
        <w:numPr>
          <w:ilvl w:val="0"/>
          <w:numId w:val="10"/>
        </w:numPr>
        <w:rPr>
          <w:rFonts w:ascii="Times New Roman" w:cs="Times New Roman" w:eastAsia="Times New Roman" w:hAnsi="Times New Roman"/>
          <w:sz w:val="17"/>
          <w:szCs w:val="17"/>
          <w:color w:val="231F20"/>
          <w:vertAlign w:val="superscript"/>
        </w:rPr>
      </w:pPr>
      <w:r>
        <w:rPr>
          <w:rFonts w:ascii="Times New Roman" w:cs="Times New Roman" w:eastAsia="Times New Roman" w:hAnsi="Times New Roman"/>
          <w:sz w:val="13"/>
          <w:szCs w:val="13"/>
          <w:color w:val="231F20"/>
        </w:rPr>
        <w:t>For more information regarding the restructurings, refer to Note 2 to our consolidated financial statements titled, "Restructuring."</w:t>
      </w:r>
    </w:p>
    <w:p>
      <w:pPr>
        <w:spacing w:after="0" w:line="2" w:lineRule="exact"/>
        <w:rPr>
          <w:rFonts w:ascii="Times New Roman" w:cs="Times New Roman" w:eastAsia="Times New Roman" w:hAnsi="Times New Roman"/>
          <w:sz w:val="17"/>
          <w:szCs w:val="17"/>
          <w:color w:val="231F20"/>
          <w:vertAlign w:val="superscript"/>
        </w:rPr>
      </w:pPr>
    </w:p>
    <w:p>
      <w:pPr>
        <w:ind w:right="360" w:firstLine="3"/>
        <w:spacing w:after="0" w:line="227" w:lineRule="auto"/>
        <w:tabs>
          <w:tab w:leader="none" w:pos="156" w:val="left"/>
        </w:tabs>
        <w:numPr>
          <w:ilvl w:val="0"/>
          <w:numId w:val="10"/>
        </w:numPr>
        <w:rPr>
          <w:rFonts w:ascii="Times New Roman" w:cs="Times New Roman" w:eastAsia="Times New Roman" w:hAnsi="Times New Roman"/>
          <w:sz w:val="19"/>
          <w:szCs w:val="19"/>
          <w:color w:val="231F20"/>
          <w:vertAlign w:val="superscript"/>
        </w:rPr>
      </w:pPr>
      <w:r>
        <w:rPr>
          <w:rFonts w:ascii="Times New Roman" w:cs="Times New Roman" w:eastAsia="Times New Roman" w:hAnsi="Times New Roman"/>
          <w:sz w:val="15"/>
          <w:szCs w:val="15"/>
          <w:color w:val="231F20"/>
        </w:rPr>
        <w:t>For more information regarding the Illinois EO litigation settlement, refer to Note 12 to our consolidating financial statements titled "Commitments and Contingencies."</w:t>
      </w:r>
    </w:p>
    <w:p>
      <w:pPr>
        <w:spacing w:after="0" w:line="276" w:lineRule="exact"/>
        <w:rPr>
          <w:sz w:val="20"/>
          <w:szCs w:val="20"/>
          <w:color w:val="auto"/>
        </w:rPr>
      </w:pPr>
    </w:p>
    <w:p>
      <w:pPr>
        <w:ind w:firstLine="349"/>
        <w:spacing w:after="0" w:line="263" w:lineRule="auto"/>
        <w:rPr>
          <w:sz w:val="20"/>
          <w:szCs w:val="20"/>
          <w:color w:val="auto"/>
        </w:rPr>
      </w:pPr>
      <w:r>
        <w:rPr>
          <w:rFonts w:ascii="Times New Roman" w:cs="Times New Roman" w:eastAsia="Times New Roman" w:hAnsi="Times New Roman"/>
          <w:sz w:val="19"/>
          <w:szCs w:val="19"/>
          <w:color w:val="231F20"/>
        </w:rPr>
        <w:t>The Healthcare segment’s operating income increased $64.8 million to $1,036.4 million in fiscal year 2026, as compared to $971.5 million in fiscal year 2025. The increase in operating income is primarily due to the benefits of higher volume, pricing, and productivity, which were partially offset by increased tariff costs and inflation. The segment's operating margins were</w:t>
      </w:r>
    </w:p>
    <w:p>
      <w:pPr>
        <w:ind w:right="320"/>
        <w:spacing w:after="0" w:line="271" w:lineRule="auto"/>
        <w:rPr>
          <w:sz w:val="20"/>
          <w:szCs w:val="20"/>
          <w:color w:val="auto"/>
        </w:rPr>
      </w:pPr>
      <w:r>
        <w:rPr>
          <w:rFonts w:ascii="Times New Roman" w:cs="Times New Roman" w:eastAsia="Times New Roman" w:hAnsi="Times New Roman"/>
          <w:sz w:val="19"/>
          <w:szCs w:val="19"/>
          <w:color w:val="231F20"/>
        </w:rPr>
        <w:t>24.6% for fiscal year 2026 and 25.0% for fiscal year 2025. Operating margin declined as tariff costs and inflation more than offset the margin expansion otherwise driven by volume, pricing, and productivity.</w:t>
      </w:r>
    </w:p>
    <w:p>
      <w:pPr>
        <w:spacing w:after="0" w:line="69" w:lineRule="exact"/>
        <w:rPr>
          <w:sz w:val="20"/>
          <w:szCs w:val="20"/>
          <w:color w:val="auto"/>
        </w:rPr>
      </w:pPr>
    </w:p>
    <w:p>
      <w:pPr>
        <w:ind w:right="40" w:firstLine="349"/>
        <w:spacing w:after="0" w:line="268" w:lineRule="auto"/>
        <w:rPr>
          <w:sz w:val="20"/>
          <w:szCs w:val="20"/>
          <w:color w:val="auto"/>
        </w:rPr>
      </w:pPr>
      <w:r>
        <w:rPr>
          <w:rFonts w:ascii="Times New Roman" w:cs="Times New Roman" w:eastAsia="Times New Roman" w:hAnsi="Times New Roman"/>
          <w:sz w:val="19"/>
          <w:szCs w:val="19"/>
          <w:color w:val="231F20"/>
        </w:rPr>
        <w:t>The AST segment’s operating income increased $59.1 million to $524.7 million in fiscal year 2026, as compared to $465.6 million in fiscal year 2025. The AST segment's operating margins were 46.1% for fiscal year 2026 and 44.8% for fiscal year 2025. The increase in operating income and margin for the year is primarily due to higher pricing and volume, which were partially offset by increased labor inflation costs.</w:t>
      </w:r>
    </w:p>
    <w:p>
      <w:pPr>
        <w:spacing w:after="0" w:line="72" w:lineRule="exact"/>
        <w:rPr>
          <w:sz w:val="20"/>
          <w:szCs w:val="20"/>
          <w:color w:val="auto"/>
        </w:rPr>
      </w:pPr>
    </w:p>
    <w:p>
      <w:pPr>
        <w:ind w:right="120" w:firstLine="349"/>
        <w:spacing w:after="0" w:line="268" w:lineRule="auto"/>
        <w:rPr>
          <w:sz w:val="20"/>
          <w:szCs w:val="20"/>
          <w:color w:val="auto"/>
        </w:rPr>
      </w:pPr>
      <w:r>
        <w:rPr>
          <w:rFonts w:ascii="Times New Roman" w:cs="Times New Roman" w:eastAsia="Times New Roman" w:hAnsi="Times New Roman"/>
          <w:sz w:val="19"/>
          <w:szCs w:val="19"/>
          <w:color w:val="231F20"/>
        </w:rPr>
        <w:t>The Life Sciences segment’s operating income increased $21.5 million to $251.0 million in fiscal year 2026, as compared to $229.4 million in fiscal year 2025. The segment’s operating margins were 42.6% for fiscal year 2026 and 42.3% for fiscal year 2025. The increase in operating income and margin for the year is primarily due to the benefit of higher volume and pricing, which were partially offset by increased inflation and tariff costs.</w:t>
      </w:r>
    </w:p>
    <w:p>
      <w:pPr>
        <w:sectPr>
          <w:pgSz w:w="11880" w:h="15480" w:orient="portrait"/>
          <w:cols w:equalWidth="0" w:num="1">
            <w:col w:w="9940"/>
          </w:cols>
          <w:pgMar w:left="960" w:top="825"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38</w:t>
      </w:r>
    </w:p>
    <w:p>
      <w:pPr>
        <w:sectPr>
          <w:pgSz w:w="11880" w:h="15480" w:orient="portrait"/>
          <w:cols w:equalWidth="0" w:num="1">
            <w:col w:w="9940"/>
          </w:cols>
          <w:pgMar w:left="960" w:top="825" w:right="980" w:bottom="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9"/>
          <w:szCs w:val="19"/>
          <w:b w:val="1"/>
          <w:bCs w:val="1"/>
          <w:color w:val="231F20"/>
        </w:rPr>
        <w:t>LIQUIDITY AND CAPITAL RESOURCES</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The following table summarizes significant components of our cash flows for the years ended March 31, 2026 and 2025:</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300" w:type="dxa"/>
            <w:vAlign w:val="bottom"/>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2200" w:type="dxa"/>
            <w:vAlign w:val="bottom"/>
            <w:tcBorders>
              <w:bottom w:val="single" w:sz="8" w:color="231F20"/>
            </w:tcBorders>
            <w:gridSpan w:val="3"/>
          </w:tcPr>
          <w:p>
            <w:pPr>
              <w:jc w:val="right"/>
              <w:ind w:right="225"/>
              <w:spacing w:after="0"/>
              <w:rPr>
                <w:sz w:val="20"/>
                <w:szCs w:val="20"/>
                <w:color w:val="auto"/>
              </w:rPr>
            </w:pPr>
            <w:r>
              <w:rPr>
                <w:rFonts w:ascii="Times New Roman" w:cs="Times New Roman" w:eastAsia="Times New Roman" w:hAnsi="Times New Roman"/>
                <w:sz w:val="17"/>
                <w:szCs w:val="17"/>
                <w:color w:val="231F20"/>
              </w:rPr>
              <w:t>Years Ended March 31,</w:t>
            </w:r>
          </w:p>
        </w:tc>
        <w:tc>
          <w:tcPr>
            <w:tcW w:w="180" w:type="dxa"/>
            <w:vAlign w:val="bottom"/>
            <w:tcBorders>
              <w:bottom w:val="single" w:sz="8" w:color="231F20"/>
            </w:tcBorders>
          </w:tcPr>
          <w:p>
            <w:pPr>
              <w:spacing w:after="0"/>
              <w:rPr>
                <w:sz w:val="20"/>
                <w:szCs w:val="20"/>
                <w:color w:val="auto"/>
              </w:rPr>
            </w:pPr>
          </w:p>
        </w:tc>
      </w:tr>
      <w:tr>
        <w:trPr>
          <w:trHeight w:val="228"/>
        </w:trPr>
        <w:tc>
          <w:tcPr>
            <w:tcW w:w="730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7"/>
                <w:szCs w:val="17"/>
                <w:color w:val="231F20"/>
              </w:rPr>
              <w:t>(dollars in millions)</w:t>
            </w:r>
          </w:p>
        </w:tc>
        <w:tc>
          <w:tcPr>
            <w:tcW w:w="280" w:type="dxa"/>
            <w:vAlign w:val="bottom"/>
            <w:tcBorders>
              <w:bottom w:val="single" w:sz="8" w:color="231F20"/>
            </w:tcBorders>
          </w:tcPr>
          <w:p>
            <w:pPr>
              <w:spacing w:after="0"/>
              <w:rPr>
                <w:sz w:val="19"/>
                <w:szCs w:val="19"/>
                <w:color w:val="auto"/>
              </w:rPr>
            </w:pPr>
          </w:p>
        </w:tc>
        <w:tc>
          <w:tcPr>
            <w:tcW w:w="1060" w:type="dxa"/>
            <w:vAlign w:val="bottom"/>
            <w:tcBorders>
              <w:bottom w:val="single" w:sz="8" w:color="231F20"/>
            </w:tcBorders>
          </w:tcPr>
          <w:p>
            <w:pPr>
              <w:jc w:val="right"/>
              <w:ind w:right="426"/>
              <w:spacing w:after="0"/>
              <w:rPr>
                <w:sz w:val="20"/>
                <w:szCs w:val="20"/>
                <w:color w:val="auto"/>
              </w:rPr>
            </w:pPr>
            <w:r>
              <w:rPr>
                <w:rFonts w:ascii="Times New Roman" w:cs="Times New Roman" w:eastAsia="Times New Roman" w:hAnsi="Times New Roman"/>
                <w:sz w:val="17"/>
                <w:szCs w:val="17"/>
                <w:color w:val="231F20"/>
              </w:rPr>
              <w:t>2026</w:t>
            </w:r>
          </w:p>
        </w:tc>
        <w:tc>
          <w:tcPr>
            <w:tcW w:w="300" w:type="dxa"/>
            <w:vAlign w:val="bottom"/>
            <w:tcBorders>
              <w:bottom w:val="single" w:sz="8" w:color="231F20"/>
            </w:tcBorders>
          </w:tcPr>
          <w:p>
            <w:pPr>
              <w:spacing w:after="0"/>
              <w:rPr>
                <w:sz w:val="19"/>
                <w:szCs w:val="19"/>
                <w:color w:val="auto"/>
              </w:rPr>
            </w:pPr>
          </w:p>
        </w:tc>
        <w:tc>
          <w:tcPr>
            <w:tcW w:w="840" w:type="dxa"/>
            <w:vAlign w:val="bottom"/>
            <w:tcBorders>
              <w:bottom w:val="single" w:sz="8" w:color="231F20"/>
            </w:tcBorders>
          </w:tcPr>
          <w:p>
            <w:pPr>
              <w:jc w:val="right"/>
              <w:ind w:right="205"/>
              <w:spacing w:after="0"/>
              <w:rPr>
                <w:sz w:val="20"/>
                <w:szCs w:val="20"/>
                <w:color w:val="auto"/>
              </w:rPr>
            </w:pPr>
            <w:r>
              <w:rPr>
                <w:rFonts w:ascii="Times New Roman" w:cs="Times New Roman" w:eastAsia="Times New Roman" w:hAnsi="Times New Roman"/>
                <w:sz w:val="17"/>
                <w:szCs w:val="17"/>
                <w:color w:val="231F20"/>
              </w:rPr>
              <w:t>2025</w:t>
            </w:r>
          </w:p>
        </w:tc>
        <w:tc>
          <w:tcPr>
            <w:tcW w:w="180" w:type="dxa"/>
            <w:vAlign w:val="bottom"/>
            <w:tcBorders>
              <w:bottom w:val="single" w:sz="8" w:color="231F20"/>
            </w:tcBorders>
          </w:tcPr>
          <w:p>
            <w:pPr>
              <w:spacing w:after="0"/>
              <w:rPr>
                <w:sz w:val="19"/>
                <w:szCs w:val="19"/>
                <w:color w:val="auto"/>
              </w:rPr>
            </w:pPr>
          </w:p>
        </w:tc>
      </w:tr>
      <w:tr>
        <w:trPr>
          <w:trHeight w:val="283"/>
        </w:trPr>
        <w:tc>
          <w:tcPr>
            <w:tcW w:w="730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Net cash provided by operating activities</w:t>
            </w: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w:t>
            </w:r>
          </w:p>
        </w:tc>
        <w:tc>
          <w:tcPr>
            <w:tcW w:w="1060" w:type="dxa"/>
            <w:vAlign w:val="bottom"/>
          </w:tcPr>
          <w:p>
            <w:pPr>
              <w:jc w:val="right"/>
              <w:ind w:right="226"/>
              <w:spacing w:after="0"/>
              <w:rPr>
                <w:sz w:val="20"/>
                <w:szCs w:val="20"/>
                <w:color w:val="auto"/>
              </w:rPr>
            </w:pPr>
            <w:r>
              <w:rPr>
                <w:rFonts w:ascii="Times New Roman" w:cs="Times New Roman" w:eastAsia="Times New Roman" w:hAnsi="Times New Roman"/>
                <w:sz w:val="19"/>
                <w:szCs w:val="19"/>
                <w:b w:val="1"/>
                <w:bCs w:val="1"/>
                <w:color w:val="231F20"/>
              </w:rPr>
              <w:t>1,341.4</w:t>
            </w:r>
          </w:p>
        </w:tc>
        <w:tc>
          <w:tcPr>
            <w:tcW w:w="30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1,148.1</w:t>
            </w:r>
          </w:p>
        </w:tc>
        <w:tc>
          <w:tcPr>
            <w:tcW w:w="180" w:type="dxa"/>
            <w:vAlign w:val="bottom"/>
          </w:tcPr>
          <w:p>
            <w:pPr>
              <w:spacing w:after="0"/>
              <w:rPr>
                <w:sz w:val="24"/>
                <w:szCs w:val="24"/>
                <w:color w:val="auto"/>
              </w:rPr>
            </w:pPr>
          </w:p>
        </w:tc>
      </w:tr>
      <w:tr>
        <w:trPr>
          <w:trHeight w:val="291"/>
        </w:trPr>
        <w:tc>
          <w:tcPr>
            <w:tcW w:w="730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Net cash (used in) provided by investing activities</w:t>
            </w:r>
          </w:p>
        </w:tc>
        <w:tc>
          <w:tcPr>
            <w:tcW w:w="280" w:type="dxa"/>
            <w:vAlign w:val="bottom"/>
          </w:tcPr>
          <w:p>
            <w:pPr>
              <w:spacing w:after="0"/>
              <w:rPr>
                <w:sz w:val="24"/>
                <w:szCs w:val="24"/>
                <w:color w:val="auto"/>
              </w:rPr>
            </w:pPr>
          </w:p>
        </w:tc>
        <w:tc>
          <w:tcPr>
            <w:tcW w:w="1060" w:type="dxa"/>
            <w:vAlign w:val="bottom"/>
          </w:tcPr>
          <w:p>
            <w:pPr>
              <w:jc w:val="right"/>
              <w:ind w:right="166"/>
              <w:spacing w:after="0"/>
              <w:rPr>
                <w:sz w:val="20"/>
                <w:szCs w:val="20"/>
                <w:color w:val="auto"/>
              </w:rPr>
            </w:pPr>
            <w:r>
              <w:rPr>
                <w:rFonts w:ascii="Times New Roman" w:cs="Times New Roman" w:eastAsia="Times New Roman" w:hAnsi="Times New Roman"/>
                <w:sz w:val="19"/>
                <w:szCs w:val="19"/>
                <w:b w:val="1"/>
                <w:bCs w:val="1"/>
                <w:color w:val="231F20"/>
              </w:rPr>
              <w:t>(512.5)</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388.8</w:t>
            </w:r>
          </w:p>
        </w:tc>
        <w:tc>
          <w:tcPr>
            <w:tcW w:w="180" w:type="dxa"/>
            <w:vAlign w:val="bottom"/>
          </w:tcPr>
          <w:p>
            <w:pPr>
              <w:spacing w:after="0"/>
              <w:rPr>
                <w:sz w:val="24"/>
                <w:szCs w:val="24"/>
                <w:color w:val="auto"/>
              </w:rPr>
            </w:pPr>
          </w:p>
        </w:tc>
      </w:tr>
      <w:tr>
        <w:trPr>
          <w:trHeight w:val="291"/>
        </w:trPr>
        <w:tc>
          <w:tcPr>
            <w:tcW w:w="730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Net cash used in financing activities</w:t>
            </w:r>
          </w:p>
        </w:tc>
        <w:tc>
          <w:tcPr>
            <w:tcW w:w="280" w:type="dxa"/>
            <w:vAlign w:val="bottom"/>
          </w:tcPr>
          <w:p>
            <w:pPr>
              <w:spacing w:after="0"/>
              <w:rPr>
                <w:sz w:val="24"/>
                <w:szCs w:val="24"/>
                <w:color w:val="auto"/>
              </w:rPr>
            </w:pPr>
          </w:p>
        </w:tc>
        <w:tc>
          <w:tcPr>
            <w:tcW w:w="1060" w:type="dxa"/>
            <w:vAlign w:val="bottom"/>
          </w:tcPr>
          <w:p>
            <w:pPr>
              <w:jc w:val="right"/>
              <w:ind w:right="166"/>
              <w:spacing w:after="0"/>
              <w:rPr>
                <w:sz w:val="20"/>
                <w:szCs w:val="20"/>
                <w:color w:val="auto"/>
              </w:rPr>
            </w:pPr>
            <w:r>
              <w:rPr>
                <w:rFonts w:ascii="Times New Roman" w:cs="Times New Roman" w:eastAsia="Times New Roman" w:hAnsi="Times New Roman"/>
                <w:sz w:val="19"/>
                <w:szCs w:val="19"/>
                <w:b w:val="1"/>
                <w:bCs w:val="1"/>
                <w:color w:val="231F20"/>
              </w:rPr>
              <w:t>(568.2)</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(1,572.4)</w:t>
            </w:r>
          </w:p>
        </w:tc>
        <w:tc>
          <w:tcPr>
            <w:tcW w:w="180" w:type="dxa"/>
            <w:vAlign w:val="bottom"/>
          </w:tcPr>
          <w:p>
            <w:pPr>
              <w:spacing w:after="0"/>
              <w:rPr>
                <w:sz w:val="24"/>
                <w:szCs w:val="24"/>
                <w:color w:val="auto"/>
              </w:rPr>
            </w:pPr>
          </w:p>
        </w:tc>
      </w:tr>
      <w:tr>
        <w:trPr>
          <w:trHeight w:val="291"/>
        </w:trPr>
        <w:tc>
          <w:tcPr>
            <w:tcW w:w="730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Debt-to-total capital ratio</w:t>
            </w: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21.3 %</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23.6</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88"/>
              </w:rPr>
              <w:t>%</w:t>
            </w:r>
          </w:p>
        </w:tc>
      </w:tr>
      <w:tr>
        <w:trPr>
          <w:trHeight w:val="291"/>
        </w:trPr>
        <w:tc>
          <w:tcPr>
            <w:tcW w:w="730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Free cash flow</w:t>
            </w: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w:t>
            </w:r>
          </w:p>
        </w:tc>
        <w:tc>
          <w:tcPr>
            <w:tcW w:w="1060" w:type="dxa"/>
            <w:vAlign w:val="bottom"/>
          </w:tcPr>
          <w:p>
            <w:pPr>
              <w:jc w:val="right"/>
              <w:ind w:right="226"/>
              <w:spacing w:after="0"/>
              <w:rPr>
                <w:sz w:val="20"/>
                <w:szCs w:val="20"/>
                <w:color w:val="auto"/>
              </w:rPr>
            </w:pPr>
            <w:r>
              <w:rPr>
                <w:rFonts w:ascii="Times New Roman" w:cs="Times New Roman" w:eastAsia="Times New Roman" w:hAnsi="Times New Roman"/>
                <w:sz w:val="19"/>
                <w:szCs w:val="19"/>
                <w:b w:val="1"/>
                <w:bCs w:val="1"/>
                <w:color w:val="231F20"/>
              </w:rPr>
              <w:t>982.9</w:t>
            </w:r>
          </w:p>
        </w:tc>
        <w:tc>
          <w:tcPr>
            <w:tcW w:w="30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787.2</w:t>
            </w:r>
          </w:p>
        </w:tc>
        <w:tc>
          <w:tcPr>
            <w:tcW w:w="180" w:type="dxa"/>
            <w:vAlign w:val="bottom"/>
          </w:tcPr>
          <w:p>
            <w:pPr>
              <w:spacing w:after="0"/>
              <w:rPr>
                <w:sz w:val="24"/>
                <w:szCs w:val="24"/>
                <w:color w:val="auto"/>
              </w:rPr>
            </w:pPr>
          </w:p>
        </w:tc>
      </w:tr>
    </w:tbl>
    <w:p>
      <w:pPr>
        <w:spacing w:after="0" w:line="162" w:lineRule="exact"/>
        <w:rPr>
          <w:sz w:val="20"/>
          <w:szCs w:val="20"/>
          <w:color w:val="auto"/>
        </w:rPr>
      </w:pPr>
    </w:p>
    <w:p>
      <w:pPr>
        <w:ind w:right="240" w:firstLine="349"/>
        <w:spacing w:after="0" w:line="266" w:lineRule="auto"/>
        <w:rPr>
          <w:sz w:val="20"/>
          <w:szCs w:val="20"/>
          <w:color w:val="auto"/>
        </w:rPr>
      </w:pPr>
      <w:r>
        <w:rPr>
          <w:rFonts w:ascii="Times New Roman" w:cs="Times New Roman" w:eastAsia="Times New Roman" w:hAnsi="Times New Roman"/>
          <w:sz w:val="19"/>
          <w:szCs w:val="19"/>
          <w:b w:val="1"/>
          <w:bCs w:val="1"/>
          <w:i w:val="1"/>
          <w:iCs w:val="1"/>
          <w:color w:val="231F20"/>
        </w:rPr>
        <w:t xml:space="preserve">Net Cash Provided By Operating Activities </w:t>
      </w:r>
      <w:r>
        <w:rPr>
          <w:rFonts w:ascii="Times New Roman" w:cs="Times New Roman" w:eastAsia="Times New Roman" w:hAnsi="Times New Roman"/>
          <w:sz w:val="19"/>
          <w:szCs w:val="19"/>
          <w:color w:val="231F20"/>
        </w:rPr>
        <w:t>– The net cash provided by our operating activities was $1,341.4 million for</w:t>
      </w:r>
      <w:r>
        <w:rPr>
          <w:rFonts w:ascii="Times New Roman" w:cs="Times New Roman" w:eastAsia="Times New Roman" w:hAnsi="Times New Roman"/>
          <w:sz w:val="19"/>
          <w:szCs w:val="19"/>
          <w:b w:val="1"/>
          <w:bCs w:val="1"/>
          <w:i w:val="1"/>
          <w:iCs w:val="1"/>
          <w:color w:val="231F20"/>
        </w:rPr>
        <w:t xml:space="preserve"> </w:t>
      </w:r>
      <w:r>
        <w:rPr>
          <w:rFonts w:ascii="Times New Roman" w:cs="Times New Roman" w:eastAsia="Times New Roman" w:hAnsi="Times New Roman"/>
          <w:sz w:val="19"/>
          <w:szCs w:val="19"/>
          <w:color w:val="231F20"/>
        </w:rPr>
        <w:t>the year ended March 31, 2026, compared to $1,148.1 million for the year ended March 31, 2025. Net cash provided by operating activities increased in fiscal 2026 by 16.8% over fiscal 2025, and was driven primarily by improvements in net income, which more than offset the significantly lower contribution from working capital in fiscal 2026 compared with fiscal 2025.</w:t>
      </w:r>
    </w:p>
    <w:p>
      <w:pPr>
        <w:spacing w:after="0" w:line="70" w:lineRule="exact"/>
        <w:rPr>
          <w:sz w:val="20"/>
          <w:szCs w:val="20"/>
          <w:color w:val="auto"/>
        </w:rPr>
      </w:pPr>
    </w:p>
    <w:p>
      <w:pPr>
        <w:ind w:right="100" w:firstLine="437"/>
        <w:spacing w:after="0" w:line="269" w:lineRule="auto"/>
        <w:rPr>
          <w:sz w:val="20"/>
          <w:szCs w:val="20"/>
          <w:color w:val="auto"/>
        </w:rPr>
      </w:pPr>
      <w:r>
        <w:rPr>
          <w:rFonts w:ascii="Times New Roman" w:cs="Times New Roman" w:eastAsia="Times New Roman" w:hAnsi="Times New Roman"/>
          <w:sz w:val="19"/>
          <w:szCs w:val="19"/>
          <w:b w:val="1"/>
          <w:bCs w:val="1"/>
          <w:i w:val="1"/>
          <w:iCs w:val="1"/>
          <w:color w:val="231F20"/>
        </w:rPr>
        <w:t xml:space="preserve">Net Cash Provided By/Used In Investing Activities </w:t>
      </w:r>
      <w:r>
        <w:rPr>
          <w:rFonts w:ascii="Times New Roman" w:cs="Times New Roman" w:eastAsia="Times New Roman" w:hAnsi="Times New Roman"/>
          <w:sz w:val="19"/>
          <w:szCs w:val="19"/>
          <w:color w:val="231F20"/>
        </w:rPr>
        <w:t>– The net cash used in our investing activities was $512.5 million for</w:t>
      </w:r>
      <w:r>
        <w:rPr>
          <w:rFonts w:ascii="Times New Roman" w:cs="Times New Roman" w:eastAsia="Times New Roman" w:hAnsi="Times New Roman"/>
          <w:sz w:val="19"/>
          <w:szCs w:val="19"/>
          <w:b w:val="1"/>
          <w:bCs w:val="1"/>
          <w:i w:val="1"/>
          <w:iCs w:val="1"/>
          <w:color w:val="231F20"/>
        </w:rPr>
        <w:t xml:space="preserve"> </w:t>
      </w:r>
      <w:r>
        <w:rPr>
          <w:rFonts w:ascii="Times New Roman" w:cs="Times New Roman" w:eastAsia="Times New Roman" w:hAnsi="Times New Roman"/>
          <w:sz w:val="19"/>
          <w:szCs w:val="19"/>
          <w:color w:val="231F20"/>
        </w:rPr>
        <w:t>the year ended March 31, 2026, compared to net cash provided by our investing activities of $388.8 million for the year ended March 31, 2025. The following discussion summarizes the significant changes in our investing cash flows for the years ended March 31, 2026 and 2025:</w:t>
      </w:r>
    </w:p>
    <w:p>
      <w:pPr>
        <w:spacing w:after="0" w:line="98" w:lineRule="exact"/>
        <w:rPr>
          <w:sz w:val="20"/>
          <w:szCs w:val="20"/>
          <w:color w:val="auto"/>
        </w:rPr>
      </w:pPr>
    </w:p>
    <w:p>
      <w:pPr>
        <w:ind w:left="360" w:right="580" w:hanging="357"/>
        <w:spacing w:after="0" w:line="277" w:lineRule="auto"/>
        <w:tabs>
          <w:tab w:leader="none" w:pos="360" w:val="left"/>
        </w:tabs>
        <w:numPr>
          <w:ilvl w:val="0"/>
          <w:numId w:val="11"/>
        </w:numPr>
        <w:rPr>
          <w:rFonts w:ascii="Calibri" w:cs="Calibri" w:eastAsia="Calibri" w:hAnsi="Calibri"/>
          <w:sz w:val="21"/>
          <w:szCs w:val="21"/>
          <w:color w:val="231F20"/>
        </w:rPr>
      </w:pPr>
      <w:r>
        <w:rPr>
          <w:rFonts w:ascii="Times New Roman" w:cs="Times New Roman" w:eastAsia="Times New Roman" w:hAnsi="Times New Roman"/>
          <w:sz w:val="19"/>
          <w:szCs w:val="19"/>
          <w:u w:val="single" w:color="auto"/>
          <w:color w:val="231F20"/>
        </w:rPr>
        <w:t>Purchases of property, plant, equipment, and intangibles</w:t>
      </w:r>
      <w:r>
        <w:rPr>
          <w:rFonts w:ascii="Times New Roman" w:cs="Times New Roman" w:eastAsia="Times New Roman" w:hAnsi="Times New Roman"/>
          <w:sz w:val="19"/>
          <w:szCs w:val="19"/>
          <w:color w:val="231F20"/>
        </w:rPr>
        <w:t xml:space="preserve"> – Capital expenditures totaled $369.0 million in fiscal 2026 compared to $370.1 million in fiscal 2025.</w:t>
      </w:r>
    </w:p>
    <w:p>
      <w:pPr>
        <w:spacing w:after="0" w:line="55" w:lineRule="exact"/>
        <w:rPr>
          <w:rFonts w:ascii="Calibri" w:cs="Calibri" w:eastAsia="Calibri" w:hAnsi="Calibri"/>
          <w:sz w:val="21"/>
          <w:szCs w:val="21"/>
          <w:color w:val="231F20"/>
        </w:rPr>
      </w:pPr>
    </w:p>
    <w:p>
      <w:pPr>
        <w:ind w:left="360" w:right="40" w:hanging="357"/>
        <w:spacing w:after="0" w:line="268" w:lineRule="auto"/>
        <w:tabs>
          <w:tab w:leader="none" w:pos="360" w:val="left"/>
        </w:tabs>
        <w:numPr>
          <w:ilvl w:val="0"/>
          <w:numId w:val="1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Proceeds from the sale of businesses</w:t>
      </w:r>
      <w:r>
        <w:rPr>
          <w:rFonts w:ascii="Times New Roman" w:cs="Times New Roman" w:eastAsia="Times New Roman" w:hAnsi="Times New Roman"/>
          <w:sz w:val="19"/>
          <w:szCs w:val="19"/>
          <w:color w:val="231F20"/>
        </w:rPr>
        <w:t xml:space="preserve"> – During fiscal 2025, we received proceeds of $814.6 million primarily from the sales of our Dental segment and our CECS businesses. For more information, refer to Note 3 to our consolidated financial statements titled, "Business Acquisitions, Divestitures, and Investments" and Note 4 to our consolidated financial statements titled "Discontinued Operations."</w:t>
      </w:r>
    </w:p>
    <w:p>
      <w:pPr>
        <w:spacing w:after="0" w:line="71" w:lineRule="exact"/>
        <w:rPr>
          <w:rFonts w:ascii="Times New Roman" w:cs="Times New Roman" w:eastAsia="Times New Roman" w:hAnsi="Times New Roman"/>
          <w:sz w:val="19"/>
          <w:szCs w:val="19"/>
          <w:color w:val="231F20"/>
        </w:rPr>
      </w:pPr>
    </w:p>
    <w:p>
      <w:pPr>
        <w:ind w:left="360" w:right="160" w:hanging="357"/>
        <w:spacing w:after="0" w:line="265" w:lineRule="auto"/>
        <w:tabs>
          <w:tab w:leader="none" w:pos="360" w:val="left"/>
        </w:tabs>
        <w:numPr>
          <w:ilvl w:val="0"/>
          <w:numId w:val="1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Purchases of investments</w:t>
      </w:r>
      <w:r>
        <w:rPr>
          <w:rFonts w:ascii="Times New Roman" w:cs="Times New Roman" w:eastAsia="Times New Roman" w:hAnsi="Times New Roman"/>
          <w:sz w:val="19"/>
          <w:szCs w:val="19"/>
          <w:color w:val="231F20"/>
        </w:rPr>
        <w:t xml:space="preserve"> – During fiscal 2026, we purchased $134.0 million in investments, predominantly related to a noncontrolling equity investment in a non-U.S.-based healthcare product manufacturer. During fiscal 2025, we purchased $10.8 million in equity investments and convertible notes related to funding the development of intellectual property and access to new markets. For more information on our equity investments, refer to Note 3 to our consolidated financial statements titled, "Business Acquisitions and Divestitures."</w:t>
      </w:r>
    </w:p>
    <w:p>
      <w:pPr>
        <w:spacing w:after="0" w:line="74" w:lineRule="exact"/>
        <w:rPr>
          <w:rFonts w:ascii="Times New Roman" w:cs="Times New Roman" w:eastAsia="Times New Roman" w:hAnsi="Times New Roman"/>
          <w:sz w:val="19"/>
          <w:szCs w:val="19"/>
          <w:color w:val="231F20"/>
        </w:rPr>
      </w:pPr>
    </w:p>
    <w:p>
      <w:pPr>
        <w:ind w:left="360" w:right="40" w:hanging="357"/>
        <w:spacing w:after="0" w:line="274" w:lineRule="auto"/>
        <w:tabs>
          <w:tab w:leader="none" w:pos="360" w:val="left"/>
        </w:tabs>
        <w:numPr>
          <w:ilvl w:val="0"/>
          <w:numId w:val="1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Acquisition of businesses, net of cash acquired</w:t>
      </w:r>
      <w:r>
        <w:rPr>
          <w:rFonts w:ascii="Times New Roman" w:cs="Times New Roman" w:eastAsia="Times New Roman" w:hAnsi="Times New Roman"/>
          <w:sz w:val="19"/>
          <w:szCs w:val="19"/>
          <w:color w:val="231F20"/>
        </w:rPr>
        <w:t xml:space="preserve"> – During fiscal 2026 and 2025, we used $20.1 million and $54.1 million, respectively, to acquire businesses. For more information on these acquisitions refer to Note 3 to our consolidated financial statements titled, "Business Acquisitions, Divestitures, and Investments."</w:t>
      </w:r>
    </w:p>
    <w:p>
      <w:pPr>
        <w:spacing w:after="0" w:line="63" w:lineRule="exact"/>
        <w:rPr>
          <w:sz w:val="20"/>
          <w:szCs w:val="20"/>
          <w:color w:val="auto"/>
        </w:rPr>
      </w:pPr>
    </w:p>
    <w:p>
      <w:pPr>
        <w:ind w:right="180" w:firstLine="349"/>
        <w:spacing w:after="0" w:line="269" w:lineRule="auto"/>
        <w:rPr>
          <w:sz w:val="20"/>
          <w:szCs w:val="20"/>
          <w:color w:val="auto"/>
        </w:rPr>
      </w:pPr>
      <w:r>
        <w:rPr>
          <w:rFonts w:ascii="Times New Roman" w:cs="Times New Roman" w:eastAsia="Times New Roman" w:hAnsi="Times New Roman"/>
          <w:sz w:val="19"/>
          <w:szCs w:val="19"/>
          <w:b w:val="1"/>
          <w:bCs w:val="1"/>
          <w:i w:val="1"/>
          <w:iCs w:val="1"/>
          <w:color w:val="231F20"/>
        </w:rPr>
        <w:t xml:space="preserve">Net Cash Used In Financing Activities </w:t>
      </w:r>
      <w:r>
        <w:rPr>
          <w:rFonts w:ascii="Times New Roman" w:cs="Times New Roman" w:eastAsia="Times New Roman" w:hAnsi="Times New Roman"/>
          <w:sz w:val="19"/>
          <w:szCs w:val="19"/>
          <w:color w:val="231F20"/>
        </w:rPr>
        <w:t>– Net cash used in financing activities was $568.2 million for the year ended</w:t>
      </w:r>
      <w:r>
        <w:rPr>
          <w:rFonts w:ascii="Times New Roman" w:cs="Times New Roman" w:eastAsia="Times New Roman" w:hAnsi="Times New Roman"/>
          <w:sz w:val="19"/>
          <w:szCs w:val="19"/>
          <w:b w:val="1"/>
          <w:bCs w:val="1"/>
          <w:i w:val="1"/>
          <w:iCs w:val="1"/>
          <w:color w:val="231F20"/>
        </w:rPr>
        <w:t xml:space="preserve"> </w:t>
      </w:r>
      <w:r>
        <w:rPr>
          <w:rFonts w:ascii="Times New Roman" w:cs="Times New Roman" w:eastAsia="Times New Roman" w:hAnsi="Times New Roman"/>
          <w:sz w:val="19"/>
          <w:szCs w:val="19"/>
          <w:color w:val="231F20"/>
        </w:rPr>
        <w:t>March 31, 2026, compared to net cash used in financing activities of $1,572.4 million for the year ended March 31, 2025. The following discussion summarizes the significant changes in our financing cash flows for the years ended March 31, 2026 and 2025:</w:t>
      </w:r>
    </w:p>
    <w:p>
      <w:pPr>
        <w:spacing w:after="0" w:line="72" w:lineRule="exact"/>
        <w:rPr>
          <w:sz w:val="20"/>
          <w:szCs w:val="20"/>
          <w:color w:val="auto"/>
        </w:rPr>
      </w:pPr>
    </w:p>
    <w:p>
      <w:pPr>
        <w:ind w:left="360" w:hanging="357"/>
        <w:spacing w:after="0" w:line="274" w:lineRule="auto"/>
        <w:tabs>
          <w:tab w:leader="none" w:pos="360" w:val="left"/>
        </w:tabs>
        <w:numPr>
          <w:ilvl w:val="0"/>
          <w:numId w:val="1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Payments on term loans</w:t>
      </w:r>
      <w:r>
        <w:rPr>
          <w:rFonts w:ascii="Times New Roman" w:cs="Times New Roman" w:eastAsia="Times New Roman" w:hAnsi="Times New Roman"/>
          <w:sz w:val="19"/>
          <w:szCs w:val="19"/>
          <w:color w:val="231F20"/>
        </w:rPr>
        <w:t xml:space="preserve"> – During fiscal 2025, we repaid $638.1 million of our term loans. Our fiscal 2025 repayments were made with the proceeds from the sale of the Dental segment and funds generated from our operations. For more information on our term loans, refer to Note 8 to our consolidated financial statements titled, "Debt."</w:t>
      </w:r>
    </w:p>
    <w:p>
      <w:pPr>
        <w:spacing w:after="0" w:line="66" w:lineRule="exact"/>
        <w:rPr>
          <w:rFonts w:ascii="Times New Roman" w:cs="Times New Roman" w:eastAsia="Times New Roman" w:hAnsi="Times New Roman"/>
          <w:sz w:val="19"/>
          <w:szCs w:val="19"/>
          <w:color w:val="231F20"/>
        </w:rPr>
      </w:pPr>
    </w:p>
    <w:p>
      <w:pPr>
        <w:jc w:val="both"/>
        <w:ind w:left="360" w:hanging="357"/>
        <w:spacing w:after="0" w:line="274" w:lineRule="auto"/>
        <w:tabs>
          <w:tab w:leader="none" w:pos="360" w:val="left"/>
        </w:tabs>
        <w:numPr>
          <w:ilvl w:val="0"/>
          <w:numId w:val="1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Payments on Private Placement Senior Notes</w:t>
      </w:r>
      <w:r>
        <w:rPr>
          <w:rFonts w:ascii="Times New Roman" w:cs="Times New Roman" w:eastAsia="Times New Roman" w:hAnsi="Times New Roman"/>
          <w:sz w:val="19"/>
          <w:szCs w:val="19"/>
          <w:color w:val="231F20"/>
        </w:rPr>
        <w:t xml:space="preserve"> – During fiscal 2026 and 2025, we repaid $125.0 million and $80.0 million of Private Placement Senior Notes, respectively, upon maturity. For more information on our Private Placement Senior Notes, refer to Note 8 to our consolidated financial statements titled, "Debt."</w:t>
      </w:r>
    </w:p>
    <w:p>
      <w:pPr>
        <w:spacing w:after="0" w:line="66" w:lineRule="exact"/>
        <w:rPr>
          <w:rFonts w:ascii="Times New Roman" w:cs="Times New Roman" w:eastAsia="Times New Roman" w:hAnsi="Times New Roman"/>
          <w:sz w:val="19"/>
          <w:szCs w:val="19"/>
          <w:color w:val="231F20"/>
        </w:rPr>
      </w:pPr>
    </w:p>
    <w:p>
      <w:pPr>
        <w:ind w:left="360" w:right="60" w:hanging="357"/>
        <w:spacing w:after="0" w:line="264" w:lineRule="auto"/>
        <w:tabs>
          <w:tab w:leader="none" w:pos="360" w:val="left"/>
        </w:tabs>
        <w:numPr>
          <w:ilvl w:val="0"/>
          <w:numId w:val="1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Payments/Proceeds under credit facilities, net</w:t>
      </w:r>
      <w:r>
        <w:rPr>
          <w:rFonts w:ascii="Times New Roman" w:cs="Times New Roman" w:eastAsia="Times New Roman" w:hAnsi="Times New Roman"/>
          <w:sz w:val="19"/>
          <w:szCs w:val="19"/>
          <w:color w:val="231F20"/>
        </w:rPr>
        <w:t xml:space="preserve"> – Net proceeds under credit facilities totaled $3.0 million for fiscal 2026 compared to net payments under credit facilities of $446.3 million for fiscal 2025. The fiscal 2025 payments were made using proceeds from the sale of the Dental segment and funds generated by our operations. At the end of fiscal 2026, $37.8 million of debt was outstanding under our bank credit facility, compared to $34.8 million at the end of fiscal 2025. We provide additional information about our bank credit facility in Note 8 to our consolidated financial statements titled, "Debt."</w:t>
      </w:r>
    </w:p>
    <w:p>
      <w:pPr>
        <w:spacing w:after="0" w:line="311" w:lineRule="exact"/>
        <w:rPr>
          <w:rFonts w:ascii="Times New Roman" w:cs="Times New Roman" w:eastAsia="Times New Roman" w:hAnsi="Times New Roman"/>
          <w:sz w:val="19"/>
          <w:szCs w:val="19"/>
          <w:color w:val="231F20"/>
        </w:rPr>
      </w:pPr>
    </w:p>
    <w:p>
      <w:pPr>
        <w:ind w:left="360" w:right="280" w:hanging="357"/>
        <w:spacing w:after="0" w:line="293" w:lineRule="auto"/>
        <w:tabs>
          <w:tab w:leader="none" w:pos="360" w:val="left"/>
        </w:tabs>
        <w:numPr>
          <w:ilvl w:val="0"/>
          <w:numId w:val="1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Repurchases of ordinary shares</w:t>
      </w:r>
      <w:r>
        <w:rPr>
          <w:rFonts w:ascii="Times New Roman" w:cs="Times New Roman" w:eastAsia="Times New Roman" w:hAnsi="Times New Roman"/>
          <w:sz w:val="19"/>
          <w:szCs w:val="19"/>
          <w:color w:val="231F20"/>
        </w:rPr>
        <w:t xml:space="preserve"> – During both fiscal 2026 and 2025, we obtained 0.1 million of our ordinary shares in connection with share-based compensation award programs in the aggregate amount of $12.5 million and $11.3 million,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1765300</wp:posOffset>
                </wp:positionH>
                <wp:positionV relativeFrom="paragraph">
                  <wp:posOffset>-300355</wp:posOffset>
                </wp:positionV>
                <wp:extent cx="92710" cy="112395"/>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710" cy="112395"/>
                        </a:xfrm>
                        <a:prstGeom prst="rect">
                          <a:avLst/>
                        </a:prstGeom>
                        <a:solidFill>
                          <a:srgbClr val="FFFFFF"/>
                        </a:solidFill>
                      </wps:spPr>
                      <wps:bodyPr/>
                    </wps:wsp>
                  </a:graphicData>
                </a:graphic>
              </wp:anchor>
            </w:drawing>
          </mc:Choice>
          <mc:Fallback>
            <w:pict>
              <v:rect id="Shape 11" o:spid="_x0000_s1036" style="position:absolute;margin-left:139pt;margin-top:-23.6499pt;width:7.3pt;height:8.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ectPr>
          <w:pgSz w:w="11880" w:h="15480" w:orient="portrait"/>
          <w:cols w:equalWidth="0" w:num="1">
            <w:col w:w="9960"/>
          </w:cols>
          <w:pgMar w:left="960" w:top="818" w:right="960" w:bottom="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39</w:t>
      </w:r>
    </w:p>
    <w:p>
      <w:pPr>
        <w:sectPr>
          <w:pgSz w:w="11880" w:h="15480" w:orient="portrait"/>
          <w:cols w:equalWidth="0" w:num="1">
            <w:col w:w="9960"/>
          </w:cols>
          <w:pgMar w:left="960" w:top="818" w:right="960" w:bottom="0" w:gutter="0" w:footer="0" w:header="0"/>
          <w:type w:val="continuous"/>
        </w:sectPr>
      </w:pPr>
    </w:p>
    <w:bookmarkStart w:id="40" w:name="page41"/>
    <w:bookmarkEnd w:id="40"/>
    <w:p>
      <w:pPr>
        <w:ind w:left="360"/>
        <w:spacing w:after="0"/>
        <w:rPr>
          <w:sz w:val="20"/>
          <w:szCs w:val="20"/>
          <w:color w:val="auto"/>
        </w:rPr>
      </w:pPr>
      <w:r>
        <w:rPr>
          <w:rFonts w:ascii="Times New Roman" w:cs="Times New Roman" w:eastAsia="Times New Roman" w:hAnsi="Times New Roman"/>
          <w:sz w:val="19"/>
          <w:szCs w:val="19"/>
          <w:color w:val="231F20"/>
        </w:rPr>
        <w:t>respectively. During fiscal 2026, we repurchased 0.9 million of our ordinary shares in the aggregate amount of $225.0</w:t>
      </w:r>
    </w:p>
    <w:p>
      <w:pPr>
        <w:spacing w:after="0" w:line="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million (exclusive of fees, commissions, and other charges) through our Outgoing Repurchase Program. During fiscal</w:t>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2025, we repurchased 0.9 million of our ordinary shares for the aggregate amount of $200.0 million (exclusive of fees,</w:t>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commissions, and other charges) through our Outgoing Repurchase Program. On May 5, 2026, the Board of Directors</w:t>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terminated the Outgoing Repurchase Program and authorized the New Repurchase Program for the purchase of up to</w:t>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$1,000.0 million (exclusive of fees, commissions, and other charges). We provide additional information about our share</w:t>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repurchases, the Outgoing Repurchase Program and the New Repurchase Program in Note 15 to our consolidated financial</w:t>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statements titled, "Repurchases of Ordinary Shares."</w:t>
      </w:r>
    </w:p>
    <w:p>
      <w:pPr>
        <w:spacing w:after="0" w:line="111" w:lineRule="exact"/>
        <w:rPr>
          <w:sz w:val="20"/>
          <w:szCs w:val="20"/>
          <w:color w:val="auto"/>
        </w:rPr>
      </w:pPr>
    </w:p>
    <w:p>
      <w:pPr>
        <w:ind w:left="360" w:right="20" w:hanging="357"/>
        <w:spacing w:after="0" w:line="293" w:lineRule="auto"/>
        <w:tabs>
          <w:tab w:leader="none" w:pos="360" w:val="left"/>
        </w:tabs>
        <w:numPr>
          <w:ilvl w:val="0"/>
          <w:numId w:val="1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Cash dividends paid to ordinary shareholders</w:t>
      </w:r>
      <w:r>
        <w:rPr>
          <w:rFonts w:ascii="Times New Roman" w:cs="Times New Roman" w:eastAsia="Times New Roman" w:hAnsi="Times New Roman"/>
          <w:sz w:val="19"/>
          <w:szCs w:val="19"/>
          <w:color w:val="231F20"/>
        </w:rPr>
        <w:t xml:space="preserve"> – During fiscal 2026, we paid cash dividends totaling $241.8 million or $2.46 per outstanding share. During fiscal 2025, we paid cash dividends totaling $219.9 million or $2.23 per outstanding share.</w:t>
      </w:r>
    </w:p>
    <w:p>
      <w:pPr>
        <w:spacing w:after="0" w:line="48" w:lineRule="exact"/>
        <w:rPr>
          <w:rFonts w:ascii="Times New Roman" w:cs="Times New Roman" w:eastAsia="Times New Roman" w:hAnsi="Times New Roman"/>
          <w:sz w:val="19"/>
          <w:szCs w:val="19"/>
          <w:color w:val="231F20"/>
        </w:rPr>
      </w:pPr>
    </w:p>
    <w:p>
      <w:pPr>
        <w:ind w:left="360" w:right="140" w:hanging="357"/>
        <w:spacing w:after="0" w:line="274" w:lineRule="auto"/>
        <w:tabs>
          <w:tab w:leader="none" w:pos="360" w:val="left"/>
        </w:tabs>
        <w:numPr>
          <w:ilvl w:val="0"/>
          <w:numId w:val="1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Stock option and other equity transactions, net</w:t>
      </w:r>
      <w:r>
        <w:rPr>
          <w:rFonts w:ascii="Times New Roman" w:cs="Times New Roman" w:eastAsia="Times New Roman" w:hAnsi="Times New Roman"/>
          <w:sz w:val="19"/>
          <w:szCs w:val="19"/>
          <w:color w:val="231F20"/>
        </w:rPr>
        <w:t xml:space="preserve"> – We generally receive cash for issuing shares upon the exercise of options under our employee stock option program. During fiscal 2026 and fiscal 2025, we received cash proceeds totaling $32.9 million and $25.5 million, respectively, under these programs.</w:t>
      </w:r>
    </w:p>
    <w:p>
      <w:pPr>
        <w:spacing w:after="0" w:line="63" w:lineRule="exact"/>
        <w:rPr>
          <w:sz w:val="20"/>
          <w:szCs w:val="20"/>
          <w:color w:val="auto"/>
        </w:rPr>
      </w:pPr>
    </w:p>
    <w:p>
      <w:pPr>
        <w:ind w:right="220" w:firstLine="349"/>
        <w:spacing w:after="0" w:line="264" w:lineRule="auto"/>
        <w:rPr>
          <w:sz w:val="20"/>
          <w:szCs w:val="20"/>
          <w:color w:val="auto"/>
        </w:rPr>
      </w:pPr>
      <w:r>
        <w:rPr>
          <w:rFonts w:ascii="Times New Roman" w:cs="Times New Roman" w:eastAsia="Times New Roman" w:hAnsi="Times New Roman"/>
          <w:sz w:val="19"/>
          <w:szCs w:val="19"/>
          <w:b w:val="1"/>
          <w:bCs w:val="1"/>
          <w:i w:val="1"/>
          <w:iCs w:val="1"/>
          <w:color w:val="231F20"/>
        </w:rPr>
        <w:t xml:space="preserve">Cash Flow Measures. </w:t>
      </w:r>
      <w:r>
        <w:rPr>
          <w:rFonts w:ascii="Times New Roman" w:cs="Times New Roman" w:eastAsia="Times New Roman" w:hAnsi="Times New Roman"/>
          <w:sz w:val="19"/>
          <w:szCs w:val="19"/>
          <w:color w:val="231F20"/>
        </w:rPr>
        <w:t>The net cash provided by our operating activities was $1,341.4 million in fiscal 2026 compared to</w:t>
      </w:r>
      <w:r>
        <w:rPr>
          <w:rFonts w:ascii="Times New Roman" w:cs="Times New Roman" w:eastAsia="Times New Roman" w:hAnsi="Times New Roman"/>
          <w:sz w:val="19"/>
          <w:szCs w:val="19"/>
          <w:b w:val="1"/>
          <w:bCs w:val="1"/>
          <w:i w:val="1"/>
          <w:iCs w:val="1"/>
          <w:color w:val="231F20"/>
        </w:rPr>
        <w:t xml:space="preserve"> </w:t>
      </w:r>
      <w:r>
        <w:rPr>
          <w:rFonts w:ascii="Times New Roman" w:cs="Times New Roman" w:eastAsia="Times New Roman" w:hAnsi="Times New Roman"/>
          <w:sz w:val="19"/>
          <w:szCs w:val="19"/>
          <w:color w:val="231F20"/>
        </w:rPr>
        <w:t>$1,148.1 million in fiscal 2025. Free cash flow was $982.9 million in fiscal 2026, compared to $787.2 million in fiscal 2025 (see subsection above titled "Non-GAAP Financial Measures" for additional information and related reconciliation of cash flows from operations to free cash flow). The increase in free cash flow during the period was driven primarily by improvements in net income, which more than offset the significantly lower contribution from working capital in fiscal 2026 compared with fiscal 2025.</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231F20"/>
        </w:rPr>
        <w:t>Our debt-to-total capital ratio was 21.3% at March 31, 2026 and 23.6% at March 31, 2025.</w:t>
      </w:r>
    </w:p>
    <w:p>
      <w:pPr>
        <w:spacing w:after="0" w:line="1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color w:val="231F20"/>
        </w:rPr>
        <w:t xml:space="preserve">Sources of Credit. </w:t>
      </w:r>
      <w:r>
        <w:rPr>
          <w:rFonts w:ascii="Times New Roman" w:cs="Times New Roman" w:eastAsia="Times New Roman" w:hAnsi="Times New Roman"/>
          <w:sz w:val="19"/>
          <w:szCs w:val="19"/>
          <w:color w:val="231F20"/>
        </w:rPr>
        <w:t>Our sources of credit as of March 31, 2026 are summarized in the following table: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93"/>
              <w:spacing w:after="0"/>
              <w:rPr>
                <w:sz w:val="20"/>
                <w:szCs w:val="20"/>
                <w:color w:val="auto"/>
              </w:rPr>
            </w:pPr>
            <w:r>
              <w:rPr>
                <w:rFonts w:ascii="Times New Roman" w:cs="Times New Roman" w:eastAsia="Times New Roman" w:hAnsi="Times New Roman"/>
                <w:sz w:val="16"/>
                <w:szCs w:val="16"/>
                <w:color w:val="231F20"/>
                <w:w w:val="97"/>
              </w:rPr>
              <w:t>Reductions in</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vMerge w:val="restart"/>
          </w:tcPr>
          <w:p>
            <w:pPr>
              <w:jc w:val="center"/>
              <w:ind w:right="171"/>
              <w:spacing w:after="0"/>
              <w:rPr>
                <w:sz w:val="20"/>
                <w:szCs w:val="20"/>
                <w:color w:val="auto"/>
              </w:rPr>
            </w:pPr>
            <w:r>
              <w:rPr>
                <w:rFonts w:ascii="Times New Roman" w:cs="Times New Roman" w:eastAsia="Times New Roman" w:hAnsi="Times New Roman"/>
                <w:sz w:val="16"/>
                <w:szCs w:val="16"/>
                <w:color w:val="231F20"/>
                <w:w w:val="98"/>
              </w:rPr>
              <w:t>Maximum</w:t>
            </w:r>
          </w:p>
        </w:tc>
        <w:tc>
          <w:tcPr>
            <w:tcW w:w="200" w:type="dxa"/>
            <w:vAlign w:val="bottom"/>
          </w:tcPr>
          <w:p>
            <w:pPr>
              <w:spacing w:after="0"/>
              <w:rPr>
                <w:sz w:val="13"/>
                <w:szCs w:val="13"/>
                <w:color w:val="auto"/>
              </w:rPr>
            </w:pPr>
          </w:p>
        </w:tc>
        <w:tc>
          <w:tcPr>
            <w:tcW w:w="1200" w:type="dxa"/>
            <w:vAlign w:val="bottom"/>
          </w:tcPr>
          <w:p>
            <w:pPr>
              <w:jc w:val="center"/>
              <w:ind w:right="93"/>
              <w:spacing w:after="0" w:line="155" w:lineRule="exact"/>
              <w:rPr>
                <w:sz w:val="20"/>
                <w:szCs w:val="20"/>
                <w:color w:val="auto"/>
              </w:rPr>
            </w:pPr>
            <w:r>
              <w:rPr>
                <w:rFonts w:ascii="Times New Roman" w:cs="Times New Roman" w:eastAsia="Times New Roman" w:hAnsi="Times New Roman"/>
                <w:sz w:val="16"/>
                <w:szCs w:val="16"/>
                <w:color w:val="231F20"/>
                <w:w w:val="95"/>
              </w:rPr>
              <w:t>Available Credit</w:t>
            </w:r>
          </w:p>
        </w:tc>
        <w:tc>
          <w:tcPr>
            <w:tcW w:w="200" w:type="dxa"/>
            <w:vAlign w:val="bottom"/>
          </w:tcPr>
          <w:p>
            <w:pPr>
              <w:spacing w:after="0"/>
              <w:rPr>
                <w:sz w:val="13"/>
                <w:szCs w:val="13"/>
                <w:color w:val="auto"/>
              </w:rPr>
            </w:pPr>
          </w:p>
        </w:tc>
        <w:tc>
          <w:tcPr>
            <w:tcW w:w="1160" w:type="dxa"/>
            <w:vAlign w:val="bottom"/>
            <w:vMerge w:val="restart"/>
          </w:tcPr>
          <w:p>
            <w:pPr>
              <w:jc w:val="center"/>
              <w:ind w:right="91"/>
              <w:spacing w:after="0"/>
              <w:rPr>
                <w:sz w:val="20"/>
                <w:szCs w:val="20"/>
                <w:color w:val="auto"/>
              </w:rPr>
            </w:pPr>
            <w:r>
              <w:rPr>
                <w:rFonts w:ascii="Times New Roman" w:cs="Times New Roman" w:eastAsia="Times New Roman" w:hAnsi="Times New Roman"/>
                <w:sz w:val="16"/>
                <w:szCs w:val="16"/>
                <w:color w:val="231F20"/>
                <w:w w:val="96"/>
              </w:rPr>
              <w:t>March 31, 2026</w:t>
            </w:r>
          </w:p>
        </w:tc>
        <w:tc>
          <w:tcPr>
            <w:tcW w:w="220" w:type="dxa"/>
            <w:vAlign w:val="bottom"/>
          </w:tcPr>
          <w:p>
            <w:pPr>
              <w:spacing w:after="0"/>
              <w:rPr>
                <w:sz w:val="13"/>
                <w:szCs w:val="13"/>
                <w:color w:val="auto"/>
              </w:rPr>
            </w:pPr>
          </w:p>
        </w:tc>
        <w:tc>
          <w:tcPr>
            <w:tcW w:w="1160" w:type="dxa"/>
            <w:vAlign w:val="bottom"/>
            <w:vMerge w:val="restart"/>
          </w:tcPr>
          <w:p>
            <w:pPr>
              <w:jc w:val="center"/>
              <w:ind w:right="91"/>
              <w:spacing w:after="0"/>
              <w:rPr>
                <w:sz w:val="20"/>
                <w:szCs w:val="20"/>
                <w:color w:val="auto"/>
              </w:rPr>
            </w:pPr>
            <w:r>
              <w:rPr>
                <w:rFonts w:ascii="Times New Roman" w:cs="Times New Roman" w:eastAsia="Times New Roman" w:hAnsi="Times New Roman"/>
                <w:sz w:val="16"/>
                <w:szCs w:val="16"/>
                <w:color w:val="231F20"/>
                <w:w w:val="96"/>
              </w:rPr>
              <w:t>March 31, 2026</w:t>
            </w:r>
          </w:p>
        </w:tc>
        <w:tc>
          <w:tcPr>
            <w:tcW w:w="0" w:type="dxa"/>
            <w:vAlign w:val="bottom"/>
          </w:tcPr>
          <w:p>
            <w:pPr>
              <w:spacing w:after="0"/>
              <w:rPr>
                <w:sz w:val="1"/>
                <w:szCs w:val="1"/>
                <w:color w:val="auto"/>
              </w:rPr>
            </w:pPr>
          </w:p>
        </w:tc>
      </w:tr>
      <w:tr>
        <w:trPr>
          <w:trHeight w:val="155"/>
        </w:trPr>
        <w:tc>
          <w:tcPr>
            <w:tcW w:w="4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40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color w:val="231F20"/>
                <w:w w:val="98"/>
              </w:rPr>
              <w:t>Facility for Other</w:t>
            </w:r>
          </w:p>
        </w:tc>
        <w:tc>
          <w:tcPr>
            <w:tcW w:w="20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231F20"/>
              </w:rPr>
              <w:t>(in millions)</w:t>
            </w:r>
          </w:p>
        </w:tc>
        <w:tc>
          <w:tcPr>
            <w:tcW w:w="240" w:type="dxa"/>
            <w:vAlign w:val="bottom"/>
          </w:tcPr>
          <w:p>
            <w:pPr>
              <w:spacing w:after="0"/>
              <w:rPr>
                <w:sz w:val="13"/>
                <w:szCs w:val="13"/>
                <w:color w:val="auto"/>
              </w:rPr>
            </w:pPr>
          </w:p>
        </w:tc>
        <w:tc>
          <w:tcPr>
            <w:tcW w:w="1080" w:type="dxa"/>
            <w:vAlign w:val="bottom"/>
          </w:tcPr>
          <w:p>
            <w:pPr>
              <w:jc w:val="center"/>
              <w:ind w:right="171"/>
              <w:spacing w:after="0" w:line="155" w:lineRule="exact"/>
              <w:rPr>
                <w:sz w:val="20"/>
                <w:szCs w:val="20"/>
                <w:color w:val="auto"/>
              </w:rPr>
            </w:pPr>
            <w:r>
              <w:rPr>
                <w:rFonts w:ascii="Times New Roman" w:cs="Times New Roman" w:eastAsia="Times New Roman" w:hAnsi="Times New Roman"/>
                <w:sz w:val="16"/>
                <w:szCs w:val="16"/>
                <w:color w:val="231F20"/>
                <w:w w:val="98"/>
              </w:rPr>
              <w:t>Amounts</w:t>
            </w:r>
          </w:p>
        </w:tc>
        <w:tc>
          <w:tcPr>
            <w:tcW w:w="200" w:type="dxa"/>
            <w:vAlign w:val="bottom"/>
          </w:tcPr>
          <w:p>
            <w:pPr>
              <w:spacing w:after="0"/>
              <w:rPr>
                <w:sz w:val="13"/>
                <w:szCs w:val="13"/>
                <w:color w:val="auto"/>
              </w:rPr>
            </w:pPr>
          </w:p>
        </w:tc>
        <w:tc>
          <w:tcPr>
            <w:tcW w:w="1200" w:type="dxa"/>
            <w:vAlign w:val="bottom"/>
          </w:tcPr>
          <w:p>
            <w:pPr>
              <w:jc w:val="center"/>
              <w:ind w:right="133"/>
              <w:spacing w:after="0" w:line="155" w:lineRule="exact"/>
              <w:rPr>
                <w:sz w:val="20"/>
                <w:szCs w:val="20"/>
                <w:color w:val="auto"/>
              </w:rPr>
            </w:pPr>
            <w:r>
              <w:rPr>
                <w:rFonts w:ascii="Times New Roman" w:cs="Times New Roman" w:eastAsia="Times New Roman" w:hAnsi="Times New Roman"/>
                <w:sz w:val="16"/>
                <w:szCs w:val="16"/>
                <w:color w:val="231F20"/>
                <w:w w:val="97"/>
              </w:rPr>
              <w:t>Financial</w:t>
            </w:r>
          </w:p>
        </w:tc>
        <w:tc>
          <w:tcPr>
            <w:tcW w:w="200" w:type="dxa"/>
            <w:vAlign w:val="bottom"/>
          </w:tcPr>
          <w:p>
            <w:pPr>
              <w:spacing w:after="0"/>
              <w:rPr>
                <w:sz w:val="13"/>
                <w:szCs w:val="13"/>
                <w:color w:val="auto"/>
              </w:rPr>
            </w:pPr>
          </w:p>
        </w:tc>
        <w:tc>
          <w:tcPr>
            <w:tcW w:w="1160" w:type="dxa"/>
            <w:vAlign w:val="bottom"/>
          </w:tcPr>
          <w:p>
            <w:pPr>
              <w:jc w:val="center"/>
              <w:ind w:right="91"/>
              <w:spacing w:after="0" w:line="155" w:lineRule="exact"/>
              <w:rPr>
                <w:sz w:val="20"/>
                <w:szCs w:val="20"/>
                <w:color w:val="auto"/>
              </w:rPr>
            </w:pPr>
            <w:r>
              <w:rPr>
                <w:rFonts w:ascii="Times New Roman" w:cs="Times New Roman" w:eastAsia="Times New Roman" w:hAnsi="Times New Roman"/>
                <w:sz w:val="16"/>
                <w:szCs w:val="16"/>
                <w:color w:val="231F20"/>
                <w:w w:val="98"/>
              </w:rPr>
              <w:t>Amounts</w:t>
            </w:r>
          </w:p>
        </w:tc>
        <w:tc>
          <w:tcPr>
            <w:tcW w:w="220" w:type="dxa"/>
            <w:vAlign w:val="bottom"/>
          </w:tcPr>
          <w:p>
            <w:pPr>
              <w:spacing w:after="0"/>
              <w:rPr>
                <w:sz w:val="13"/>
                <w:szCs w:val="13"/>
                <w:color w:val="auto"/>
              </w:rPr>
            </w:pPr>
          </w:p>
        </w:tc>
        <w:tc>
          <w:tcPr>
            <w:tcW w:w="1160" w:type="dxa"/>
            <w:vAlign w:val="bottom"/>
          </w:tcPr>
          <w:p>
            <w:pPr>
              <w:jc w:val="center"/>
              <w:ind w:right="71"/>
              <w:spacing w:after="0" w:line="155" w:lineRule="exact"/>
              <w:rPr>
                <w:sz w:val="20"/>
                <w:szCs w:val="20"/>
                <w:color w:val="auto"/>
              </w:rPr>
            </w:pPr>
            <w:r>
              <w:rPr>
                <w:rFonts w:ascii="Times New Roman" w:cs="Times New Roman" w:eastAsia="Times New Roman" w:hAnsi="Times New Roman"/>
                <w:sz w:val="16"/>
                <w:szCs w:val="16"/>
                <w:color w:val="231F20"/>
                <w:w w:val="95"/>
              </w:rPr>
              <w:t>Amounts</w:t>
            </w:r>
          </w:p>
        </w:tc>
        <w:tc>
          <w:tcPr>
            <w:tcW w:w="0" w:type="dxa"/>
            <w:vAlign w:val="bottom"/>
          </w:tcPr>
          <w:p>
            <w:pPr>
              <w:spacing w:after="0"/>
              <w:rPr>
                <w:sz w:val="1"/>
                <w:szCs w:val="1"/>
                <w:color w:val="auto"/>
              </w:rPr>
            </w:pPr>
          </w:p>
        </w:tc>
      </w:tr>
      <w:tr>
        <w:trPr>
          <w:trHeight w:val="207"/>
        </w:trPr>
        <w:tc>
          <w:tcPr>
            <w:tcW w:w="4500" w:type="dxa"/>
            <w:vAlign w:val="bottom"/>
            <w:tcBorders>
              <w:bottom w:val="single" w:sz="8" w:color="231F20"/>
            </w:tcBorders>
            <w:vMerge w:val="continue"/>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1080" w:type="dxa"/>
            <w:vAlign w:val="bottom"/>
            <w:tcBorders>
              <w:bottom w:val="single" w:sz="8" w:color="231F20"/>
            </w:tcBorders>
          </w:tcPr>
          <w:p>
            <w:pPr>
              <w:jc w:val="center"/>
              <w:ind w:right="191"/>
              <w:spacing w:after="0"/>
              <w:rPr>
                <w:sz w:val="20"/>
                <w:szCs w:val="20"/>
                <w:color w:val="auto"/>
              </w:rPr>
            </w:pPr>
            <w:r>
              <w:rPr>
                <w:rFonts w:ascii="Times New Roman" w:cs="Times New Roman" w:eastAsia="Times New Roman" w:hAnsi="Times New Roman"/>
                <w:sz w:val="16"/>
                <w:szCs w:val="16"/>
                <w:color w:val="231F20"/>
                <w:w w:val="96"/>
              </w:rPr>
              <w:t>Available</w:t>
            </w:r>
          </w:p>
        </w:tc>
        <w:tc>
          <w:tcPr>
            <w:tcW w:w="200" w:type="dxa"/>
            <w:vAlign w:val="bottom"/>
            <w:tcBorders>
              <w:bottom w:val="single" w:sz="8" w:color="231F20"/>
            </w:tcBorders>
          </w:tcPr>
          <w:p>
            <w:pPr>
              <w:spacing w:after="0"/>
              <w:rPr>
                <w:sz w:val="18"/>
                <w:szCs w:val="18"/>
                <w:color w:val="auto"/>
              </w:rPr>
            </w:pPr>
          </w:p>
        </w:tc>
        <w:tc>
          <w:tcPr>
            <w:tcW w:w="1200" w:type="dxa"/>
            <w:vAlign w:val="bottom"/>
            <w:tcBorders>
              <w:bottom w:val="single" w:sz="8" w:color="231F20"/>
            </w:tcBorders>
          </w:tcPr>
          <w:p>
            <w:pPr>
              <w:jc w:val="center"/>
              <w:ind w:right="93"/>
              <w:spacing w:after="0"/>
              <w:rPr>
                <w:sz w:val="20"/>
                <w:szCs w:val="20"/>
                <w:color w:val="auto"/>
              </w:rPr>
            </w:pPr>
            <w:r>
              <w:rPr>
                <w:rFonts w:ascii="Times New Roman" w:cs="Times New Roman" w:eastAsia="Times New Roman" w:hAnsi="Times New Roman"/>
                <w:sz w:val="16"/>
                <w:szCs w:val="16"/>
                <w:color w:val="231F20"/>
                <w:w w:val="97"/>
              </w:rPr>
              <w:t>Instruments</w:t>
            </w:r>
          </w:p>
        </w:tc>
        <w:tc>
          <w:tcPr>
            <w:tcW w:w="200" w:type="dxa"/>
            <w:vAlign w:val="bottom"/>
            <w:tcBorders>
              <w:bottom w:val="single" w:sz="8" w:color="231F20"/>
            </w:tcBorders>
          </w:tcPr>
          <w:p>
            <w:pPr>
              <w:spacing w:after="0"/>
              <w:rPr>
                <w:sz w:val="18"/>
                <w:szCs w:val="18"/>
                <w:color w:val="auto"/>
              </w:rPr>
            </w:pPr>
          </w:p>
        </w:tc>
        <w:tc>
          <w:tcPr>
            <w:tcW w:w="1160" w:type="dxa"/>
            <w:vAlign w:val="bottom"/>
            <w:tcBorders>
              <w:bottom w:val="single" w:sz="8" w:color="231F20"/>
            </w:tcBorders>
          </w:tcPr>
          <w:p>
            <w:pPr>
              <w:jc w:val="center"/>
              <w:ind w:right="71"/>
              <w:spacing w:after="0"/>
              <w:rPr>
                <w:sz w:val="20"/>
                <w:szCs w:val="20"/>
                <w:color w:val="auto"/>
              </w:rPr>
            </w:pPr>
            <w:r>
              <w:rPr>
                <w:rFonts w:ascii="Times New Roman" w:cs="Times New Roman" w:eastAsia="Times New Roman" w:hAnsi="Times New Roman"/>
                <w:sz w:val="16"/>
                <w:szCs w:val="16"/>
                <w:color w:val="231F20"/>
                <w:w w:val="97"/>
              </w:rPr>
              <w:t>Outstanding</w:t>
            </w:r>
          </w:p>
        </w:tc>
        <w:tc>
          <w:tcPr>
            <w:tcW w:w="220" w:type="dxa"/>
            <w:vAlign w:val="bottom"/>
            <w:tcBorders>
              <w:bottom w:val="single" w:sz="8" w:color="231F20"/>
            </w:tcBorders>
          </w:tcPr>
          <w:p>
            <w:pPr>
              <w:spacing w:after="0"/>
              <w:rPr>
                <w:sz w:val="18"/>
                <w:szCs w:val="18"/>
                <w:color w:val="auto"/>
              </w:rPr>
            </w:pPr>
          </w:p>
        </w:tc>
        <w:tc>
          <w:tcPr>
            <w:tcW w:w="1160" w:type="dxa"/>
            <w:vAlign w:val="bottom"/>
            <w:tcBorders>
              <w:bottom w:val="single" w:sz="8" w:color="231F20"/>
            </w:tcBorders>
          </w:tcPr>
          <w:p>
            <w:pPr>
              <w:jc w:val="center"/>
              <w:ind w:right="71"/>
              <w:spacing w:after="0"/>
              <w:rPr>
                <w:sz w:val="20"/>
                <w:szCs w:val="20"/>
                <w:color w:val="auto"/>
              </w:rPr>
            </w:pPr>
            <w:r>
              <w:rPr>
                <w:rFonts w:ascii="Times New Roman" w:cs="Times New Roman" w:eastAsia="Times New Roman" w:hAnsi="Times New Roman"/>
                <w:sz w:val="16"/>
                <w:szCs w:val="16"/>
                <w:color w:val="231F20"/>
                <w:w w:val="96"/>
              </w:rPr>
              <w:t>Available</w:t>
            </w:r>
          </w:p>
        </w:tc>
        <w:tc>
          <w:tcPr>
            <w:tcW w:w="0" w:type="dxa"/>
            <w:vAlign w:val="bottom"/>
          </w:tcPr>
          <w:p>
            <w:pPr>
              <w:spacing w:after="0"/>
              <w:rPr>
                <w:sz w:val="1"/>
                <w:szCs w:val="1"/>
                <w:color w:val="auto"/>
              </w:rPr>
            </w:pPr>
          </w:p>
        </w:tc>
      </w:tr>
      <w:tr>
        <w:trPr>
          <w:trHeight w:val="257"/>
        </w:trPr>
        <w:tc>
          <w:tcPr>
            <w:tcW w:w="450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Sources of Credit</w:t>
            </w: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450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Private Placement Senior Notes</w:t>
            </w:r>
          </w:p>
        </w:tc>
        <w:tc>
          <w:tcPr>
            <w:tcW w:w="240" w:type="dxa"/>
            <w:vAlign w:val="bottom"/>
          </w:tcPr>
          <w:p>
            <w:pPr>
              <w:jc w:val="right"/>
              <w:ind w:right="3"/>
              <w:spacing w:after="0"/>
              <w:rPr>
                <w:sz w:val="20"/>
                <w:szCs w:val="20"/>
                <w:color w:val="auto"/>
              </w:rPr>
            </w:pPr>
            <w:r>
              <w:rPr>
                <w:rFonts w:ascii="Times New Roman" w:cs="Times New Roman" w:eastAsia="Times New Roman" w:hAnsi="Times New Roman"/>
                <w:sz w:val="19"/>
                <w:szCs w:val="19"/>
                <w:b w:val="1"/>
                <w:bCs w:val="1"/>
                <w:color w:val="231F20"/>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9"/>
                <w:szCs w:val="19"/>
                <w:b w:val="1"/>
                <w:bCs w:val="1"/>
                <w:color w:val="231F20"/>
              </w:rPr>
              <w:t>557.8</w:t>
            </w:r>
          </w:p>
        </w:tc>
        <w:tc>
          <w:tcPr>
            <w:tcW w:w="200" w:type="dxa"/>
            <w:vAlign w:val="bottom"/>
          </w:tcPr>
          <w:p>
            <w:pPr>
              <w:spacing w:after="0"/>
              <w:rPr>
                <w:sz w:val="24"/>
                <w:szCs w:val="24"/>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9"/>
                <w:szCs w:val="19"/>
                <w:color w:val="231F20"/>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9"/>
                <w:szCs w:val="19"/>
                <w:b w:val="1"/>
                <w:bCs w:val="1"/>
                <w:color w:val="231F20"/>
              </w:rPr>
              <w:t>557.8</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0" w:type="dxa"/>
            <w:vAlign w:val="bottom"/>
          </w:tcPr>
          <w:p>
            <w:pPr>
              <w:spacing w:after="0"/>
              <w:rPr>
                <w:sz w:val="1"/>
                <w:szCs w:val="1"/>
                <w:color w:val="auto"/>
              </w:rPr>
            </w:pPr>
          </w:p>
        </w:tc>
      </w:tr>
      <w:tr>
        <w:trPr>
          <w:trHeight w:val="295"/>
        </w:trPr>
        <w:tc>
          <w:tcPr>
            <w:tcW w:w="450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 xml:space="preserve">Revolving Credit Facility </w:t>
            </w:r>
            <w:r>
              <w:rPr>
                <w:rFonts w:ascii="Times New Roman" w:cs="Times New Roman" w:eastAsia="Times New Roman" w:hAnsi="Times New Roman"/>
                <w:sz w:val="25"/>
                <w:szCs w:val="25"/>
                <w:color w:val="231F20"/>
                <w:vertAlign w:val="superscript"/>
              </w:rPr>
              <w:t>(1)</w:t>
            </w:r>
          </w:p>
        </w:tc>
        <w:tc>
          <w:tcPr>
            <w:tcW w:w="240" w:type="dxa"/>
            <w:vAlign w:val="bottom"/>
          </w:tcPr>
          <w:p>
            <w:pPr>
              <w:spacing w:after="0"/>
              <w:rPr>
                <w:sz w:val="24"/>
                <w:szCs w:val="24"/>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9"/>
                <w:szCs w:val="19"/>
                <w:b w:val="1"/>
                <w:bCs w:val="1"/>
                <w:color w:val="231F20"/>
              </w:rPr>
              <w:t>1,100.0</w:t>
            </w:r>
          </w:p>
        </w:tc>
        <w:tc>
          <w:tcPr>
            <w:tcW w:w="200" w:type="dxa"/>
            <w:vAlign w:val="bottom"/>
          </w:tcPr>
          <w:p>
            <w:pPr>
              <w:spacing w:after="0"/>
              <w:rPr>
                <w:sz w:val="24"/>
                <w:szCs w:val="24"/>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9"/>
                <w:szCs w:val="19"/>
                <w:b w:val="1"/>
                <w:bCs w:val="1"/>
                <w:color w:val="231F20"/>
              </w:rPr>
              <w:t>9.8</w:t>
            </w:r>
          </w:p>
        </w:tc>
        <w:tc>
          <w:tcPr>
            <w:tcW w:w="200" w:type="dxa"/>
            <w:vAlign w:val="bottom"/>
          </w:tcPr>
          <w:p>
            <w:pPr>
              <w:spacing w:after="0"/>
              <w:rPr>
                <w:sz w:val="24"/>
                <w:szCs w:val="24"/>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9"/>
                <w:szCs w:val="19"/>
                <w:b w:val="1"/>
                <w:bCs w:val="1"/>
                <w:color w:val="231F20"/>
              </w:rPr>
              <w:t>37.8</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1,052.5</w:t>
            </w:r>
          </w:p>
        </w:tc>
        <w:tc>
          <w:tcPr>
            <w:tcW w:w="0" w:type="dxa"/>
            <w:vAlign w:val="bottom"/>
          </w:tcPr>
          <w:p>
            <w:pPr>
              <w:spacing w:after="0"/>
              <w:rPr>
                <w:sz w:val="1"/>
                <w:szCs w:val="1"/>
                <w:color w:val="auto"/>
              </w:rPr>
            </w:pPr>
          </w:p>
        </w:tc>
      </w:tr>
      <w:tr>
        <w:trPr>
          <w:trHeight w:val="290"/>
        </w:trPr>
        <w:tc>
          <w:tcPr>
            <w:tcW w:w="450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Senior Public Notes</w:t>
            </w:r>
          </w:p>
        </w:tc>
        <w:tc>
          <w:tcPr>
            <w:tcW w:w="240" w:type="dxa"/>
            <w:vAlign w:val="bottom"/>
            <w:tcBorders>
              <w:bottom w:val="single" w:sz="8" w:color="231F20"/>
            </w:tcBorders>
          </w:tcPr>
          <w:p>
            <w:pPr>
              <w:spacing w:after="0"/>
              <w:rPr>
                <w:sz w:val="24"/>
                <w:szCs w:val="24"/>
                <w:color w:val="auto"/>
              </w:rPr>
            </w:pPr>
          </w:p>
        </w:tc>
        <w:tc>
          <w:tcPr>
            <w:tcW w:w="1080" w:type="dxa"/>
            <w:vAlign w:val="bottom"/>
            <w:tcBorders>
              <w:bottom w:val="single" w:sz="8" w:color="231F20"/>
            </w:tcBorders>
          </w:tcPr>
          <w:p>
            <w:pPr>
              <w:jc w:val="right"/>
              <w:ind w:right="11"/>
              <w:spacing w:after="0"/>
              <w:rPr>
                <w:sz w:val="20"/>
                <w:szCs w:val="20"/>
                <w:color w:val="auto"/>
              </w:rPr>
            </w:pPr>
            <w:r>
              <w:rPr>
                <w:rFonts w:ascii="Times New Roman" w:cs="Times New Roman" w:eastAsia="Times New Roman" w:hAnsi="Times New Roman"/>
                <w:sz w:val="19"/>
                <w:szCs w:val="19"/>
                <w:b w:val="1"/>
                <w:bCs w:val="1"/>
                <w:color w:val="231F20"/>
              </w:rPr>
              <w:t>1,350.0</w:t>
            </w:r>
          </w:p>
        </w:tc>
        <w:tc>
          <w:tcPr>
            <w:tcW w:w="200" w:type="dxa"/>
            <w:vAlign w:val="bottom"/>
            <w:tcBorders>
              <w:bottom w:val="single" w:sz="8" w:color="231F20"/>
            </w:tcBorders>
          </w:tcPr>
          <w:p>
            <w:pPr>
              <w:spacing w:after="0"/>
              <w:rPr>
                <w:sz w:val="24"/>
                <w:szCs w:val="24"/>
                <w:color w:val="auto"/>
              </w:rPr>
            </w:pPr>
          </w:p>
        </w:tc>
        <w:tc>
          <w:tcPr>
            <w:tcW w:w="1200" w:type="dxa"/>
            <w:vAlign w:val="bottom"/>
            <w:tcBorders>
              <w:bottom w:val="single" w:sz="8" w:color="231F20"/>
            </w:tcBorders>
          </w:tcPr>
          <w:p>
            <w:pPr>
              <w:jc w:val="right"/>
              <w:ind w:right="13"/>
              <w:spacing w:after="0"/>
              <w:rPr>
                <w:sz w:val="20"/>
                <w:szCs w:val="20"/>
                <w:color w:val="auto"/>
              </w:rPr>
            </w:pPr>
            <w:r>
              <w:rPr>
                <w:rFonts w:ascii="Times New Roman" w:cs="Times New Roman" w:eastAsia="Times New Roman" w:hAnsi="Times New Roman"/>
                <w:sz w:val="19"/>
                <w:szCs w:val="19"/>
                <w:color w:val="231F20"/>
              </w:rPr>
              <w:t>—</w:t>
            </w:r>
          </w:p>
        </w:tc>
        <w:tc>
          <w:tcPr>
            <w:tcW w:w="200" w:type="dxa"/>
            <w:vAlign w:val="bottom"/>
            <w:tcBorders>
              <w:bottom w:val="single" w:sz="8" w:color="231F20"/>
            </w:tcBorders>
          </w:tcPr>
          <w:p>
            <w:pPr>
              <w:spacing w:after="0"/>
              <w:rPr>
                <w:sz w:val="24"/>
                <w:szCs w:val="24"/>
                <w:color w:val="auto"/>
              </w:rPr>
            </w:pPr>
          </w:p>
        </w:tc>
        <w:tc>
          <w:tcPr>
            <w:tcW w:w="1160" w:type="dxa"/>
            <w:vAlign w:val="bottom"/>
            <w:tcBorders>
              <w:bottom w:val="single" w:sz="8" w:color="231F20"/>
            </w:tcBorders>
          </w:tcPr>
          <w:p>
            <w:pPr>
              <w:jc w:val="right"/>
              <w:ind w:right="11"/>
              <w:spacing w:after="0"/>
              <w:rPr>
                <w:sz w:val="20"/>
                <w:szCs w:val="20"/>
                <w:color w:val="auto"/>
              </w:rPr>
            </w:pPr>
            <w:r>
              <w:rPr>
                <w:rFonts w:ascii="Times New Roman" w:cs="Times New Roman" w:eastAsia="Times New Roman" w:hAnsi="Times New Roman"/>
                <w:sz w:val="19"/>
                <w:szCs w:val="19"/>
                <w:b w:val="1"/>
                <w:bCs w:val="1"/>
                <w:color w:val="231F20"/>
              </w:rPr>
              <w:t>1,350.0</w:t>
            </w:r>
          </w:p>
        </w:tc>
        <w:tc>
          <w:tcPr>
            <w:tcW w:w="220" w:type="dxa"/>
            <w:vAlign w:val="bottom"/>
            <w:tcBorders>
              <w:bottom w:val="single" w:sz="8" w:color="231F20"/>
            </w:tcBorders>
          </w:tcPr>
          <w:p>
            <w:pPr>
              <w:spacing w:after="0"/>
              <w:rPr>
                <w:sz w:val="24"/>
                <w:szCs w:val="24"/>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0" w:type="dxa"/>
            <w:vAlign w:val="bottom"/>
          </w:tcPr>
          <w:p>
            <w:pPr>
              <w:spacing w:after="0"/>
              <w:rPr>
                <w:sz w:val="1"/>
                <w:szCs w:val="1"/>
                <w:color w:val="auto"/>
              </w:rPr>
            </w:pPr>
          </w:p>
        </w:tc>
      </w:tr>
      <w:tr>
        <w:trPr>
          <w:trHeight w:val="266"/>
        </w:trPr>
        <w:tc>
          <w:tcPr>
            <w:tcW w:w="450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Total Sources of Credit</w:t>
            </w:r>
          </w:p>
        </w:tc>
        <w:tc>
          <w:tcPr>
            <w:tcW w:w="24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19"/>
                <w:szCs w:val="19"/>
                <w:b w:val="1"/>
                <w:bCs w:val="1"/>
                <w:color w:val="231F20"/>
              </w:rPr>
              <w:t>$</w:t>
            </w:r>
          </w:p>
        </w:tc>
        <w:tc>
          <w:tcPr>
            <w:tcW w:w="1080" w:type="dxa"/>
            <w:vAlign w:val="bottom"/>
            <w:tcBorders>
              <w:bottom w:val="single" w:sz="8" w:color="231F20"/>
            </w:tcBorders>
          </w:tcPr>
          <w:p>
            <w:pPr>
              <w:jc w:val="right"/>
              <w:ind w:right="11"/>
              <w:spacing w:after="0"/>
              <w:rPr>
                <w:sz w:val="20"/>
                <w:szCs w:val="20"/>
                <w:color w:val="auto"/>
              </w:rPr>
            </w:pPr>
            <w:r>
              <w:rPr>
                <w:rFonts w:ascii="Times New Roman" w:cs="Times New Roman" w:eastAsia="Times New Roman" w:hAnsi="Times New Roman"/>
                <w:sz w:val="19"/>
                <w:szCs w:val="19"/>
                <w:b w:val="1"/>
                <w:bCs w:val="1"/>
                <w:color w:val="231F20"/>
              </w:rPr>
              <w:t>3,007.8</w:t>
            </w:r>
          </w:p>
        </w:tc>
        <w:tc>
          <w:tcPr>
            <w:tcW w:w="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1200" w:type="dxa"/>
            <w:vAlign w:val="bottom"/>
            <w:tcBorders>
              <w:bottom w:val="single" w:sz="8" w:color="231F20"/>
            </w:tcBorders>
          </w:tcPr>
          <w:p>
            <w:pPr>
              <w:jc w:val="right"/>
              <w:ind w:right="13"/>
              <w:spacing w:after="0"/>
              <w:rPr>
                <w:sz w:val="20"/>
                <w:szCs w:val="20"/>
                <w:color w:val="auto"/>
              </w:rPr>
            </w:pPr>
            <w:r>
              <w:rPr>
                <w:rFonts w:ascii="Times New Roman" w:cs="Times New Roman" w:eastAsia="Times New Roman" w:hAnsi="Times New Roman"/>
                <w:sz w:val="19"/>
                <w:szCs w:val="19"/>
                <w:b w:val="1"/>
                <w:bCs w:val="1"/>
                <w:color w:val="231F20"/>
              </w:rPr>
              <w:t>9.8</w:t>
            </w:r>
          </w:p>
        </w:tc>
        <w:tc>
          <w:tcPr>
            <w:tcW w:w="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1160" w:type="dxa"/>
            <w:vAlign w:val="bottom"/>
            <w:tcBorders>
              <w:bottom w:val="single" w:sz="8" w:color="231F20"/>
            </w:tcBorders>
          </w:tcPr>
          <w:p>
            <w:pPr>
              <w:jc w:val="right"/>
              <w:ind w:right="11"/>
              <w:spacing w:after="0"/>
              <w:rPr>
                <w:sz w:val="20"/>
                <w:szCs w:val="20"/>
                <w:color w:val="auto"/>
              </w:rPr>
            </w:pPr>
            <w:r>
              <w:rPr>
                <w:rFonts w:ascii="Times New Roman" w:cs="Times New Roman" w:eastAsia="Times New Roman" w:hAnsi="Times New Roman"/>
                <w:sz w:val="19"/>
                <w:szCs w:val="19"/>
                <w:b w:val="1"/>
                <w:bCs w:val="1"/>
                <w:color w:val="231F20"/>
              </w:rPr>
              <w:t>1,945.6</w:t>
            </w:r>
          </w:p>
        </w:tc>
        <w:tc>
          <w:tcPr>
            <w:tcW w:w="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1,052.5</w:t>
            </w: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160" w:hanging="157"/>
        <w:spacing w:after="0"/>
        <w:tabs>
          <w:tab w:leader="none" w:pos="160" w:val="left"/>
        </w:tabs>
        <w:numPr>
          <w:ilvl w:val="0"/>
          <w:numId w:val="14"/>
        </w:numPr>
        <w:rPr>
          <w:rFonts w:ascii="Times New Roman" w:cs="Times New Roman" w:eastAsia="Times New Roman" w:hAnsi="Times New Roman"/>
          <w:sz w:val="20"/>
          <w:szCs w:val="20"/>
          <w:color w:val="231F20"/>
          <w:vertAlign w:val="superscript"/>
        </w:rPr>
      </w:pPr>
      <w:r>
        <w:rPr>
          <w:rFonts w:ascii="Times New Roman" w:cs="Times New Roman" w:eastAsia="Times New Roman" w:hAnsi="Times New Roman"/>
          <w:sz w:val="15"/>
          <w:szCs w:val="15"/>
          <w:color w:val="231F20"/>
        </w:rPr>
        <w:t>At March 31, 2026, there were $9.8 million of letters of credit outstanding under the Revolving Credit Agreement.</w:t>
      </w:r>
    </w:p>
    <w:p>
      <w:pPr>
        <w:spacing w:after="0" w:line="92" w:lineRule="exact"/>
        <w:rPr>
          <w:rFonts w:ascii="Times New Roman" w:cs="Times New Roman" w:eastAsia="Times New Roman" w:hAnsi="Times New Roman"/>
          <w:sz w:val="20"/>
          <w:szCs w:val="20"/>
          <w:color w:val="231F20"/>
          <w:vertAlign w:val="superscript"/>
        </w:rPr>
      </w:pPr>
    </w:p>
    <w:p>
      <w:pPr>
        <w:ind w:left="360"/>
        <w:spacing w:after="0"/>
        <w:rPr>
          <w:rFonts w:ascii="Times New Roman" w:cs="Times New Roman" w:eastAsia="Times New Roman" w:hAnsi="Times New Roman"/>
          <w:sz w:val="20"/>
          <w:szCs w:val="20"/>
          <w:color w:val="231F20"/>
          <w:vertAlign w:val="superscript"/>
        </w:rPr>
      </w:pPr>
      <w:r>
        <w:rPr>
          <w:rFonts w:ascii="Times New Roman" w:cs="Times New Roman" w:eastAsia="Times New Roman" w:hAnsi="Times New Roman"/>
          <w:sz w:val="19"/>
          <w:szCs w:val="19"/>
          <w:color w:val="231F20"/>
        </w:rPr>
        <w:t>Our sources of funding from credit as of March 31, 2026 are summarized below:</w:t>
      </w:r>
    </w:p>
    <w:p>
      <w:pPr>
        <w:spacing w:after="0" w:line="131" w:lineRule="exact"/>
        <w:rPr>
          <w:sz w:val="20"/>
          <w:szCs w:val="20"/>
          <w:color w:val="auto"/>
        </w:rPr>
      </w:pPr>
    </w:p>
    <w:p>
      <w:pPr>
        <w:ind w:left="360" w:right="340" w:hanging="357"/>
        <w:spacing w:after="0" w:line="265" w:lineRule="auto"/>
        <w:tabs>
          <w:tab w:leader="none" w:pos="360" w:val="left"/>
        </w:tabs>
        <w:numPr>
          <w:ilvl w:val="0"/>
          <w:numId w:val="15"/>
        </w:numPr>
        <w:rPr>
          <w:rFonts w:ascii="Times New Roman" w:cs="Times New Roman" w:eastAsia="Times New Roman" w:hAnsi="Times New Roman"/>
          <w:sz w:val="19"/>
          <w:szCs w:val="19"/>
          <w:b w:val="1"/>
          <w:bCs w:val="1"/>
          <w:i w:val="1"/>
          <w:iCs w:val="1"/>
          <w:color w:val="231F20"/>
        </w:rPr>
      </w:pPr>
      <w:r>
        <w:rPr>
          <w:rFonts w:ascii="Times New Roman" w:cs="Times New Roman" w:eastAsia="Times New Roman" w:hAnsi="Times New Roman"/>
          <w:sz w:val="19"/>
          <w:szCs w:val="19"/>
          <w:color w:val="231F20"/>
        </w:rPr>
        <w:t>On October 7, 2024, STERIS plc (“Parent”), STERIS Corporation ("Corporation"), STERIS Limited ("Limited"), and STERIS Irish FinCo Unlimited Company (“FinCo”), each as a borrower and guarantor, entered into a credit agreement with various financial institutions as lenders, and JPMorgan Chase Bank, N.A., as administrative agent (the “Revolving Credit Agreement”) providing for a $1,100.0 million revolving credit facility (the “Revolving Credit Facility”), which replaced a prior credit agreement, dated as of March 19, 2021.</w:t>
      </w:r>
    </w:p>
    <w:p>
      <w:pPr>
        <w:spacing w:after="0" w:line="74" w:lineRule="exact"/>
        <w:rPr>
          <w:rFonts w:ascii="Times New Roman" w:cs="Times New Roman" w:eastAsia="Times New Roman" w:hAnsi="Times New Roman"/>
          <w:sz w:val="19"/>
          <w:szCs w:val="19"/>
          <w:b w:val="1"/>
          <w:bCs w:val="1"/>
          <w:i w:val="1"/>
          <w:iCs w:val="1"/>
          <w:color w:val="231F20"/>
        </w:rPr>
      </w:pPr>
    </w:p>
    <w:p>
      <w:pPr>
        <w:ind w:left="360" w:right="100" w:hanging="357"/>
        <w:spacing w:after="0" w:line="258" w:lineRule="auto"/>
        <w:tabs>
          <w:tab w:leader="none" w:pos="360" w:val="left"/>
        </w:tabs>
        <w:numPr>
          <w:ilvl w:val="0"/>
          <w:numId w:val="1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Revolving Credit Agreement provides for revolving credit borrowings, swing line borrowings and letters of credit, with sublimits for swing line borrowings and letters of credit. The Revolving Credit Agreement may be increased in specified circumstances by up to $625.0 million in the discretion of the lenders. The Revolving Credit Agreement matures on the date that is five years after October 7, 2024, and all unpaid borrowings, together with accrued and unpaid interest thereon, are repayable on that date. The Revolving Credit Facility bears interest from time to time, at either the Base Rate or the Relevant Rate, as defined in and calculated under and as in effect from time to time under the Revolving Credit Agreement, plus the Applicable Margin, as defined in the Revolving Credit Agreement. The Applicable Margin is determined based on the Debt Rating of Parent, as defined in the Revolving Credit Agreement. Base Rate Advances are payable quarterly in arrears and Term Benchmark Advances are payable at the end of the relevant interest period therefor, but in no event less frequently than every three months. Swingline borrowings bear interest at a rate to be agreed by the applicable swingline lender and the applicable borrower, subject to a cap in the case of swingline borrowings denominated in U.S. Dollars equal to the Base Rate plus the Applicable Margin for Base Rate Advances plus the Facility Fee. There is no premium or penalty for prepayment of Base Rate Advances, but prepayments of Term Benchmark Advances are generally subject to a breakage fee. Advances may be extended in U.S. Dollars or in specified alternative currencies (“Alternative Currency Advances”). Alternative Currency Advances are limited in the aggregate to the equivalent of $625.0 million.</w:t>
      </w:r>
    </w:p>
    <w:p>
      <w:pPr>
        <w:sectPr>
          <w:pgSz w:w="11880" w:h="15480" w:orient="portrait"/>
          <w:cols w:equalWidth="0" w:num="1">
            <w:col w:w="9960"/>
          </w:cols>
          <w:pgMar w:left="960" w:top="82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40</w:t>
      </w:r>
    </w:p>
    <w:p>
      <w:pPr>
        <w:sectPr>
          <w:pgSz w:w="11880" w:h="15480" w:orient="portrait"/>
          <w:cols w:equalWidth="0" w:num="1">
            <w:col w:w="9960"/>
          </w:cols>
          <w:pgMar w:left="960" w:top="825" w:right="960" w:bottom="0" w:gutter="0" w:footer="0" w:header="0"/>
          <w:type w:val="continuous"/>
        </w:sectPr>
      </w:pPr>
    </w:p>
    <w:bookmarkStart w:id="41" w:name="page42"/>
    <w:bookmarkEnd w:id="41"/>
    <w:p>
      <w:pPr>
        <w:ind w:left="360" w:right="300" w:hanging="357"/>
        <w:spacing w:after="0" w:line="259" w:lineRule="auto"/>
        <w:tabs>
          <w:tab w:leader="none" w:pos="360" w:val="left"/>
        </w:tabs>
        <w:numPr>
          <w:ilvl w:val="0"/>
          <w:numId w:val="1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On April 1, 2021, FinCo completed an offering of $1,350.0 million in aggregate principal amount, of its senior notes in two separate tranches: (i) $675.0 million aggregate principal amount of the FinCo’s 2.700% Senior Notes due 2031 (the “2031 Notes”) and (ii) $675.0 million aggregate principal amount of the FinCo’s 3.750% Senior Notes due 2051 (the “2051 Notes” and, together with the 2031 Notes, the “Senior Public Notes”). The Senior Public Notes were issued pursuant to an Indenture, dated as of April 1, 2021 (the “Base Indenture”), among FinCo, Parent, Corporation and Limited (collectively "the Guarantors”) and U.S. Bank National Association as trustee (the “Trustee”), as supplemented by the First Supplemental Indenture, dated as of April 1, 2021, among FinCo, the Guarantors and the Trustee (together with the Base Indenture, the “Indenture”). Each of the Guarantors guaranteed the Senior Public Notes jointly and severally on a senior unsecured basis. The 2031 Notes will mature on March 15, 2031 and the 2051 Notes will mature on March 15, 2051. The Senior Public Notes will bear interest at the rates set forth above. Interest on the Senior Public Notes is payable on March 15 and September 15 of each year until their respective maturities.</w:t>
      </w:r>
    </w:p>
    <w:p>
      <w:pPr>
        <w:spacing w:after="0" w:line="84" w:lineRule="exact"/>
        <w:rPr>
          <w:rFonts w:ascii="Times New Roman" w:cs="Times New Roman" w:eastAsia="Times New Roman" w:hAnsi="Times New Roman"/>
          <w:sz w:val="19"/>
          <w:szCs w:val="19"/>
          <w:color w:val="231F20"/>
        </w:rPr>
      </w:pPr>
    </w:p>
    <w:p>
      <w:pPr>
        <w:ind w:left="360" w:right="420" w:hanging="357"/>
        <w:spacing w:after="0" w:line="265" w:lineRule="auto"/>
        <w:tabs>
          <w:tab w:leader="none" w:pos="360" w:val="left"/>
        </w:tabs>
        <w:numPr>
          <w:ilvl w:val="0"/>
          <w:numId w:val="1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As of March 31, 2026, a total of $37.8 million was outstanding under the Revolving Credit Agreement, based on currency exchange rates as of March 31, 2026. At March 31, 2026, we had $1,052.5 million of unused funding available under the Revolving Credit Agreement. The Revolving Credit Agreement includes a sub-limit that reduces the maximum amount available to us by letters of credit outstanding. At March 31, 2026, there was $9.8 million in letters of credit outstanding under the Revolving Credit Agreement.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Our outstanding Private Placement Senior Notes at March 31, 2026 were as follows:</w:t>
      </w:r>
    </w:p>
    <w:p>
      <w:pPr>
        <w:spacing w:after="0" w:line="313" w:lineRule="exact"/>
        <w:rPr>
          <w:sz w:val="20"/>
          <w:szCs w:val="20"/>
          <w:color w:val="auto"/>
        </w:rPr>
      </w:pPr>
    </w:p>
    <w:tbl>
      <w:tblPr>
        <w:tblLayout w:type="fixed"/>
        <w:tblInd w:w="360" w:type="dxa"/>
        <w:tblCellMar>
          <w:top w:w="0" w:type="dxa"/>
          <w:left w:w="0" w:type="dxa"/>
          <w:bottom w:w="0" w:type="dxa"/>
          <w:right w:w="0" w:type="dxa"/>
        </w:tblCellMar>
      </w:tblPr>
      <w:tr>
        <w:trPr>
          <w:trHeight w:val="218"/>
        </w:trPr>
        <w:tc>
          <w:tcPr>
            <w:tcW w:w="38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231F20"/>
              </w:rPr>
              <w:t>(in millions)</w:t>
            </w:r>
          </w:p>
        </w:tc>
        <w:tc>
          <w:tcPr>
            <w:tcW w:w="2920" w:type="dxa"/>
            <w:vAlign w:val="bottom"/>
          </w:tcPr>
          <w:p>
            <w:pPr>
              <w:ind w:left="760"/>
              <w:spacing w:after="0"/>
              <w:rPr>
                <w:sz w:val="20"/>
                <w:szCs w:val="20"/>
                <w:color w:val="auto"/>
              </w:rPr>
            </w:pPr>
            <w:r>
              <w:rPr>
                <w:rFonts w:ascii="Times New Roman" w:cs="Times New Roman" w:eastAsia="Times New Roman" w:hAnsi="Times New Roman"/>
                <w:sz w:val="19"/>
                <w:szCs w:val="19"/>
                <w:color w:val="231F20"/>
              </w:rPr>
              <w:t>Applicable Note Purchase</w:t>
            </w:r>
          </w:p>
        </w:tc>
        <w:tc>
          <w:tcPr>
            <w:tcW w:w="1700" w:type="dxa"/>
            <w:vAlign w:val="bottom"/>
            <w:vMerge w:val="restart"/>
          </w:tcPr>
          <w:p>
            <w:pPr>
              <w:ind w:left="240"/>
              <w:spacing w:after="0"/>
              <w:rPr>
                <w:sz w:val="20"/>
                <w:szCs w:val="20"/>
                <w:color w:val="auto"/>
              </w:rPr>
            </w:pPr>
            <w:r>
              <w:rPr>
                <w:rFonts w:ascii="Times New Roman" w:cs="Times New Roman" w:eastAsia="Times New Roman" w:hAnsi="Times New Roman"/>
                <w:sz w:val="19"/>
                <w:szCs w:val="19"/>
                <w:color w:val="231F20"/>
              </w:rPr>
              <w:t>Maturity Date</w:t>
            </w: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231F20"/>
              </w:rPr>
              <w:t>U.S. Dollar Value</w:t>
            </w:r>
          </w:p>
        </w:tc>
        <w:tc>
          <w:tcPr>
            <w:tcW w:w="0" w:type="dxa"/>
            <w:vAlign w:val="bottom"/>
          </w:tcPr>
          <w:p>
            <w:pPr>
              <w:spacing w:after="0"/>
              <w:rPr>
                <w:sz w:val="1"/>
                <w:szCs w:val="1"/>
                <w:color w:val="auto"/>
              </w:rPr>
            </w:pPr>
          </w:p>
        </w:tc>
      </w:tr>
      <w:tr>
        <w:trPr>
          <w:trHeight w:val="232"/>
        </w:trPr>
        <w:tc>
          <w:tcPr>
            <w:tcW w:w="3860" w:type="dxa"/>
            <w:vAlign w:val="bottom"/>
            <w:tcBorders>
              <w:bottom w:val="single" w:sz="8" w:color="231F20"/>
            </w:tcBorders>
            <w:vMerge w:val="continue"/>
          </w:tcPr>
          <w:p>
            <w:pPr>
              <w:spacing w:after="0"/>
              <w:rPr>
                <w:sz w:val="20"/>
                <w:szCs w:val="20"/>
                <w:color w:val="auto"/>
              </w:rPr>
            </w:pPr>
          </w:p>
        </w:tc>
        <w:tc>
          <w:tcPr>
            <w:tcW w:w="2920" w:type="dxa"/>
            <w:vAlign w:val="bottom"/>
            <w:tcBorders>
              <w:bottom w:val="single" w:sz="8" w:color="231F20"/>
            </w:tcBorders>
          </w:tcPr>
          <w:p>
            <w:pPr>
              <w:ind w:left="1340"/>
              <w:spacing w:after="0"/>
              <w:rPr>
                <w:sz w:val="20"/>
                <w:szCs w:val="20"/>
                <w:color w:val="auto"/>
              </w:rPr>
            </w:pPr>
            <w:r>
              <w:rPr>
                <w:rFonts w:ascii="Times New Roman" w:cs="Times New Roman" w:eastAsia="Times New Roman" w:hAnsi="Times New Roman"/>
                <w:sz w:val="19"/>
                <w:szCs w:val="19"/>
                <w:color w:val="231F20"/>
              </w:rPr>
              <w:t>Agreement</w:t>
            </w:r>
          </w:p>
        </w:tc>
        <w:tc>
          <w:tcPr>
            <w:tcW w:w="1700" w:type="dxa"/>
            <w:vAlign w:val="bottom"/>
            <w:tcBorders>
              <w:bottom w:val="single" w:sz="8" w:color="231F20"/>
            </w:tcBorders>
            <w:vMerge w:val="continue"/>
          </w:tcPr>
          <w:p>
            <w:pPr>
              <w:spacing w:after="0"/>
              <w:rPr>
                <w:sz w:val="20"/>
                <w:szCs w:val="20"/>
                <w:color w:val="auto"/>
              </w:rPr>
            </w:pPr>
          </w:p>
        </w:tc>
        <w:tc>
          <w:tcPr>
            <w:tcW w:w="1400" w:type="dxa"/>
            <w:vAlign w:val="bottom"/>
            <w:tcBorders>
              <w:bottom w:val="single" w:sz="8" w:color="231F20"/>
            </w:tcBorders>
            <w:gridSpan w:val="2"/>
          </w:tcPr>
          <w:p>
            <w:pPr>
              <w:ind w:left="60"/>
              <w:spacing w:after="0"/>
              <w:rPr>
                <w:sz w:val="20"/>
                <w:szCs w:val="20"/>
                <w:color w:val="auto"/>
              </w:rPr>
            </w:pPr>
            <w:r>
              <w:rPr>
                <w:rFonts w:ascii="Times New Roman" w:cs="Times New Roman" w:eastAsia="Times New Roman" w:hAnsi="Times New Roman"/>
                <w:sz w:val="17"/>
                <w:szCs w:val="17"/>
                <w:color w:val="231F20"/>
              </w:rPr>
              <w:t>at March 31, 2026</w:t>
            </w:r>
          </w:p>
        </w:tc>
        <w:tc>
          <w:tcPr>
            <w:tcW w:w="0" w:type="dxa"/>
            <w:vAlign w:val="bottom"/>
          </w:tcPr>
          <w:p>
            <w:pPr>
              <w:spacing w:after="0"/>
              <w:rPr>
                <w:sz w:val="1"/>
                <w:szCs w:val="1"/>
                <w:color w:val="auto"/>
              </w:rPr>
            </w:pPr>
          </w:p>
        </w:tc>
      </w:tr>
      <w:tr>
        <w:trPr>
          <w:trHeight w:val="268"/>
        </w:trPr>
        <w:tc>
          <w:tcPr>
            <w:tcW w:w="386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$25,000 Senior notes at 3.55%</w:t>
            </w:r>
          </w:p>
        </w:tc>
        <w:tc>
          <w:tcPr>
            <w:tcW w:w="2920" w:type="dxa"/>
            <w:vAlign w:val="bottom"/>
          </w:tcPr>
          <w:p>
            <w:pPr>
              <w:ind w:left="720"/>
              <w:spacing w:after="0"/>
              <w:rPr>
                <w:sz w:val="20"/>
                <w:szCs w:val="20"/>
                <w:color w:val="auto"/>
              </w:rPr>
            </w:pPr>
            <w:r>
              <w:rPr>
                <w:rFonts w:ascii="Times New Roman" w:cs="Times New Roman" w:eastAsia="Times New Roman" w:hAnsi="Times New Roman"/>
                <w:sz w:val="19"/>
                <w:szCs w:val="19"/>
                <w:color w:val="231F20"/>
              </w:rPr>
              <w:t>2012 Private Placement</w:t>
            </w:r>
          </w:p>
        </w:tc>
        <w:tc>
          <w:tcPr>
            <w:tcW w:w="1700" w:type="dxa"/>
            <w:vAlign w:val="bottom"/>
          </w:tcPr>
          <w:p>
            <w:pPr>
              <w:ind w:left="120"/>
              <w:spacing w:after="0"/>
              <w:rPr>
                <w:sz w:val="20"/>
                <w:szCs w:val="20"/>
                <w:color w:val="auto"/>
              </w:rPr>
            </w:pPr>
            <w:r>
              <w:rPr>
                <w:rFonts w:ascii="Times New Roman" w:cs="Times New Roman" w:eastAsia="Times New Roman" w:hAnsi="Times New Roman"/>
                <w:sz w:val="19"/>
                <w:szCs w:val="19"/>
                <w:color w:val="231F20"/>
              </w:rPr>
              <w:t>December 2027</w:t>
            </w:r>
          </w:p>
        </w:tc>
        <w:tc>
          <w:tcPr>
            <w:tcW w:w="520" w:type="dxa"/>
            <w:vAlign w:val="bottom"/>
          </w:tcPr>
          <w:p>
            <w:pPr>
              <w:ind w:left="40"/>
              <w:spacing w:after="0"/>
              <w:rPr>
                <w:sz w:val="20"/>
                <w:szCs w:val="20"/>
                <w:color w:val="auto"/>
              </w:rPr>
            </w:pPr>
            <w:r>
              <w:rPr>
                <w:rFonts w:ascii="Times New Roman" w:cs="Times New Roman" w:eastAsia="Times New Roman" w:hAnsi="Times New Roman"/>
                <w:sz w:val="19"/>
                <w:szCs w:val="19"/>
                <w:b w:val="1"/>
                <w:bCs w:val="1"/>
                <w:color w:val="231F2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25.0</w:t>
            </w:r>
          </w:p>
        </w:tc>
        <w:tc>
          <w:tcPr>
            <w:tcW w:w="0" w:type="dxa"/>
            <w:vAlign w:val="bottom"/>
          </w:tcPr>
          <w:p>
            <w:pPr>
              <w:spacing w:after="0"/>
              <w:rPr>
                <w:sz w:val="1"/>
                <w:szCs w:val="1"/>
                <w:color w:val="auto"/>
              </w:rPr>
            </w:pPr>
          </w:p>
        </w:tc>
      </w:tr>
      <w:tr>
        <w:trPr>
          <w:trHeight w:val="291"/>
        </w:trPr>
        <w:tc>
          <w:tcPr>
            <w:tcW w:w="386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$125,000 Senior notes at 3.55%</w:t>
            </w:r>
          </w:p>
        </w:tc>
        <w:tc>
          <w:tcPr>
            <w:tcW w:w="2920" w:type="dxa"/>
            <w:vAlign w:val="bottom"/>
          </w:tcPr>
          <w:p>
            <w:pPr>
              <w:ind w:left="720"/>
              <w:spacing w:after="0"/>
              <w:rPr>
                <w:sz w:val="20"/>
                <w:szCs w:val="20"/>
                <w:color w:val="auto"/>
              </w:rPr>
            </w:pPr>
            <w:r>
              <w:rPr>
                <w:rFonts w:ascii="Times New Roman" w:cs="Times New Roman" w:eastAsia="Times New Roman" w:hAnsi="Times New Roman"/>
                <w:sz w:val="19"/>
                <w:szCs w:val="19"/>
                <w:color w:val="231F20"/>
              </w:rPr>
              <w:t>2015 Private Placement</w:t>
            </w:r>
          </w:p>
        </w:tc>
        <w:tc>
          <w:tcPr>
            <w:tcW w:w="1700" w:type="dxa"/>
            <w:vAlign w:val="bottom"/>
          </w:tcPr>
          <w:p>
            <w:pPr>
              <w:ind w:left="120"/>
              <w:spacing w:after="0"/>
              <w:rPr>
                <w:sz w:val="20"/>
                <w:szCs w:val="20"/>
                <w:color w:val="auto"/>
              </w:rPr>
            </w:pPr>
            <w:r>
              <w:rPr>
                <w:rFonts w:ascii="Times New Roman" w:cs="Times New Roman" w:eastAsia="Times New Roman" w:hAnsi="Times New Roman"/>
                <w:sz w:val="19"/>
                <w:szCs w:val="19"/>
                <w:color w:val="231F20"/>
              </w:rPr>
              <w:t>May 2027</w:t>
            </w: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125.0</w:t>
            </w:r>
          </w:p>
        </w:tc>
        <w:tc>
          <w:tcPr>
            <w:tcW w:w="0" w:type="dxa"/>
            <w:vAlign w:val="bottom"/>
          </w:tcPr>
          <w:p>
            <w:pPr>
              <w:spacing w:after="0"/>
              <w:rPr>
                <w:sz w:val="1"/>
                <w:szCs w:val="1"/>
                <w:color w:val="auto"/>
              </w:rPr>
            </w:pPr>
          </w:p>
        </w:tc>
      </w:tr>
      <w:tr>
        <w:trPr>
          <w:trHeight w:val="291"/>
        </w:trPr>
        <w:tc>
          <w:tcPr>
            <w:tcW w:w="386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$100,000 Senior notes at 3.70%</w:t>
            </w:r>
          </w:p>
        </w:tc>
        <w:tc>
          <w:tcPr>
            <w:tcW w:w="2920" w:type="dxa"/>
            <w:vAlign w:val="bottom"/>
          </w:tcPr>
          <w:p>
            <w:pPr>
              <w:ind w:left="720"/>
              <w:spacing w:after="0"/>
              <w:rPr>
                <w:sz w:val="20"/>
                <w:szCs w:val="20"/>
                <w:color w:val="auto"/>
              </w:rPr>
            </w:pPr>
            <w:r>
              <w:rPr>
                <w:rFonts w:ascii="Times New Roman" w:cs="Times New Roman" w:eastAsia="Times New Roman" w:hAnsi="Times New Roman"/>
                <w:sz w:val="19"/>
                <w:szCs w:val="19"/>
                <w:color w:val="231F20"/>
              </w:rPr>
              <w:t>2015 Private Placement</w:t>
            </w:r>
          </w:p>
        </w:tc>
        <w:tc>
          <w:tcPr>
            <w:tcW w:w="1700" w:type="dxa"/>
            <w:vAlign w:val="bottom"/>
          </w:tcPr>
          <w:p>
            <w:pPr>
              <w:ind w:left="120"/>
              <w:spacing w:after="0"/>
              <w:rPr>
                <w:sz w:val="20"/>
                <w:szCs w:val="20"/>
                <w:color w:val="auto"/>
              </w:rPr>
            </w:pPr>
            <w:r>
              <w:rPr>
                <w:rFonts w:ascii="Times New Roman" w:cs="Times New Roman" w:eastAsia="Times New Roman" w:hAnsi="Times New Roman"/>
                <w:sz w:val="19"/>
                <w:szCs w:val="19"/>
                <w:color w:val="231F20"/>
              </w:rPr>
              <w:t>May 2030</w:t>
            </w: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100.0</w:t>
            </w:r>
          </w:p>
        </w:tc>
        <w:tc>
          <w:tcPr>
            <w:tcW w:w="0" w:type="dxa"/>
            <w:vAlign w:val="bottom"/>
          </w:tcPr>
          <w:p>
            <w:pPr>
              <w:spacing w:after="0"/>
              <w:rPr>
                <w:sz w:val="1"/>
                <w:szCs w:val="1"/>
                <w:color w:val="auto"/>
              </w:rPr>
            </w:pPr>
          </w:p>
        </w:tc>
      </w:tr>
      <w:tr>
        <w:trPr>
          <w:trHeight w:val="291"/>
        </w:trPr>
        <w:tc>
          <w:tcPr>
            <w:tcW w:w="386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$50,000 Senior notes at 3.93%</w:t>
            </w:r>
          </w:p>
        </w:tc>
        <w:tc>
          <w:tcPr>
            <w:tcW w:w="2920" w:type="dxa"/>
            <w:vAlign w:val="bottom"/>
          </w:tcPr>
          <w:p>
            <w:pPr>
              <w:ind w:left="720"/>
              <w:spacing w:after="0"/>
              <w:rPr>
                <w:sz w:val="20"/>
                <w:szCs w:val="20"/>
                <w:color w:val="auto"/>
              </w:rPr>
            </w:pPr>
            <w:r>
              <w:rPr>
                <w:rFonts w:ascii="Times New Roman" w:cs="Times New Roman" w:eastAsia="Times New Roman" w:hAnsi="Times New Roman"/>
                <w:sz w:val="19"/>
                <w:szCs w:val="19"/>
                <w:color w:val="231F20"/>
              </w:rPr>
              <w:t>2017 Private Placement</w:t>
            </w:r>
          </w:p>
        </w:tc>
        <w:tc>
          <w:tcPr>
            <w:tcW w:w="1700" w:type="dxa"/>
            <w:vAlign w:val="bottom"/>
          </w:tcPr>
          <w:p>
            <w:pPr>
              <w:ind w:left="120"/>
              <w:spacing w:after="0"/>
              <w:rPr>
                <w:sz w:val="20"/>
                <w:szCs w:val="20"/>
                <w:color w:val="auto"/>
              </w:rPr>
            </w:pPr>
            <w:r>
              <w:rPr>
                <w:rFonts w:ascii="Times New Roman" w:cs="Times New Roman" w:eastAsia="Times New Roman" w:hAnsi="Times New Roman"/>
                <w:sz w:val="19"/>
                <w:szCs w:val="19"/>
                <w:color w:val="231F20"/>
              </w:rPr>
              <w:t>February 2027</w:t>
            </w: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50.0</w:t>
            </w:r>
          </w:p>
        </w:tc>
        <w:tc>
          <w:tcPr>
            <w:tcW w:w="0" w:type="dxa"/>
            <w:vAlign w:val="bottom"/>
          </w:tcPr>
          <w:p>
            <w:pPr>
              <w:spacing w:after="0"/>
              <w:rPr>
                <w:sz w:val="1"/>
                <w:szCs w:val="1"/>
                <w:color w:val="auto"/>
              </w:rPr>
            </w:pPr>
          </w:p>
        </w:tc>
      </w:tr>
      <w:tr>
        <w:trPr>
          <w:trHeight w:val="291"/>
        </w:trPr>
        <w:tc>
          <w:tcPr>
            <w:tcW w:w="386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€60,000 Senior notes at 1.86%</w:t>
            </w:r>
          </w:p>
        </w:tc>
        <w:tc>
          <w:tcPr>
            <w:tcW w:w="2920" w:type="dxa"/>
            <w:vAlign w:val="bottom"/>
          </w:tcPr>
          <w:p>
            <w:pPr>
              <w:ind w:left="720"/>
              <w:spacing w:after="0"/>
              <w:rPr>
                <w:sz w:val="20"/>
                <w:szCs w:val="20"/>
                <w:color w:val="auto"/>
              </w:rPr>
            </w:pPr>
            <w:r>
              <w:rPr>
                <w:rFonts w:ascii="Times New Roman" w:cs="Times New Roman" w:eastAsia="Times New Roman" w:hAnsi="Times New Roman"/>
                <w:sz w:val="19"/>
                <w:szCs w:val="19"/>
                <w:color w:val="231F20"/>
              </w:rPr>
              <w:t>2017 Private Placement</w:t>
            </w:r>
          </w:p>
        </w:tc>
        <w:tc>
          <w:tcPr>
            <w:tcW w:w="1700" w:type="dxa"/>
            <w:vAlign w:val="bottom"/>
          </w:tcPr>
          <w:p>
            <w:pPr>
              <w:ind w:left="120"/>
              <w:spacing w:after="0"/>
              <w:rPr>
                <w:sz w:val="20"/>
                <w:szCs w:val="20"/>
                <w:color w:val="auto"/>
              </w:rPr>
            </w:pPr>
            <w:r>
              <w:rPr>
                <w:rFonts w:ascii="Times New Roman" w:cs="Times New Roman" w:eastAsia="Times New Roman" w:hAnsi="Times New Roman"/>
                <w:sz w:val="19"/>
                <w:szCs w:val="19"/>
                <w:color w:val="231F20"/>
              </w:rPr>
              <w:t>February 2027</w:t>
            </w: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68.9</w:t>
            </w:r>
          </w:p>
        </w:tc>
        <w:tc>
          <w:tcPr>
            <w:tcW w:w="0" w:type="dxa"/>
            <w:vAlign w:val="bottom"/>
          </w:tcPr>
          <w:p>
            <w:pPr>
              <w:spacing w:after="0"/>
              <w:rPr>
                <w:sz w:val="1"/>
                <w:szCs w:val="1"/>
                <w:color w:val="auto"/>
              </w:rPr>
            </w:pPr>
          </w:p>
        </w:tc>
      </w:tr>
      <w:tr>
        <w:trPr>
          <w:trHeight w:val="291"/>
        </w:trPr>
        <w:tc>
          <w:tcPr>
            <w:tcW w:w="386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$45,000 Senior notes at 4.03%</w:t>
            </w:r>
          </w:p>
        </w:tc>
        <w:tc>
          <w:tcPr>
            <w:tcW w:w="2920" w:type="dxa"/>
            <w:vAlign w:val="bottom"/>
          </w:tcPr>
          <w:p>
            <w:pPr>
              <w:ind w:left="720"/>
              <w:spacing w:after="0"/>
              <w:rPr>
                <w:sz w:val="20"/>
                <w:szCs w:val="20"/>
                <w:color w:val="auto"/>
              </w:rPr>
            </w:pPr>
            <w:r>
              <w:rPr>
                <w:rFonts w:ascii="Times New Roman" w:cs="Times New Roman" w:eastAsia="Times New Roman" w:hAnsi="Times New Roman"/>
                <w:sz w:val="19"/>
                <w:szCs w:val="19"/>
                <w:color w:val="231F20"/>
              </w:rPr>
              <w:t>2017 Private Placement</w:t>
            </w:r>
          </w:p>
        </w:tc>
        <w:tc>
          <w:tcPr>
            <w:tcW w:w="1700" w:type="dxa"/>
            <w:vAlign w:val="bottom"/>
          </w:tcPr>
          <w:p>
            <w:pPr>
              <w:ind w:left="120"/>
              <w:spacing w:after="0"/>
              <w:rPr>
                <w:sz w:val="20"/>
                <w:szCs w:val="20"/>
                <w:color w:val="auto"/>
              </w:rPr>
            </w:pPr>
            <w:r>
              <w:rPr>
                <w:rFonts w:ascii="Times New Roman" w:cs="Times New Roman" w:eastAsia="Times New Roman" w:hAnsi="Times New Roman"/>
                <w:sz w:val="19"/>
                <w:szCs w:val="19"/>
                <w:color w:val="231F20"/>
              </w:rPr>
              <w:t>February 2029</w:t>
            </w: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45.0</w:t>
            </w:r>
          </w:p>
        </w:tc>
        <w:tc>
          <w:tcPr>
            <w:tcW w:w="0" w:type="dxa"/>
            <w:vAlign w:val="bottom"/>
          </w:tcPr>
          <w:p>
            <w:pPr>
              <w:spacing w:after="0"/>
              <w:rPr>
                <w:sz w:val="1"/>
                <w:szCs w:val="1"/>
                <w:color w:val="auto"/>
              </w:rPr>
            </w:pPr>
          </w:p>
        </w:tc>
      </w:tr>
      <w:tr>
        <w:trPr>
          <w:trHeight w:val="291"/>
        </w:trPr>
        <w:tc>
          <w:tcPr>
            <w:tcW w:w="386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€20,000 Senior notes at 2.04%</w:t>
            </w:r>
          </w:p>
        </w:tc>
        <w:tc>
          <w:tcPr>
            <w:tcW w:w="2920" w:type="dxa"/>
            <w:vAlign w:val="bottom"/>
          </w:tcPr>
          <w:p>
            <w:pPr>
              <w:ind w:left="720"/>
              <w:spacing w:after="0"/>
              <w:rPr>
                <w:sz w:val="20"/>
                <w:szCs w:val="20"/>
                <w:color w:val="auto"/>
              </w:rPr>
            </w:pPr>
            <w:r>
              <w:rPr>
                <w:rFonts w:ascii="Times New Roman" w:cs="Times New Roman" w:eastAsia="Times New Roman" w:hAnsi="Times New Roman"/>
                <w:sz w:val="19"/>
                <w:szCs w:val="19"/>
                <w:color w:val="231F20"/>
              </w:rPr>
              <w:t>2017 Private Placement</w:t>
            </w:r>
          </w:p>
        </w:tc>
        <w:tc>
          <w:tcPr>
            <w:tcW w:w="1700" w:type="dxa"/>
            <w:vAlign w:val="bottom"/>
          </w:tcPr>
          <w:p>
            <w:pPr>
              <w:ind w:left="120"/>
              <w:spacing w:after="0"/>
              <w:rPr>
                <w:sz w:val="20"/>
                <w:szCs w:val="20"/>
                <w:color w:val="auto"/>
              </w:rPr>
            </w:pPr>
            <w:r>
              <w:rPr>
                <w:rFonts w:ascii="Times New Roman" w:cs="Times New Roman" w:eastAsia="Times New Roman" w:hAnsi="Times New Roman"/>
                <w:sz w:val="19"/>
                <w:szCs w:val="19"/>
                <w:color w:val="231F20"/>
              </w:rPr>
              <w:t>February 2029</w:t>
            </w: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23.0</w:t>
            </w:r>
          </w:p>
        </w:tc>
        <w:tc>
          <w:tcPr>
            <w:tcW w:w="0" w:type="dxa"/>
            <w:vAlign w:val="bottom"/>
          </w:tcPr>
          <w:p>
            <w:pPr>
              <w:spacing w:after="0"/>
              <w:rPr>
                <w:sz w:val="1"/>
                <w:szCs w:val="1"/>
                <w:color w:val="auto"/>
              </w:rPr>
            </w:pPr>
          </w:p>
        </w:tc>
      </w:tr>
      <w:tr>
        <w:trPr>
          <w:trHeight w:val="291"/>
        </w:trPr>
        <w:tc>
          <w:tcPr>
            <w:tcW w:w="386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£45,000 Senior notes at 3.04%</w:t>
            </w:r>
          </w:p>
        </w:tc>
        <w:tc>
          <w:tcPr>
            <w:tcW w:w="2920" w:type="dxa"/>
            <w:vAlign w:val="bottom"/>
          </w:tcPr>
          <w:p>
            <w:pPr>
              <w:ind w:left="720"/>
              <w:spacing w:after="0"/>
              <w:rPr>
                <w:sz w:val="20"/>
                <w:szCs w:val="20"/>
                <w:color w:val="auto"/>
              </w:rPr>
            </w:pPr>
            <w:r>
              <w:rPr>
                <w:rFonts w:ascii="Times New Roman" w:cs="Times New Roman" w:eastAsia="Times New Roman" w:hAnsi="Times New Roman"/>
                <w:sz w:val="19"/>
                <w:szCs w:val="19"/>
                <w:color w:val="231F20"/>
              </w:rPr>
              <w:t>2017 Private Placement</w:t>
            </w:r>
          </w:p>
        </w:tc>
        <w:tc>
          <w:tcPr>
            <w:tcW w:w="1700" w:type="dxa"/>
            <w:vAlign w:val="bottom"/>
          </w:tcPr>
          <w:p>
            <w:pPr>
              <w:ind w:left="120"/>
              <w:spacing w:after="0"/>
              <w:rPr>
                <w:sz w:val="20"/>
                <w:szCs w:val="20"/>
                <w:color w:val="auto"/>
              </w:rPr>
            </w:pPr>
            <w:r>
              <w:rPr>
                <w:rFonts w:ascii="Times New Roman" w:cs="Times New Roman" w:eastAsia="Times New Roman" w:hAnsi="Times New Roman"/>
                <w:sz w:val="19"/>
                <w:szCs w:val="19"/>
                <w:color w:val="231F20"/>
              </w:rPr>
              <w:t>February 2029</w:t>
            </w: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59.5</w:t>
            </w:r>
          </w:p>
        </w:tc>
        <w:tc>
          <w:tcPr>
            <w:tcW w:w="0" w:type="dxa"/>
            <w:vAlign w:val="bottom"/>
          </w:tcPr>
          <w:p>
            <w:pPr>
              <w:spacing w:after="0"/>
              <w:rPr>
                <w:sz w:val="1"/>
                <w:szCs w:val="1"/>
                <w:color w:val="auto"/>
              </w:rPr>
            </w:pPr>
          </w:p>
        </w:tc>
      </w:tr>
      <w:tr>
        <w:trPr>
          <w:trHeight w:val="291"/>
        </w:trPr>
        <w:tc>
          <w:tcPr>
            <w:tcW w:w="386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€19,000 Senior notes at 2.30%</w:t>
            </w:r>
          </w:p>
        </w:tc>
        <w:tc>
          <w:tcPr>
            <w:tcW w:w="2920" w:type="dxa"/>
            <w:vAlign w:val="bottom"/>
          </w:tcPr>
          <w:p>
            <w:pPr>
              <w:ind w:left="720"/>
              <w:spacing w:after="0"/>
              <w:rPr>
                <w:sz w:val="20"/>
                <w:szCs w:val="20"/>
                <w:color w:val="auto"/>
              </w:rPr>
            </w:pPr>
            <w:r>
              <w:rPr>
                <w:rFonts w:ascii="Times New Roman" w:cs="Times New Roman" w:eastAsia="Times New Roman" w:hAnsi="Times New Roman"/>
                <w:sz w:val="19"/>
                <w:szCs w:val="19"/>
                <w:color w:val="231F20"/>
              </w:rPr>
              <w:t>2017 Private Placement</w:t>
            </w:r>
          </w:p>
        </w:tc>
        <w:tc>
          <w:tcPr>
            <w:tcW w:w="1700" w:type="dxa"/>
            <w:vAlign w:val="bottom"/>
          </w:tcPr>
          <w:p>
            <w:pPr>
              <w:ind w:left="120"/>
              <w:spacing w:after="0"/>
              <w:rPr>
                <w:sz w:val="20"/>
                <w:szCs w:val="20"/>
                <w:color w:val="auto"/>
              </w:rPr>
            </w:pPr>
            <w:r>
              <w:rPr>
                <w:rFonts w:ascii="Times New Roman" w:cs="Times New Roman" w:eastAsia="Times New Roman" w:hAnsi="Times New Roman"/>
                <w:sz w:val="19"/>
                <w:szCs w:val="19"/>
                <w:color w:val="231F20"/>
              </w:rPr>
              <w:t>February 2032</w:t>
            </w: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21.8</w:t>
            </w:r>
          </w:p>
        </w:tc>
        <w:tc>
          <w:tcPr>
            <w:tcW w:w="0" w:type="dxa"/>
            <w:vAlign w:val="bottom"/>
          </w:tcPr>
          <w:p>
            <w:pPr>
              <w:spacing w:after="0"/>
              <w:rPr>
                <w:sz w:val="1"/>
                <w:szCs w:val="1"/>
                <w:color w:val="auto"/>
              </w:rPr>
            </w:pPr>
          </w:p>
        </w:tc>
      </w:tr>
      <w:tr>
        <w:trPr>
          <w:trHeight w:val="294"/>
        </w:trPr>
        <w:tc>
          <w:tcPr>
            <w:tcW w:w="3860" w:type="dxa"/>
            <w:vAlign w:val="bottom"/>
            <w:tcBorders>
              <w:bottom w:val="single" w:sz="8" w:color="231F20"/>
            </w:tcBorders>
          </w:tcPr>
          <w:p>
            <w:pPr>
              <w:ind w:left="40"/>
              <w:spacing w:after="0"/>
              <w:rPr>
                <w:sz w:val="20"/>
                <w:szCs w:val="20"/>
                <w:color w:val="auto"/>
              </w:rPr>
            </w:pPr>
            <w:r>
              <w:rPr>
                <w:rFonts w:ascii="Times New Roman" w:cs="Times New Roman" w:eastAsia="Times New Roman" w:hAnsi="Times New Roman"/>
                <w:sz w:val="19"/>
                <w:szCs w:val="19"/>
                <w:color w:val="231F20"/>
              </w:rPr>
              <w:t>£30,000 Senior notes at 3.17%</w:t>
            </w:r>
          </w:p>
        </w:tc>
        <w:tc>
          <w:tcPr>
            <w:tcW w:w="2920" w:type="dxa"/>
            <w:vAlign w:val="bottom"/>
            <w:tcBorders>
              <w:bottom w:val="single" w:sz="8" w:color="231F20"/>
            </w:tcBorders>
          </w:tcPr>
          <w:p>
            <w:pPr>
              <w:ind w:left="720"/>
              <w:spacing w:after="0"/>
              <w:rPr>
                <w:sz w:val="20"/>
                <w:szCs w:val="20"/>
                <w:color w:val="auto"/>
              </w:rPr>
            </w:pPr>
            <w:r>
              <w:rPr>
                <w:rFonts w:ascii="Times New Roman" w:cs="Times New Roman" w:eastAsia="Times New Roman" w:hAnsi="Times New Roman"/>
                <w:sz w:val="19"/>
                <w:szCs w:val="19"/>
                <w:color w:val="231F20"/>
              </w:rPr>
              <w:t>2017 Private Placement</w:t>
            </w:r>
          </w:p>
        </w:tc>
        <w:tc>
          <w:tcPr>
            <w:tcW w:w="1700" w:type="dxa"/>
            <w:vAlign w:val="bottom"/>
            <w:tcBorders>
              <w:bottom w:val="single" w:sz="8" w:color="231F20"/>
            </w:tcBorders>
          </w:tcPr>
          <w:p>
            <w:pPr>
              <w:ind w:left="120"/>
              <w:spacing w:after="0"/>
              <w:rPr>
                <w:sz w:val="20"/>
                <w:szCs w:val="20"/>
                <w:color w:val="auto"/>
              </w:rPr>
            </w:pPr>
            <w:r>
              <w:rPr>
                <w:rFonts w:ascii="Times New Roman" w:cs="Times New Roman" w:eastAsia="Times New Roman" w:hAnsi="Times New Roman"/>
                <w:sz w:val="19"/>
                <w:szCs w:val="19"/>
                <w:color w:val="231F20"/>
              </w:rPr>
              <w:t>February 2032</w:t>
            </w:r>
          </w:p>
        </w:tc>
        <w:tc>
          <w:tcPr>
            <w:tcW w:w="52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39.7</w:t>
            </w:r>
          </w:p>
        </w:tc>
        <w:tc>
          <w:tcPr>
            <w:tcW w:w="0" w:type="dxa"/>
            <w:vAlign w:val="bottom"/>
          </w:tcPr>
          <w:p>
            <w:pPr>
              <w:spacing w:after="0"/>
              <w:rPr>
                <w:sz w:val="1"/>
                <w:szCs w:val="1"/>
                <w:color w:val="auto"/>
              </w:rPr>
            </w:pPr>
          </w:p>
        </w:tc>
      </w:tr>
      <w:tr>
        <w:trPr>
          <w:trHeight w:val="281"/>
        </w:trPr>
        <w:tc>
          <w:tcPr>
            <w:tcW w:w="3860" w:type="dxa"/>
            <w:vAlign w:val="bottom"/>
          </w:tcPr>
          <w:p>
            <w:pPr>
              <w:ind w:left="40"/>
              <w:spacing w:after="0"/>
              <w:rPr>
                <w:sz w:val="20"/>
                <w:szCs w:val="20"/>
                <w:color w:val="auto"/>
              </w:rPr>
            </w:pPr>
            <w:r>
              <w:rPr>
                <w:rFonts w:ascii="Times New Roman" w:cs="Times New Roman" w:eastAsia="Times New Roman" w:hAnsi="Times New Roman"/>
                <w:sz w:val="19"/>
                <w:szCs w:val="19"/>
                <w:b w:val="1"/>
                <w:bCs w:val="1"/>
                <w:color w:val="231F20"/>
              </w:rPr>
              <w:t>Total Private Placement Senior Notes</w:t>
            </w:r>
          </w:p>
        </w:tc>
        <w:tc>
          <w:tcPr>
            <w:tcW w:w="2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20" w:type="dxa"/>
            <w:vAlign w:val="bottom"/>
            <w:tcBorders>
              <w:bottom w:val="single" w:sz="8" w:color="231F20"/>
            </w:tcBorders>
          </w:tcPr>
          <w:p>
            <w:pPr>
              <w:ind w:left="40"/>
              <w:spacing w:after="0"/>
              <w:rPr>
                <w:sz w:val="20"/>
                <w:szCs w:val="20"/>
                <w:color w:val="auto"/>
              </w:rPr>
            </w:pPr>
            <w:r>
              <w:rPr>
                <w:rFonts w:ascii="Times New Roman" w:cs="Times New Roman" w:eastAsia="Times New Roman" w:hAnsi="Times New Roman"/>
                <w:sz w:val="19"/>
                <w:szCs w:val="19"/>
                <w:b w:val="1"/>
                <w:bCs w:val="1"/>
                <w:color w:val="231F20"/>
              </w:rPr>
              <w:t>$</w:t>
            </w: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557.8</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The Private Placement Senior Notes were issued as follows:</w:t>
      </w:r>
    </w:p>
    <w:p>
      <w:pPr>
        <w:spacing w:after="0" w:line="131" w:lineRule="exact"/>
        <w:rPr>
          <w:sz w:val="20"/>
          <w:szCs w:val="20"/>
          <w:color w:val="auto"/>
        </w:rPr>
      </w:pPr>
    </w:p>
    <w:p>
      <w:pPr>
        <w:ind w:left="360" w:right="460" w:hanging="357"/>
        <w:spacing w:after="0" w:line="265" w:lineRule="auto"/>
        <w:tabs>
          <w:tab w:leader="none" w:pos="360" w:val="left"/>
        </w:tabs>
        <w:numPr>
          <w:ilvl w:val="0"/>
          <w:numId w:val="1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On February 27, 2017, Limited issued and sold an aggregate principal amount of $95.0 million, €99.0 million, and £75.0 million of senior notes (collectively, the "2017 senior notes") in a private placement to certain institutional investors in an offering that was exempt from the registration requirements of the Securities Act of 1933. These notes have maturities of between 10 years and 15 years from the issue date. The agreement governing these notes contains leverage and interest coverage covenants.</w:t>
      </w:r>
    </w:p>
    <w:p>
      <w:pPr>
        <w:spacing w:after="0" w:line="74" w:lineRule="exact"/>
        <w:rPr>
          <w:rFonts w:ascii="Times New Roman" w:cs="Times New Roman" w:eastAsia="Times New Roman" w:hAnsi="Times New Roman"/>
          <w:sz w:val="19"/>
          <w:szCs w:val="19"/>
          <w:color w:val="231F20"/>
        </w:rPr>
      </w:pPr>
    </w:p>
    <w:p>
      <w:pPr>
        <w:ind w:left="360" w:right="480" w:hanging="357"/>
        <w:spacing w:after="0" w:line="268" w:lineRule="auto"/>
        <w:tabs>
          <w:tab w:leader="none" w:pos="360" w:val="left"/>
        </w:tabs>
        <w:numPr>
          <w:ilvl w:val="0"/>
          <w:numId w:val="1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On May 15, 2015, Corporation issued and sold $350.0 million of senior notes (the "2015 senior notes") in a private placement to certain institutional investors in an offering that was exempt from the registration requirements of the Securities Act of 1933. These notes have maturities of 10 years to 15 years from the issue date. The agreement governing these notes contains leverage and interest coverage covenants.</w:t>
      </w:r>
    </w:p>
    <w:p>
      <w:pPr>
        <w:spacing w:after="0" w:line="71" w:lineRule="exact"/>
        <w:rPr>
          <w:rFonts w:ascii="Times New Roman" w:cs="Times New Roman" w:eastAsia="Times New Roman" w:hAnsi="Times New Roman"/>
          <w:sz w:val="19"/>
          <w:szCs w:val="19"/>
          <w:color w:val="231F20"/>
        </w:rPr>
      </w:pPr>
    </w:p>
    <w:p>
      <w:pPr>
        <w:ind w:left="360" w:right="480" w:hanging="357"/>
        <w:spacing w:after="0" w:line="268" w:lineRule="auto"/>
        <w:tabs>
          <w:tab w:leader="none" w:pos="360" w:val="left"/>
        </w:tabs>
        <w:numPr>
          <w:ilvl w:val="0"/>
          <w:numId w:val="1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 December 2012 and in February 2013, Corporation issued and sold $200.0 million of senior notes (collectively, the "2012 senior notes") in a private placement to certain institutional investors in offerings that were exempt from the registration requirements of the Securities Act of 1933. The agreement governing the notes contains leverage and interest coverage covenants.</w:t>
      </w:r>
    </w:p>
    <w:p>
      <w:pPr>
        <w:spacing w:after="0" w:line="71" w:lineRule="exact"/>
        <w:rPr>
          <w:rFonts w:ascii="Times New Roman" w:cs="Times New Roman" w:eastAsia="Times New Roman" w:hAnsi="Times New Roman"/>
          <w:sz w:val="19"/>
          <w:szCs w:val="19"/>
          <w:color w:val="231F20"/>
        </w:rPr>
      </w:pPr>
    </w:p>
    <w:p>
      <w:pPr>
        <w:ind w:left="360" w:right="340" w:hanging="357"/>
        <w:spacing w:after="0" w:line="262" w:lineRule="auto"/>
        <w:tabs>
          <w:tab w:leader="none" w:pos="360" w:val="left"/>
        </w:tabs>
        <w:numPr>
          <w:ilvl w:val="0"/>
          <w:numId w:val="1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On March 19, 2021, Corporation as issuer, and Parent, Limited and FinCo, as guarantors, entered into (1) a First Amendment to Amended and Restated Note Purchase Agreement dated March 5, 2019 (which had amended and restated certain note purchase agreements originally dated December 4, 2012) for the 2012 senior notes (the “2012 Amendment”), and (2) a First Amendment to Amended and Restated Note Purchase Agreement dated March 5, 2019 (which had amended and restated certain note purchase agreements originally dated March 31, 2015) for the 2015 senior notes (the “2015 Amendment”). Also on March 19, 2021, Limited, as issuer, and Parent, Corporation and FinCo, as guarantors, entered into a First Amendment to Amended and Restated Note Purchase Agreement dated March 5, 2019 (which had amended and</w:t>
      </w:r>
    </w:p>
    <w:p>
      <w:pPr>
        <w:sectPr>
          <w:pgSz w:w="11880" w:h="15480" w:orient="portrait"/>
          <w:cols w:equalWidth="0" w:num="1">
            <w:col w:w="10240"/>
          </w:cols>
          <w:pgMar w:left="960" w:top="825" w:right="680" w:bottom="0" w:gutter="0" w:footer="0" w:header="0"/>
        </w:sectPr>
      </w:pPr>
    </w:p>
    <w:p>
      <w:pPr>
        <w:spacing w:after="0" w:line="40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9"/>
          <w:szCs w:val="19"/>
          <w:color w:val="231F20"/>
        </w:rPr>
        <w:t>41</w:t>
      </w:r>
    </w:p>
    <w:p>
      <w:pPr>
        <w:sectPr>
          <w:pgSz w:w="11880" w:h="15480" w:orient="portrait"/>
          <w:cols w:equalWidth="0" w:num="1">
            <w:col w:w="10240"/>
          </w:cols>
          <w:pgMar w:left="960" w:top="825" w:right="680" w:bottom="0" w:gutter="0" w:footer="0" w:header="0"/>
          <w:type w:val="continuous"/>
        </w:sectPr>
      </w:pPr>
    </w:p>
    <w:bookmarkStart w:id="42" w:name="page43"/>
    <w:bookmarkEnd w:id="42"/>
    <w:p>
      <w:pPr>
        <w:ind w:left="360" w:right="200"/>
        <w:spacing w:after="0" w:line="268" w:lineRule="auto"/>
        <w:rPr>
          <w:sz w:val="20"/>
          <w:szCs w:val="20"/>
          <w:color w:val="auto"/>
        </w:rPr>
      </w:pPr>
      <w:r>
        <w:rPr>
          <w:rFonts w:ascii="Times New Roman" w:cs="Times New Roman" w:eastAsia="Times New Roman" w:hAnsi="Times New Roman"/>
          <w:sz w:val="19"/>
          <w:szCs w:val="19"/>
          <w:color w:val="231F20"/>
        </w:rPr>
        <w:t>restated a certain note purchase agreement originally dated January 23, 2017) for the 2017 senior notes (together with the 2012 Amendment and the 2015 Amendment, the “NPA Amendments”). The NPA Amendments provided, among other things, for the waiver of certain repurchase rights of the note holders and increased the size of certain baskets to more closely align with other current credit agreement baskets.</w:t>
      </w:r>
    </w:p>
    <w:p>
      <w:pPr>
        <w:spacing w:after="0" w:line="72" w:lineRule="exact"/>
        <w:rPr>
          <w:sz w:val="20"/>
          <w:szCs w:val="20"/>
          <w:color w:val="auto"/>
        </w:rPr>
      </w:pPr>
    </w:p>
    <w:p>
      <w:pPr>
        <w:ind w:right="260" w:firstLine="349"/>
        <w:spacing w:after="0" w:line="293" w:lineRule="auto"/>
        <w:rPr>
          <w:sz w:val="20"/>
          <w:szCs w:val="20"/>
          <w:color w:val="auto"/>
        </w:rPr>
      </w:pPr>
      <w:r>
        <w:rPr>
          <w:rFonts w:ascii="Times New Roman" w:cs="Times New Roman" w:eastAsia="Times New Roman" w:hAnsi="Times New Roman"/>
          <w:sz w:val="19"/>
          <w:szCs w:val="19"/>
          <w:color w:val="231F20"/>
        </w:rPr>
        <w:t>At March 31, 2026, we were in compliance with all financial covenants associated with our indebtedness. For additional information on our sources of funding and credit, refer to Note 8 to our consolidated financial statements titled, “Debt.”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CAPITAL EXPENDITURES</w:t>
      </w:r>
    </w:p>
    <w:p>
      <w:pPr>
        <w:spacing w:after="0" w:line="138" w:lineRule="exact"/>
        <w:rPr>
          <w:sz w:val="20"/>
          <w:szCs w:val="20"/>
          <w:color w:val="auto"/>
        </w:rPr>
      </w:pPr>
    </w:p>
    <w:p>
      <w:pPr>
        <w:ind w:right="100" w:firstLine="349"/>
        <w:spacing w:after="0" w:line="262" w:lineRule="auto"/>
        <w:rPr>
          <w:sz w:val="20"/>
          <w:szCs w:val="20"/>
          <w:color w:val="auto"/>
        </w:rPr>
      </w:pPr>
      <w:r>
        <w:rPr>
          <w:rFonts w:ascii="Times New Roman" w:cs="Times New Roman" w:eastAsia="Times New Roman" w:hAnsi="Times New Roman"/>
          <w:sz w:val="19"/>
          <w:szCs w:val="19"/>
          <w:color w:val="231F20"/>
        </w:rPr>
        <w:t>Our capital expenditure program is a component of our long-term strategy. This program includes, among other things, investments in new and existing facilities, business expansion projects, cobalt-60, information technology enhancements, and research and development advances. During fiscal 2026, our capital expenditures amounted to $369.0 million. We use cash provided by operating activities and our cash and cash equivalent balances to fund capital expenditures. In fiscal 2027, we plan to continue to invest in facility expansions, particularly within our Healthcare and AST segments, and in ongoing maintenance for existing facilities. We will also commence a multi-year project to invest in upgraded technology to support our service and sales workflows within our Healthcare and Life Sciences segments.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MATERIAL FUTURE CASH OBLIGATIONS AND COMMERCIAL COMMITMENTS</w:t>
      </w:r>
    </w:p>
    <w:p>
      <w:pPr>
        <w:spacing w:after="0" w:line="134" w:lineRule="exact"/>
        <w:rPr>
          <w:sz w:val="20"/>
          <w:szCs w:val="20"/>
          <w:color w:val="auto"/>
        </w:rPr>
      </w:pPr>
    </w:p>
    <w:p>
      <w:pPr>
        <w:ind w:right="40" w:firstLine="349"/>
        <w:spacing w:after="0" w:line="261" w:lineRule="auto"/>
        <w:rPr>
          <w:sz w:val="20"/>
          <w:szCs w:val="20"/>
          <w:color w:val="auto"/>
        </w:rPr>
      </w:pPr>
      <w:r>
        <w:rPr>
          <w:rFonts w:ascii="Times New Roman" w:cs="Times New Roman" w:eastAsia="Times New Roman" w:hAnsi="Times New Roman"/>
          <w:sz w:val="19"/>
          <w:szCs w:val="19"/>
          <w:b w:val="1"/>
          <w:bCs w:val="1"/>
          <w:i w:val="1"/>
          <w:iCs w:val="1"/>
          <w:color w:val="231F20"/>
        </w:rPr>
        <w:t xml:space="preserve">Cash Requirements. </w:t>
      </w:r>
      <w:r>
        <w:rPr>
          <w:rFonts w:ascii="Times New Roman" w:cs="Times New Roman" w:eastAsia="Times New Roman" w:hAnsi="Times New Roman"/>
          <w:sz w:val="19"/>
          <w:szCs w:val="19"/>
          <w:color w:val="231F20"/>
        </w:rPr>
        <w:t>We intend to use our existing cash and cash equivalent balances and cash generated from operations</w:t>
      </w:r>
      <w:r>
        <w:rPr>
          <w:rFonts w:ascii="Times New Roman" w:cs="Times New Roman" w:eastAsia="Times New Roman" w:hAnsi="Times New Roman"/>
          <w:sz w:val="19"/>
          <w:szCs w:val="19"/>
          <w:b w:val="1"/>
          <w:bCs w:val="1"/>
          <w:i w:val="1"/>
          <w:iCs w:val="1"/>
          <w:color w:val="231F20"/>
        </w:rPr>
        <w:t xml:space="preserve"> </w:t>
      </w:r>
      <w:r>
        <w:rPr>
          <w:rFonts w:ascii="Times New Roman" w:cs="Times New Roman" w:eastAsia="Times New Roman" w:hAnsi="Times New Roman"/>
          <w:sz w:val="19"/>
          <w:szCs w:val="19"/>
          <w:color w:val="231F20"/>
        </w:rPr>
        <w:t>to fund capital expenditures and meet our other liquidity needs. Our capital requirements depend on many uncertain factors, including our rate of sales growth, our Customers’ acceptance of our products and services, the costs of obtaining adequate manufacturing capacities, the timing and extent of our research and development projects, changes in our operating expenses and other factors. To the extent that existing and anticipated sources of cash are not sufficient to fund our future activities, we may need to raise additional funds through additional borrowings or the sale of equity securities. There can be no assurance that our financing arrangements will provide us with sufficient funds or that we will be able to obtain any additional funds on terms favorable to us or at all.</w:t>
      </w:r>
    </w:p>
    <w:p>
      <w:pPr>
        <w:spacing w:after="0" w:line="83" w:lineRule="exact"/>
        <w:rPr>
          <w:sz w:val="20"/>
          <w:szCs w:val="20"/>
          <w:color w:val="auto"/>
        </w:rPr>
      </w:pPr>
    </w:p>
    <w:p>
      <w:pPr>
        <w:jc w:val="both"/>
        <w:ind w:right="260" w:firstLine="349"/>
        <w:spacing w:after="0" w:line="274" w:lineRule="auto"/>
        <w:rPr>
          <w:sz w:val="20"/>
          <w:szCs w:val="20"/>
          <w:color w:val="auto"/>
        </w:rPr>
      </w:pPr>
      <w:r>
        <w:rPr>
          <w:rFonts w:ascii="Times New Roman" w:cs="Times New Roman" w:eastAsia="Times New Roman" w:hAnsi="Times New Roman"/>
          <w:sz w:val="19"/>
          <w:szCs w:val="19"/>
          <w:color w:val="231F20"/>
        </w:rPr>
        <w:t>Our material future cash obligations and commercial commitments as of March 31, 2026 are presented in the following tables. Commercial commitments include standby letters of credit, letters of credit required as security under our self-insured risk retention policies, and other potential cash outflows resulting from events that require us to fulfill commitments.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62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780" w:type="dxa"/>
            <w:vAlign w:val="bottom"/>
            <w:tcBorders>
              <w:bottom w:val="single" w:sz="8" w:color="231F20"/>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2820" w:type="dxa"/>
            <w:vAlign w:val="bottom"/>
            <w:tcBorders>
              <w:bottom w:val="single" w:sz="8" w:color="231F20"/>
            </w:tcBorders>
            <w:gridSpan w:val="5"/>
          </w:tcPr>
          <w:p>
            <w:pPr>
              <w:jc w:val="right"/>
              <w:ind w:right="404"/>
              <w:spacing w:after="0"/>
              <w:rPr>
                <w:sz w:val="20"/>
                <w:szCs w:val="20"/>
                <w:color w:val="auto"/>
              </w:rPr>
            </w:pPr>
            <w:r>
              <w:rPr>
                <w:rFonts w:ascii="Times New Roman" w:cs="Times New Roman" w:eastAsia="Times New Roman" w:hAnsi="Times New Roman"/>
                <w:sz w:val="17"/>
                <w:szCs w:val="17"/>
                <w:color w:val="231F20"/>
              </w:rPr>
              <w:t>Payments due by March 31,</w:t>
            </w:r>
          </w:p>
        </w:tc>
        <w:tc>
          <w:tcPr>
            <w:tcW w:w="20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3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231F20"/>
              </w:rPr>
              <w:t>(in millions)</w:t>
            </w:r>
          </w:p>
        </w:tc>
        <w:tc>
          <w:tcPr>
            <w:tcW w:w="220" w:type="dxa"/>
            <w:vAlign w:val="bottom"/>
          </w:tcPr>
          <w:p>
            <w:pPr>
              <w:spacing w:after="0"/>
              <w:rPr>
                <w:sz w:val="13"/>
                <w:szCs w:val="13"/>
                <w:color w:val="auto"/>
              </w:rPr>
            </w:pPr>
          </w:p>
        </w:tc>
        <w:tc>
          <w:tcPr>
            <w:tcW w:w="780" w:type="dxa"/>
            <w:vAlign w:val="bottom"/>
            <w:vMerge w:val="restart"/>
          </w:tcPr>
          <w:p>
            <w:pPr>
              <w:jc w:val="right"/>
              <w:ind w:right="244"/>
              <w:spacing w:after="0"/>
              <w:rPr>
                <w:sz w:val="20"/>
                <w:szCs w:val="20"/>
                <w:color w:val="auto"/>
              </w:rPr>
            </w:pPr>
            <w:r>
              <w:rPr>
                <w:rFonts w:ascii="Times New Roman" w:cs="Times New Roman" w:eastAsia="Times New Roman" w:hAnsi="Times New Roman"/>
                <w:sz w:val="17"/>
                <w:szCs w:val="17"/>
                <w:color w:val="231F20"/>
              </w:rPr>
              <w:t>2027</w:t>
            </w:r>
          </w:p>
        </w:tc>
        <w:tc>
          <w:tcPr>
            <w:tcW w:w="240" w:type="dxa"/>
            <w:vAlign w:val="bottom"/>
          </w:tcPr>
          <w:p>
            <w:pPr>
              <w:spacing w:after="0"/>
              <w:rPr>
                <w:sz w:val="13"/>
                <w:szCs w:val="13"/>
                <w:color w:val="auto"/>
              </w:rPr>
            </w:pPr>
          </w:p>
        </w:tc>
        <w:tc>
          <w:tcPr>
            <w:tcW w:w="780" w:type="dxa"/>
            <w:vAlign w:val="bottom"/>
            <w:vMerge w:val="restart"/>
          </w:tcPr>
          <w:p>
            <w:pPr>
              <w:jc w:val="right"/>
              <w:ind w:right="245"/>
              <w:spacing w:after="0"/>
              <w:rPr>
                <w:sz w:val="20"/>
                <w:szCs w:val="20"/>
                <w:color w:val="auto"/>
              </w:rPr>
            </w:pPr>
            <w:r>
              <w:rPr>
                <w:rFonts w:ascii="Times New Roman" w:cs="Times New Roman" w:eastAsia="Times New Roman" w:hAnsi="Times New Roman"/>
                <w:sz w:val="17"/>
                <w:szCs w:val="17"/>
                <w:color w:val="231F20"/>
              </w:rPr>
              <w:t>2028</w:t>
            </w:r>
          </w:p>
        </w:tc>
        <w:tc>
          <w:tcPr>
            <w:tcW w:w="240" w:type="dxa"/>
            <w:vAlign w:val="bottom"/>
          </w:tcPr>
          <w:p>
            <w:pPr>
              <w:spacing w:after="0"/>
              <w:rPr>
                <w:sz w:val="13"/>
                <w:szCs w:val="13"/>
                <w:color w:val="auto"/>
              </w:rPr>
            </w:pPr>
          </w:p>
        </w:tc>
        <w:tc>
          <w:tcPr>
            <w:tcW w:w="780" w:type="dxa"/>
            <w:vAlign w:val="bottom"/>
            <w:vMerge w:val="restart"/>
          </w:tcPr>
          <w:p>
            <w:pPr>
              <w:jc w:val="right"/>
              <w:ind w:right="244"/>
              <w:spacing w:after="0"/>
              <w:rPr>
                <w:sz w:val="20"/>
                <w:szCs w:val="20"/>
                <w:color w:val="auto"/>
              </w:rPr>
            </w:pPr>
            <w:r>
              <w:rPr>
                <w:rFonts w:ascii="Times New Roman" w:cs="Times New Roman" w:eastAsia="Times New Roman" w:hAnsi="Times New Roman"/>
                <w:sz w:val="17"/>
                <w:szCs w:val="17"/>
                <w:color w:val="231F20"/>
              </w:rPr>
              <w:t>2029</w:t>
            </w:r>
          </w:p>
        </w:tc>
        <w:tc>
          <w:tcPr>
            <w:tcW w:w="240" w:type="dxa"/>
            <w:vAlign w:val="bottom"/>
          </w:tcPr>
          <w:p>
            <w:pPr>
              <w:spacing w:after="0"/>
              <w:rPr>
                <w:sz w:val="13"/>
                <w:szCs w:val="13"/>
                <w:color w:val="auto"/>
              </w:rPr>
            </w:pPr>
          </w:p>
        </w:tc>
        <w:tc>
          <w:tcPr>
            <w:tcW w:w="780" w:type="dxa"/>
            <w:vAlign w:val="bottom"/>
            <w:vMerge w:val="restart"/>
          </w:tcPr>
          <w:p>
            <w:pPr>
              <w:jc w:val="right"/>
              <w:ind w:right="244"/>
              <w:spacing w:after="0"/>
              <w:rPr>
                <w:sz w:val="20"/>
                <w:szCs w:val="20"/>
                <w:color w:val="auto"/>
              </w:rPr>
            </w:pPr>
            <w:r>
              <w:rPr>
                <w:rFonts w:ascii="Times New Roman" w:cs="Times New Roman" w:eastAsia="Times New Roman" w:hAnsi="Times New Roman"/>
                <w:sz w:val="17"/>
                <w:szCs w:val="17"/>
                <w:color w:val="231F20"/>
              </w:rPr>
              <w:t>2030</w:t>
            </w:r>
          </w:p>
        </w:tc>
        <w:tc>
          <w:tcPr>
            <w:tcW w:w="200" w:type="dxa"/>
            <w:vAlign w:val="bottom"/>
          </w:tcPr>
          <w:p>
            <w:pPr>
              <w:spacing w:after="0"/>
              <w:rPr>
                <w:sz w:val="13"/>
                <w:szCs w:val="13"/>
                <w:color w:val="auto"/>
              </w:rPr>
            </w:pPr>
          </w:p>
        </w:tc>
        <w:tc>
          <w:tcPr>
            <w:tcW w:w="920" w:type="dxa"/>
            <w:vAlign w:val="bottom"/>
          </w:tcPr>
          <w:p>
            <w:pPr>
              <w:jc w:val="right"/>
              <w:ind w:right="145"/>
              <w:spacing w:after="0" w:line="157" w:lineRule="exact"/>
              <w:rPr>
                <w:sz w:val="20"/>
                <w:szCs w:val="20"/>
                <w:color w:val="auto"/>
              </w:rPr>
            </w:pPr>
            <w:r>
              <w:rPr>
                <w:rFonts w:ascii="Times New Roman" w:cs="Times New Roman" w:eastAsia="Times New Roman" w:hAnsi="Times New Roman"/>
                <w:sz w:val="17"/>
                <w:szCs w:val="17"/>
                <w:color w:val="231F20"/>
              </w:rPr>
              <w:t>2031 and</w:t>
            </w:r>
          </w:p>
        </w:tc>
        <w:tc>
          <w:tcPr>
            <w:tcW w:w="320" w:type="dxa"/>
            <w:vAlign w:val="bottom"/>
          </w:tcPr>
          <w:p>
            <w:pPr>
              <w:spacing w:after="0"/>
              <w:rPr>
                <w:sz w:val="13"/>
                <w:szCs w:val="13"/>
                <w:color w:val="auto"/>
              </w:rPr>
            </w:pPr>
          </w:p>
        </w:tc>
        <w:tc>
          <w:tcPr>
            <w:tcW w:w="840" w:type="dxa"/>
            <w:vAlign w:val="bottom"/>
            <w:vMerge w:val="restart"/>
          </w:tcPr>
          <w:p>
            <w:pPr>
              <w:jc w:val="right"/>
              <w:ind w:right="264"/>
              <w:spacing w:after="0"/>
              <w:rPr>
                <w:sz w:val="20"/>
                <w:szCs w:val="20"/>
                <w:color w:val="auto"/>
              </w:rPr>
            </w:pPr>
            <w:r>
              <w:rPr>
                <w:rFonts w:ascii="Times New Roman" w:cs="Times New Roman" w:eastAsia="Times New Roman" w:hAnsi="Times New Roman"/>
                <w:sz w:val="17"/>
                <w:szCs w:val="17"/>
                <w:color w:val="231F20"/>
              </w:rPr>
              <w:t>Total</w:t>
            </w:r>
          </w:p>
        </w:tc>
        <w:tc>
          <w:tcPr>
            <w:tcW w:w="0" w:type="dxa"/>
            <w:vAlign w:val="bottom"/>
          </w:tcPr>
          <w:p>
            <w:pPr>
              <w:spacing w:after="0"/>
              <w:rPr>
                <w:sz w:val="1"/>
                <w:szCs w:val="1"/>
                <w:color w:val="auto"/>
              </w:rPr>
            </w:pPr>
          </w:p>
        </w:tc>
      </w:tr>
      <w:tr>
        <w:trPr>
          <w:trHeight w:val="231"/>
        </w:trPr>
        <w:tc>
          <w:tcPr>
            <w:tcW w:w="3620" w:type="dxa"/>
            <w:vAlign w:val="bottom"/>
            <w:tcBorders>
              <w:bottom w:val="single" w:sz="8" w:color="231F20"/>
            </w:tcBorders>
            <w:vMerge w:val="continue"/>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780" w:type="dxa"/>
            <w:vAlign w:val="bottom"/>
            <w:tcBorders>
              <w:bottom w:val="single" w:sz="8" w:color="231F20"/>
            </w:tcBorders>
            <w:vMerge w:val="continue"/>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780" w:type="dxa"/>
            <w:vAlign w:val="bottom"/>
            <w:tcBorders>
              <w:bottom w:val="single" w:sz="8" w:color="231F20"/>
            </w:tcBorders>
            <w:vMerge w:val="continue"/>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780" w:type="dxa"/>
            <w:vAlign w:val="bottom"/>
            <w:tcBorders>
              <w:bottom w:val="single" w:sz="8" w:color="231F20"/>
            </w:tcBorders>
            <w:vMerge w:val="continue"/>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780" w:type="dxa"/>
            <w:vAlign w:val="bottom"/>
            <w:tcBorders>
              <w:bottom w:val="single" w:sz="8" w:color="231F20"/>
            </w:tcBorders>
            <w:vMerge w:val="continue"/>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ind w:right="125"/>
              <w:spacing w:after="0"/>
              <w:rPr>
                <w:sz w:val="20"/>
                <w:szCs w:val="20"/>
                <w:color w:val="auto"/>
              </w:rPr>
            </w:pPr>
            <w:r>
              <w:rPr>
                <w:rFonts w:ascii="Times New Roman" w:cs="Times New Roman" w:eastAsia="Times New Roman" w:hAnsi="Times New Roman"/>
                <w:sz w:val="17"/>
                <w:szCs w:val="17"/>
                <w:color w:val="231F20"/>
              </w:rPr>
              <w:t>thereafter</w:t>
            </w:r>
          </w:p>
        </w:tc>
        <w:tc>
          <w:tcPr>
            <w:tcW w:w="320" w:type="dxa"/>
            <w:vAlign w:val="bottom"/>
            <w:tcBorders>
              <w:bottom w:val="single" w:sz="8" w:color="231F20"/>
            </w:tcBorders>
          </w:tcPr>
          <w:p>
            <w:pPr>
              <w:spacing w:after="0"/>
              <w:rPr>
                <w:sz w:val="20"/>
                <w:szCs w:val="20"/>
                <w:color w:val="auto"/>
              </w:rPr>
            </w:pPr>
          </w:p>
        </w:tc>
        <w:tc>
          <w:tcPr>
            <w:tcW w:w="840" w:type="dxa"/>
            <w:vAlign w:val="bottom"/>
            <w:tcBorders>
              <w:bottom w:val="single" w:sz="8" w:color="231F20"/>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6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Material Future Cash Obligations:</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7"/>
        </w:trPr>
        <w:tc>
          <w:tcPr>
            <w:tcW w:w="36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Debt</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231F20"/>
              </w:rPr>
              <w:t>118.9</w:t>
            </w: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78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231F20"/>
              </w:rPr>
              <w:t>150.0</w:t>
            </w: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231F20"/>
              </w:rPr>
              <w:t>127.5</w:t>
            </w: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231F20"/>
              </w:rPr>
              <w:t>37.8</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1,511.5</w:t>
            </w: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1,945.6</w:t>
            </w:r>
          </w:p>
        </w:tc>
        <w:tc>
          <w:tcPr>
            <w:tcW w:w="0" w:type="dxa"/>
            <w:vAlign w:val="bottom"/>
          </w:tcPr>
          <w:p>
            <w:pPr>
              <w:spacing w:after="0"/>
              <w:rPr>
                <w:sz w:val="1"/>
                <w:szCs w:val="1"/>
                <w:color w:val="auto"/>
              </w:rPr>
            </w:pPr>
          </w:p>
        </w:tc>
      </w:tr>
      <w:tr>
        <w:trPr>
          <w:trHeight w:val="291"/>
        </w:trPr>
        <w:tc>
          <w:tcPr>
            <w:tcW w:w="36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Operating leases</w:t>
            </w:r>
          </w:p>
        </w:tc>
        <w:tc>
          <w:tcPr>
            <w:tcW w:w="220" w:type="dxa"/>
            <w:vAlign w:val="bottom"/>
          </w:tcPr>
          <w:p>
            <w:pPr>
              <w:spacing w:after="0"/>
              <w:rPr>
                <w:sz w:val="24"/>
                <w:szCs w:val="24"/>
                <w:color w:val="auto"/>
              </w:rPr>
            </w:pP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231F20"/>
              </w:rPr>
              <w:t>42.1</w:t>
            </w:r>
          </w:p>
        </w:tc>
        <w:tc>
          <w:tcPr>
            <w:tcW w:w="240" w:type="dxa"/>
            <w:vAlign w:val="bottom"/>
          </w:tcPr>
          <w:p>
            <w:pPr>
              <w:spacing w:after="0"/>
              <w:rPr>
                <w:sz w:val="24"/>
                <w:szCs w:val="24"/>
                <w:color w:val="auto"/>
              </w:rPr>
            </w:pPr>
          </w:p>
        </w:tc>
        <w:tc>
          <w:tcPr>
            <w:tcW w:w="78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231F20"/>
              </w:rPr>
              <w:t>31.1</w:t>
            </w:r>
          </w:p>
        </w:tc>
        <w:tc>
          <w:tcPr>
            <w:tcW w:w="240" w:type="dxa"/>
            <w:vAlign w:val="bottom"/>
          </w:tcPr>
          <w:p>
            <w:pPr>
              <w:spacing w:after="0"/>
              <w:rPr>
                <w:sz w:val="24"/>
                <w:szCs w:val="24"/>
                <w:color w:val="auto"/>
              </w:rPr>
            </w:pP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231F20"/>
              </w:rPr>
              <w:t>22.1</w:t>
            </w:r>
          </w:p>
        </w:tc>
        <w:tc>
          <w:tcPr>
            <w:tcW w:w="240" w:type="dxa"/>
            <w:vAlign w:val="bottom"/>
          </w:tcPr>
          <w:p>
            <w:pPr>
              <w:spacing w:after="0"/>
              <w:rPr>
                <w:sz w:val="24"/>
                <w:szCs w:val="24"/>
                <w:color w:val="auto"/>
              </w:rPr>
            </w:pP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231F20"/>
              </w:rPr>
              <w:t>14.9</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77.8</w:t>
            </w: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188.1</w:t>
            </w:r>
          </w:p>
        </w:tc>
        <w:tc>
          <w:tcPr>
            <w:tcW w:w="0" w:type="dxa"/>
            <w:vAlign w:val="bottom"/>
          </w:tcPr>
          <w:p>
            <w:pPr>
              <w:spacing w:after="0"/>
              <w:rPr>
                <w:sz w:val="1"/>
                <w:szCs w:val="1"/>
                <w:color w:val="auto"/>
              </w:rPr>
            </w:pPr>
          </w:p>
        </w:tc>
      </w:tr>
      <w:tr>
        <w:trPr>
          <w:trHeight w:val="291"/>
        </w:trPr>
        <w:tc>
          <w:tcPr>
            <w:tcW w:w="36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Purchase obligations</w:t>
            </w:r>
          </w:p>
        </w:tc>
        <w:tc>
          <w:tcPr>
            <w:tcW w:w="220" w:type="dxa"/>
            <w:vAlign w:val="bottom"/>
          </w:tcPr>
          <w:p>
            <w:pPr>
              <w:spacing w:after="0"/>
              <w:rPr>
                <w:sz w:val="24"/>
                <w:szCs w:val="24"/>
                <w:color w:val="auto"/>
              </w:rPr>
            </w:pP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231F20"/>
              </w:rPr>
              <w:t>124.4</w:t>
            </w:r>
          </w:p>
        </w:tc>
        <w:tc>
          <w:tcPr>
            <w:tcW w:w="240" w:type="dxa"/>
            <w:vAlign w:val="bottom"/>
          </w:tcPr>
          <w:p>
            <w:pPr>
              <w:spacing w:after="0"/>
              <w:rPr>
                <w:sz w:val="24"/>
                <w:szCs w:val="24"/>
                <w:color w:val="auto"/>
              </w:rPr>
            </w:pPr>
          </w:p>
        </w:tc>
        <w:tc>
          <w:tcPr>
            <w:tcW w:w="78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231F20"/>
              </w:rPr>
              <w:t>11.3</w:t>
            </w:r>
          </w:p>
        </w:tc>
        <w:tc>
          <w:tcPr>
            <w:tcW w:w="240" w:type="dxa"/>
            <w:vAlign w:val="bottom"/>
          </w:tcPr>
          <w:p>
            <w:pPr>
              <w:spacing w:after="0"/>
              <w:rPr>
                <w:sz w:val="24"/>
                <w:szCs w:val="24"/>
                <w:color w:val="auto"/>
              </w:rPr>
            </w:pP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231F20"/>
              </w:rPr>
              <w:t>—</w:t>
            </w:r>
          </w:p>
        </w:tc>
        <w:tc>
          <w:tcPr>
            <w:tcW w:w="240" w:type="dxa"/>
            <w:vAlign w:val="bottom"/>
          </w:tcPr>
          <w:p>
            <w:pPr>
              <w:spacing w:after="0"/>
              <w:rPr>
                <w:sz w:val="24"/>
                <w:szCs w:val="24"/>
                <w:color w:val="auto"/>
              </w:rPr>
            </w:pP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231F20"/>
              </w:rPr>
              <w:t>—</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135.7</w:t>
            </w:r>
          </w:p>
        </w:tc>
        <w:tc>
          <w:tcPr>
            <w:tcW w:w="0" w:type="dxa"/>
            <w:vAlign w:val="bottom"/>
          </w:tcPr>
          <w:p>
            <w:pPr>
              <w:spacing w:after="0"/>
              <w:rPr>
                <w:sz w:val="1"/>
                <w:szCs w:val="1"/>
                <w:color w:val="auto"/>
              </w:rPr>
            </w:pPr>
          </w:p>
        </w:tc>
      </w:tr>
      <w:tr>
        <w:trPr>
          <w:trHeight w:val="198"/>
        </w:trPr>
        <w:tc>
          <w:tcPr>
            <w:tcW w:w="3620" w:type="dxa"/>
            <w:vAlign w:val="bottom"/>
          </w:tcPr>
          <w:p>
            <w:pPr>
              <w:ind w:left="60"/>
              <w:spacing w:after="0" w:line="198" w:lineRule="exact"/>
              <w:rPr>
                <w:sz w:val="20"/>
                <w:szCs w:val="20"/>
                <w:color w:val="auto"/>
              </w:rPr>
            </w:pPr>
            <w:r>
              <w:rPr>
                <w:rFonts w:ascii="Times New Roman" w:cs="Times New Roman" w:eastAsia="Times New Roman" w:hAnsi="Times New Roman"/>
                <w:sz w:val="19"/>
                <w:szCs w:val="19"/>
                <w:color w:val="231F20"/>
              </w:rPr>
              <w:t>Benefit payments under defined benefit</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36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plans</w:t>
            </w:r>
          </w:p>
        </w:tc>
        <w:tc>
          <w:tcPr>
            <w:tcW w:w="220" w:type="dxa"/>
            <w:vAlign w:val="bottom"/>
          </w:tcPr>
          <w:p>
            <w:pPr>
              <w:spacing w:after="0"/>
              <w:rPr>
                <w:sz w:val="24"/>
                <w:szCs w:val="24"/>
                <w:color w:val="auto"/>
              </w:rPr>
            </w:pP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231F20"/>
              </w:rPr>
              <w:t>6.0</w:t>
            </w:r>
          </w:p>
        </w:tc>
        <w:tc>
          <w:tcPr>
            <w:tcW w:w="240" w:type="dxa"/>
            <w:vAlign w:val="bottom"/>
          </w:tcPr>
          <w:p>
            <w:pPr>
              <w:spacing w:after="0"/>
              <w:rPr>
                <w:sz w:val="24"/>
                <w:szCs w:val="24"/>
                <w:color w:val="auto"/>
              </w:rPr>
            </w:pPr>
          </w:p>
        </w:tc>
        <w:tc>
          <w:tcPr>
            <w:tcW w:w="78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231F20"/>
              </w:rPr>
              <w:t>6.1</w:t>
            </w:r>
          </w:p>
        </w:tc>
        <w:tc>
          <w:tcPr>
            <w:tcW w:w="240" w:type="dxa"/>
            <w:vAlign w:val="bottom"/>
          </w:tcPr>
          <w:p>
            <w:pPr>
              <w:spacing w:after="0"/>
              <w:rPr>
                <w:sz w:val="24"/>
                <w:szCs w:val="24"/>
                <w:color w:val="auto"/>
              </w:rPr>
            </w:pP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231F20"/>
              </w:rPr>
              <w:t>6.3</w:t>
            </w:r>
          </w:p>
        </w:tc>
        <w:tc>
          <w:tcPr>
            <w:tcW w:w="240" w:type="dxa"/>
            <w:vAlign w:val="bottom"/>
          </w:tcPr>
          <w:p>
            <w:pPr>
              <w:spacing w:after="0"/>
              <w:rPr>
                <w:sz w:val="24"/>
                <w:szCs w:val="24"/>
                <w:color w:val="auto"/>
              </w:rPr>
            </w:pP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231F20"/>
              </w:rPr>
              <w:t>6.6</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43.1</w:t>
            </w: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68.1</w:t>
            </w:r>
          </w:p>
        </w:tc>
        <w:tc>
          <w:tcPr>
            <w:tcW w:w="0" w:type="dxa"/>
            <w:vAlign w:val="bottom"/>
          </w:tcPr>
          <w:p>
            <w:pPr>
              <w:spacing w:after="0"/>
              <w:rPr>
                <w:sz w:val="1"/>
                <w:szCs w:val="1"/>
                <w:color w:val="auto"/>
              </w:rPr>
            </w:pPr>
          </w:p>
        </w:tc>
      </w:tr>
      <w:tr>
        <w:trPr>
          <w:trHeight w:val="198"/>
        </w:trPr>
        <w:tc>
          <w:tcPr>
            <w:tcW w:w="3620" w:type="dxa"/>
            <w:vAlign w:val="bottom"/>
          </w:tcPr>
          <w:p>
            <w:pPr>
              <w:ind w:left="60"/>
              <w:spacing w:after="0" w:line="198" w:lineRule="exact"/>
              <w:rPr>
                <w:sz w:val="20"/>
                <w:szCs w:val="20"/>
                <w:color w:val="auto"/>
              </w:rPr>
            </w:pPr>
            <w:r>
              <w:rPr>
                <w:rFonts w:ascii="Times New Roman" w:cs="Times New Roman" w:eastAsia="Times New Roman" w:hAnsi="Times New Roman"/>
                <w:sz w:val="19"/>
                <w:szCs w:val="19"/>
                <w:color w:val="231F20"/>
              </w:rPr>
              <w:t>Trust assets available for benefit payments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36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under defined benefit plans</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(6.0)</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(6.1)</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(6.3)</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(6.6)</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(43.1)</w:t>
            </w: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(68.1)</w:t>
            </w:r>
          </w:p>
        </w:tc>
        <w:tc>
          <w:tcPr>
            <w:tcW w:w="0" w:type="dxa"/>
            <w:vAlign w:val="bottom"/>
          </w:tcPr>
          <w:p>
            <w:pPr>
              <w:spacing w:after="0"/>
              <w:rPr>
                <w:sz w:val="1"/>
                <w:szCs w:val="1"/>
                <w:color w:val="auto"/>
              </w:rPr>
            </w:pPr>
          </w:p>
        </w:tc>
      </w:tr>
      <w:tr>
        <w:trPr>
          <w:trHeight w:val="198"/>
        </w:trPr>
        <w:tc>
          <w:tcPr>
            <w:tcW w:w="3620" w:type="dxa"/>
            <w:vAlign w:val="bottom"/>
          </w:tcPr>
          <w:p>
            <w:pPr>
              <w:ind w:left="60"/>
              <w:spacing w:after="0" w:line="198" w:lineRule="exact"/>
              <w:rPr>
                <w:sz w:val="20"/>
                <w:szCs w:val="20"/>
                <w:color w:val="auto"/>
              </w:rPr>
            </w:pPr>
            <w:r>
              <w:rPr>
                <w:rFonts w:ascii="Times New Roman" w:cs="Times New Roman" w:eastAsia="Times New Roman" w:hAnsi="Times New Roman"/>
                <w:sz w:val="19"/>
                <w:szCs w:val="19"/>
                <w:color w:val="231F20"/>
              </w:rPr>
              <w:t>Benefit payments under other post-</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36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retirement benefits plans</w:t>
            </w:r>
          </w:p>
        </w:tc>
        <w:tc>
          <w:tcPr>
            <w:tcW w:w="220" w:type="dxa"/>
            <w:vAlign w:val="bottom"/>
            <w:tcBorders>
              <w:bottom w:val="single" w:sz="8" w:color="231F20"/>
            </w:tcBorders>
          </w:tcPr>
          <w:p>
            <w:pPr>
              <w:spacing w:after="0"/>
              <w:rPr>
                <w:sz w:val="24"/>
                <w:szCs w:val="24"/>
                <w:color w:val="auto"/>
              </w:rPr>
            </w:pPr>
          </w:p>
        </w:tc>
        <w:tc>
          <w:tcPr>
            <w:tcW w:w="780" w:type="dxa"/>
            <w:vAlign w:val="bottom"/>
            <w:tcBorders>
              <w:bottom w:val="single" w:sz="8" w:color="231F20"/>
            </w:tcBorders>
          </w:tcPr>
          <w:p>
            <w:pPr>
              <w:jc w:val="right"/>
              <w:ind w:right="24"/>
              <w:spacing w:after="0"/>
              <w:rPr>
                <w:sz w:val="20"/>
                <w:szCs w:val="20"/>
                <w:color w:val="auto"/>
              </w:rPr>
            </w:pPr>
            <w:r>
              <w:rPr>
                <w:rFonts w:ascii="Times New Roman" w:cs="Times New Roman" w:eastAsia="Times New Roman" w:hAnsi="Times New Roman"/>
                <w:sz w:val="19"/>
                <w:szCs w:val="19"/>
                <w:color w:val="231F20"/>
              </w:rPr>
              <w:t>0.9</w:t>
            </w:r>
          </w:p>
        </w:tc>
        <w:tc>
          <w:tcPr>
            <w:tcW w:w="240" w:type="dxa"/>
            <w:vAlign w:val="bottom"/>
            <w:tcBorders>
              <w:bottom w:val="single" w:sz="8" w:color="231F20"/>
            </w:tcBorders>
          </w:tcPr>
          <w:p>
            <w:pPr>
              <w:spacing w:after="0"/>
              <w:rPr>
                <w:sz w:val="24"/>
                <w:szCs w:val="24"/>
                <w:color w:val="auto"/>
              </w:rPr>
            </w:pPr>
          </w:p>
        </w:tc>
        <w:tc>
          <w:tcPr>
            <w:tcW w:w="780" w:type="dxa"/>
            <w:vAlign w:val="bottom"/>
            <w:tcBorders>
              <w:bottom w:val="single" w:sz="8" w:color="231F20"/>
            </w:tcBorders>
          </w:tcPr>
          <w:p>
            <w:pPr>
              <w:jc w:val="right"/>
              <w:ind w:right="25"/>
              <w:spacing w:after="0"/>
              <w:rPr>
                <w:sz w:val="20"/>
                <w:szCs w:val="20"/>
                <w:color w:val="auto"/>
              </w:rPr>
            </w:pPr>
            <w:r>
              <w:rPr>
                <w:rFonts w:ascii="Times New Roman" w:cs="Times New Roman" w:eastAsia="Times New Roman" w:hAnsi="Times New Roman"/>
                <w:sz w:val="19"/>
                <w:szCs w:val="19"/>
                <w:color w:val="231F20"/>
              </w:rPr>
              <w:t>0.8</w:t>
            </w:r>
          </w:p>
        </w:tc>
        <w:tc>
          <w:tcPr>
            <w:tcW w:w="240" w:type="dxa"/>
            <w:vAlign w:val="bottom"/>
            <w:tcBorders>
              <w:bottom w:val="single" w:sz="8" w:color="231F20"/>
            </w:tcBorders>
          </w:tcPr>
          <w:p>
            <w:pPr>
              <w:spacing w:after="0"/>
              <w:rPr>
                <w:sz w:val="24"/>
                <w:szCs w:val="24"/>
                <w:color w:val="auto"/>
              </w:rPr>
            </w:pPr>
          </w:p>
        </w:tc>
        <w:tc>
          <w:tcPr>
            <w:tcW w:w="780" w:type="dxa"/>
            <w:vAlign w:val="bottom"/>
            <w:tcBorders>
              <w:bottom w:val="single" w:sz="8" w:color="231F20"/>
            </w:tcBorders>
          </w:tcPr>
          <w:p>
            <w:pPr>
              <w:jc w:val="right"/>
              <w:ind w:right="24"/>
              <w:spacing w:after="0"/>
              <w:rPr>
                <w:sz w:val="20"/>
                <w:szCs w:val="20"/>
                <w:color w:val="auto"/>
              </w:rPr>
            </w:pPr>
            <w:r>
              <w:rPr>
                <w:rFonts w:ascii="Times New Roman" w:cs="Times New Roman" w:eastAsia="Times New Roman" w:hAnsi="Times New Roman"/>
                <w:sz w:val="19"/>
                <w:szCs w:val="19"/>
                <w:color w:val="231F20"/>
              </w:rPr>
              <w:t>0.7</w:t>
            </w:r>
          </w:p>
        </w:tc>
        <w:tc>
          <w:tcPr>
            <w:tcW w:w="240" w:type="dxa"/>
            <w:vAlign w:val="bottom"/>
            <w:tcBorders>
              <w:bottom w:val="single" w:sz="8" w:color="231F20"/>
            </w:tcBorders>
          </w:tcPr>
          <w:p>
            <w:pPr>
              <w:spacing w:after="0"/>
              <w:rPr>
                <w:sz w:val="24"/>
                <w:szCs w:val="24"/>
                <w:color w:val="auto"/>
              </w:rPr>
            </w:pPr>
          </w:p>
        </w:tc>
        <w:tc>
          <w:tcPr>
            <w:tcW w:w="780" w:type="dxa"/>
            <w:vAlign w:val="bottom"/>
            <w:tcBorders>
              <w:bottom w:val="single" w:sz="8" w:color="231F20"/>
            </w:tcBorders>
          </w:tcPr>
          <w:p>
            <w:pPr>
              <w:jc w:val="right"/>
              <w:ind w:right="44"/>
              <w:spacing w:after="0"/>
              <w:rPr>
                <w:sz w:val="20"/>
                <w:szCs w:val="20"/>
                <w:color w:val="auto"/>
              </w:rPr>
            </w:pPr>
            <w:r>
              <w:rPr>
                <w:rFonts w:ascii="Times New Roman" w:cs="Times New Roman" w:eastAsia="Times New Roman" w:hAnsi="Times New Roman"/>
                <w:sz w:val="19"/>
                <w:szCs w:val="19"/>
                <w:color w:val="231F20"/>
              </w:rPr>
              <w:t>0.6</w:t>
            </w:r>
          </w:p>
        </w:tc>
        <w:tc>
          <w:tcPr>
            <w:tcW w:w="20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2.5</w:t>
            </w:r>
          </w:p>
        </w:tc>
        <w:tc>
          <w:tcPr>
            <w:tcW w:w="320" w:type="dxa"/>
            <w:vAlign w:val="bottom"/>
            <w:tcBorders>
              <w:bottom w:val="single" w:sz="8" w:color="231F20"/>
            </w:tcBorders>
          </w:tcPr>
          <w:p>
            <w:pPr>
              <w:spacing w:after="0"/>
              <w:rPr>
                <w:sz w:val="24"/>
                <w:szCs w:val="24"/>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5.4</w:t>
            </w:r>
          </w:p>
        </w:tc>
        <w:tc>
          <w:tcPr>
            <w:tcW w:w="0" w:type="dxa"/>
            <w:vAlign w:val="bottom"/>
          </w:tcPr>
          <w:p>
            <w:pPr>
              <w:spacing w:after="0"/>
              <w:rPr>
                <w:sz w:val="1"/>
                <w:szCs w:val="1"/>
                <w:color w:val="auto"/>
              </w:rPr>
            </w:pPr>
          </w:p>
        </w:tc>
      </w:tr>
      <w:tr>
        <w:trPr>
          <w:trHeight w:val="281"/>
        </w:trPr>
        <w:tc>
          <w:tcPr>
            <w:tcW w:w="36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Total Material Future Cash Obligations</w:t>
            </w:r>
          </w:p>
        </w:tc>
        <w:tc>
          <w:tcPr>
            <w:tcW w:w="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780" w:type="dxa"/>
            <w:vAlign w:val="bottom"/>
            <w:tcBorders>
              <w:bottom w:val="single" w:sz="8" w:color="231F20"/>
            </w:tcBorders>
          </w:tcPr>
          <w:p>
            <w:pPr>
              <w:jc w:val="right"/>
              <w:ind w:right="24"/>
              <w:spacing w:after="0"/>
              <w:rPr>
                <w:sz w:val="20"/>
                <w:szCs w:val="20"/>
                <w:color w:val="auto"/>
              </w:rPr>
            </w:pPr>
            <w:r>
              <w:rPr>
                <w:rFonts w:ascii="Times New Roman" w:cs="Times New Roman" w:eastAsia="Times New Roman" w:hAnsi="Times New Roman"/>
                <w:sz w:val="19"/>
                <w:szCs w:val="19"/>
                <w:color w:val="231F20"/>
              </w:rPr>
              <w:t>286.3</w:t>
            </w:r>
          </w:p>
        </w:tc>
        <w:tc>
          <w:tcPr>
            <w:tcW w:w="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780" w:type="dxa"/>
            <w:vAlign w:val="bottom"/>
            <w:tcBorders>
              <w:bottom w:val="single" w:sz="8" w:color="231F20"/>
            </w:tcBorders>
          </w:tcPr>
          <w:p>
            <w:pPr>
              <w:jc w:val="right"/>
              <w:ind w:right="25"/>
              <w:spacing w:after="0"/>
              <w:rPr>
                <w:sz w:val="20"/>
                <w:szCs w:val="20"/>
                <w:color w:val="auto"/>
              </w:rPr>
            </w:pPr>
            <w:r>
              <w:rPr>
                <w:rFonts w:ascii="Times New Roman" w:cs="Times New Roman" w:eastAsia="Times New Roman" w:hAnsi="Times New Roman"/>
                <w:sz w:val="19"/>
                <w:szCs w:val="19"/>
                <w:color w:val="231F20"/>
              </w:rPr>
              <w:t>193.2</w:t>
            </w:r>
          </w:p>
        </w:tc>
        <w:tc>
          <w:tcPr>
            <w:tcW w:w="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780" w:type="dxa"/>
            <w:vAlign w:val="bottom"/>
            <w:tcBorders>
              <w:bottom w:val="single" w:sz="8" w:color="231F20"/>
            </w:tcBorders>
          </w:tcPr>
          <w:p>
            <w:pPr>
              <w:jc w:val="right"/>
              <w:ind w:right="24"/>
              <w:spacing w:after="0"/>
              <w:rPr>
                <w:sz w:val="20"/>
                <w:szCs w:val="20"/>
                <w:color w:val="auto"/>
              </w:rPr>
            </w:pPr>
            <w:r>
              <w:rPr>
                <w:rFonts w:ascii="Times New Roman" w:cs="Times New Roman" w:eastAsia="Times New Roman" w:hAnsi="Times New Roman"/>
                <w:sz w:val="19"/>
                <w:szCs w:val="19"/>
                <w:color w:val="231F20"/>
              </w:rPr>
              <w:t>150.3</w:t>
            </w:r>
          </w:p>
        </w:tc>
        <w:tc>
          <w:tcPr>
            <w:tcW w:w="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780" w:type="dxa"/>
            <w:vAlign w:val="bottom"/>
            <w:tcBorders>
              <w:bottom w:val="single" w:sz="8" w:color="231F20"/>
            </w:tcBorders>
          </w:tcPr>
          <w:p>
            <w:pPr>
              <w:jc w:val="right"/>
              <w:ind w:right="44"/>
              <w:spacing w:after="0"/>
              <w:rPr>
                <w:sz w:val="20"/>
                <w:szCs w:val="20"/>
                <w:color w:val="auto"/>
              </w:rPr>
            </w:pPr>
            <w:r>
              <w:rPr>
                <w:rFonts w:ascii="Times New Roman" w:cs="Times New Roman" w:eastAsia="Times New Roman" w:hAnsi="Times New Roman"/>
                <w:sz w:val="19"/>
                <w:szCs w:val="19"/>
                <w:color w:val="231F20"/>
              </w:rPr>
              <w:t>53.3</w:t>
            </w:r>
          </w:p>
        </w:tc>
        <w:tc>
          <w:tcPr>
            <w:tcW w:w="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1,591.8</w:t>
            </w:r>
          </w:p>
        </w:tc>
        <w:tc>
          <w:tcPr>
            <w:tcW w:w="32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19"/>
                <w:szCs w:val="19"/>
                <w:color w:val="231F20"/>
              </w:rPr>
              <w:t>$</w:t>
            </w: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2,274.9</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right="40" w:firstLine="349"/>
        <w:spacing w:after="0" w:line="274" w:lineRule="auto"/>
        <w:rPr>
          <w:sz w:val="20"/>
          <w:szCs w:val="20"/>
          <w:color w:val="auto"/>
        </w:rPr>
      </w:pPr>
      <w:r>
        <w:rPr>
          <w:rFonts w:ascii="Times New Roman" w:cs="Times New Roman" w:eastAsia="Times New Roman" w:hAnsi="Times New Roman"/>
          <w:sz w:val="19"/>
          <w:szCs w:val="19"/>
          <w:color w:val="231F20"/>
        </w:rPr>
        <w:t>The table above includes only the principal amounts of our material future cash obligations. We provide information about the interest component of our long-term debt in the subsection of MD&amp;A titled, “Liquidity and Capital Resources,” and in Note 8 to our consolidated financial statements titled, “Debt.”</w:t>
      </w:r>
    </w:p>
    <w:p>
      <w:pPr>
        <w:spacing w:after="0" w:line="67" w:lineRule="exact"/>
        <w:rPr>
          <w:sz w:val="20"/>
          <w:szCs w:val="20"/>
          <w:color w:val="auto"/>
        </w:rPr>
      </w:pPr>
    </w:p>
    <w:p>
      <w:pPr>
        <w:ind w:right="520" w:firstLine="349"/>
        <w:spacing w:after="0" w:line="293" w:lineRule="auto"/>
        <w:rPr>
          <w:sz w:val="20"/>
          <w:szCs w:val="20"/>
          <w:color w:val="auto"/>
        </w:rPr>
      </w:pPr>
      <w:r>
        <w:rPr>
          <w:rFonts w:ascii="Times New Roman" w:cs="Times New Roman" w:eastAsia="Times New Roman" w:hAnsi="Times New Roman"/>
          <w:sz w:val="19"/>
          <w:szCs w:val="19"/>
          <w:color w:val="231F20"/>
        </w:rPr>
        <w:t>Purchase obligations shown in the table above relate to minimum purchase commitments with suppliers for materials purchases and long-term construction contracts.</w:t>
      </w:r>
    </w:p>
    <w:p>
      <w:pPr>
        <w:spacing w:after="0" w:line="49" w:lineRule="exact"/>
        <w:rPr>
          <w:sz w:val="20"/>
          <w:szCs w:val="20"/>
          <w:color w:val="auto"/>
        </w:rPr>
      </w:pPr>
    </w:p>
    <w:p>
      <w:pPr>
        <w:ind w:right="140" w:firstLine="349"/>
        <w:spacing w:after="0" w:line="268" w:lineRule="auto"/>
        <w:rPr>
          <w:sz w:val="20"/>
          <w:szCs w:val="20"/>
          <w:color w:val="auto"/>
        </w:rPr>
      </w:pPr>
      <w:r>
        <w:rPr>
          <w:rFonts w:ascii="Times New Roman" w:cs="Times New Roman" w:eastAsia="Times New Roman" w:hAnsi="Times New Roman"/>
          <w:sz w:val="19"/>
          <w:szCs w:val="19"/>
          <w:color w:val="231F20"/>
        </w:rPr>
        <w:t>The table above excludes contributions we make to our defined contribution plans. Our future contributions to the defined contribution plans depend on uncertain factors, such as the amount and timing of employee contributions and discretionary employer contributions. We provide additional information about our defined benefit pension plans, defined contribution plan, and other post-retirement benefits plan in Note 11 to our consolidated financial statements titled, "Benefit Plans."</w:t>
      </w:r>
    </w:p>
    <w:p>
      <w:pPr>
        <w:spacing w:after="0" w:line="72" w:lineRule="exact"/>
        <w:rPr>
          <w:sz w:val="20"/>
          <w:szCs w:val="20"/>
          <w:color w:val="auto"/>
        </w:rPr>
      </w:pPr>
    </w:p>
    <w:p>
      <w:pPr>
        <w:ind w:right="240" w:firstLine="349"/>
        <w:spacing w:after="0" w:line="293" w:lineRule="auto"/>
        <w:rPr>
          <w:sz w:val="20"/>
          <w:szCs w:val="20"/>
          <w:color w:val="auto"/>
        </w:rPr>
      </w:pPr>
      <w:r>
        <w:rPr>
          <w:rFonts w:ascii="Times New Roman" w:cs="Times New Roman" w:eastAsia="Times New Roman" w:hAnsi="Times New Roman"/>
          <w:sz w:val="19"/>
          <w:szCs w:val="19"/>
          <w:color w:val="231F20"/>
        </w:rPr>
        <w:t>The table above also excludes potential obligations related to our investment activities of approximately $211.0 million (based on contractual amounts, excluding working capital adjustments), including arrangements that provide for the potential</w:t>
      </w:r>
    </w:p>
    <w:p>
      <w:pPr>
        <w:sectPr>
          <w:pgSz w:w="11880" w:h="15480" w:orient="portrait"/>
          <w:cols w:equalWidth="0" w:num="1">
            <w:col w:w="9960"/>
          </w:cols>
          <w:pgMar w:left="960" w:top="825" w:right="960" w:bottom="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42</w:t>
      </w:r>
    </w:p>
    <w:p>
      <w:pPr>
        <w:sectPr>
          <w:pgSz w:w="11880" w:h="15480" w:orient="portrait"/>
          <w:cols w:equalWidth="0" w:num="1">
            <w:col w:w="9960"/>
          </w:cols>
          <w:pgMar w:left="960" w:top="825" w:right="960" w:bottom="0" w:gutter="0" w:footer="0" w:header="0"/>
          <w:type w:val="continuous"/>
        </w:sectPr>
      </w:pPr>
    </w:p>
    <w:bookmarkStart w:id="43" w:name="page44"/>
    <w:bookmarkEnd w:id="43"/>
    <w:p>
      <w:pPr>
        <w:ind w:right="200"/>
        <w:spacing w:after="0" w:line="274" w:lineRule="auto"/>
        <w:rPr>
          <w:sz w:val="20"/>
          <w:szCs w:val="20"/>
          <w:color w:val="auto"/>
        </w:rPr>
      </w:pPr>
      <w:r>
        <w:rPr>
          <w:rFonts w:ascii="Times New Roman" w:cs="Times New Roman" w:eastAsia="Times New Roman" w:hAnsi="Times New Roman"/>
          <w:sz w:val="19"/>
          <w:szCs w:val="19"/>
          <w:color w:val="231F20"/>
        </w:rPr>
        <w:t>acquisition of the remaining equity interests in an investee, as well as contingent consideration arrangements. The timing and ultimate amount of any such obligations cannot be determined at this time, as they are contingent on the occurrence of specified events or conditions and, in certain cases, future operating performance.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380" w:type="dxa"/>
            <w:vAlign w:val="bottom"/>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820" w:type="dxa"/>
            <w:vAlign w:val="bottom"/>
            <w:tcBorders>
              <w:bottom w:val="single" w:sz="8" w:color="231F20"/>
            </w:tcBorders>
          </w:tcPr>
          <w:p>
            <w:pPr>
              <w:spacing w:after="0"/>
              <w:rPr>
                <w:sz w:val="20"/>
                <w:szCs w:val="20"/>
                <w:color w:val="auto"/>
              </w:rPr>
            </w:pPr>
          </w:p>
        </w:tc>
        <w:tc>
          <w:tcPr>
            <w:tcW w:w="3400" w:type="dxa"/>
            <w:vAlign w:val="bottom"/>
            <w:tcBorders>
              <w:bottom w:val="single" w:sz="8" w:color="231F20"/>
            </w:tcBorders>
            <w:gridSpan w:val="6"/>
          </w:tcPr>
          <w:p>
            <w:pPr>
              <w:jc w:val="right"/>
              <w:ind w:right="5"/>
              <w:spacing w:after="0"/>
              <w:rPr>
                <w:sz w:val="20"/>
                <w:szCs w:val="20"/>
                <w:color w:val="auto"/>
              </w:rPr>
            </w:pPr>
            <w:r>
              <w:rPr>
                <w:rFonts w:ascii="Times New Roman" w:cs="Times New Roman" w:eastAsia="Times New Roman" w:hAnsi="Times New Roman"/>
                <w:sz w:val="17"/>
                <w:szCs w:val="17"/>
                <w:color w:val="231F20"/>
              </w:rPr>
              <w:t>Amount of Commitment Expiring March 31,</w:t>
            </w:r>
          </w:p>
        </w:tc>
        <w:tc>
          <w:tcPr>
            <w:tcW w:w="24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3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231F20"/>
              </w:rPr>
              <w:t>(in millions)</w:t>
            </w:r>
          </w:p>
        </w:tc>
        <w:tc>
          <w:tcPr>
            <w:tcW w:w="260" w:type="dxa"/>
            <w:vAlign w:val="bottom"/>
          </w:tcPr>
          <w:p>
            <w:pPr>
              <w:spacing w:after="0"/>
              <w:rPr>
                <w:sz w:val="13"/>
                <w:szCs w:val="13"/>
                <w:color w:val="auto"/>
              </w:rPr>
            </w:pPr>
          </w:p>
        </w:tc>
        <w:tc>
          <w:tcPr>
            <w:tcW w:w="820" w:type="dxa"/>
            <w:vAlign w:val="bottom"/>
            <w:vMerge w:val="restart"/>
          </w:tcPr>
          <w:p>
            <w:pPr>
              <w:jc w:val="right"/>
              <w:ind w:right="285"/>
              <w:spacing w:after="0"/>
              <w:rPr>
                <w:sz w:val="20"/>
                <w:szCs w:val="20"/>
                <w:color w:val="auto"/>
              </w:rPr>
            </w:pPr>
            <w:r>
              <w:rPr>
                <w:rFonts w:ascii="Times New Roman" w:cs="Times New Roman" w:eastAsia="Times New Roman" w:hAnsi="Times New Roman"/>
                <w:sz w:val="17"/>
                <w:szCs w:val="17"/>
                <w:color w:val="231F20"/>
              </w:rPr>
              <w:t>2027</w:t>
            </w:r>
          </w:p>
        </w:tc>
        <w:tc>
          <w:tcPr>
            <w:tcW w:w="300" w:type="dxa"/>
            <w:vAlign w:val="bottom"/>
          </w:tcPr>
          <w:p>
            <w:pPr>
              <w:spacing w:after="0"/>
              <w:rPr>
                <w:sz w:val="13"/>
                <w:szCs w:val="13"/>
                <w:color w:val="auto"/>
              </w:rPr>
            </w:pPr>
          </w:p>
        </w:tc>
        <w:tc>
          <w:tcPr>
            <w:tcW w:w="840" w:type="dxa"/>
            <w:vAlign w:val="bottom"/>
            <w:vMerge w:val="restart"/>
          </w:tcPr>
          <w:p>
            <w:pPr>
              <w:jc w:val="right"/>
              <w:ind w:right="285"/>
              <w:spacing w:after="0"/>
              <w:rPr>
                <w:sz w:val="20"/>
                <w:szCs w:val="20"/>
                <w:color w:val="auto"/>
              </w:rPr>
            </w:pPr>
            <w:r>
              <w:rPr>
                <w:rFonts w:ascii="Times New Roman" w:cs="Times New Roman" w:eastAsia="Times New Roman" w:hAnsi="Times New Roman"/>
                <w:sz w:val="17"/>
                <w:szCs w:val="17"/>
                <w:color w:val="231F20"/>
              </w:rPr>
              <w:t>2028</w:t>
            </w:r>
          </w:p>
        </w:tc>
        <w:tc>
          <w:tcPr>
            <w:tcW w:w="300" w:type="dxa"/>
            <w:vAlign w:val="bottom"/>
          </w:tcPr>
          <w:p>
            <w:pPr>
              <w:spacing w:after="0"/>
              <w:rPr>
                <w:sz w:val="13"/>
                <w:szCs w:val="13"/>
                <w:color w:val="auto"/>
              </w:rPr>
            </w:pPr>
          </w:p>
        </w:tc>
        <w:tc>
          <w:tcPr>
            <w:tcW w:w="840" w:type="dxa"/>
            <w:vAlign w:val="bottom"/>
            <w:vMerge w:val="restart"/>
          </w:tcPr>
          <w:p>
            <w:pPr>
              <w:jc w:val="right"/>
              <w:ind w:right="285"/>
              <w:spacing w:after="0"/>
              <w:rPr>
                <w:sz w:val="20"/>
                <w:szCs w:val="20"/>
                <w:color w:val="auto"/>
              </w:rPr>
            </w:pPr>
            <w:r>
              <w:rPr>
                <w:rFonts w:ascii="Times New Roman" w:cs="Times New Roman" w:eastAsia="Times New Roman" w:hAnsi="Times New Roman"/>
                <w:sz w:val="17"/>
                <w:szCs w:val="17"/>
                <w:color w:val="231F20"/>
              </w:rPr>
              <w:t>2029</w:t>
            </w:r>
          </w:p>
        </w:tc>
        <w:tc>
          <w:tcPr>
            <w:tcW w:w="300" w:type="dxa"/>
            <w:vAlign w:val="bottom"/>
          </w:tcPr>
          <w:p>
            <w:pPr>
              <w:spacing w:after="0"/>
              <w:rPr>
                <w:sz w:val="13"/>
                <w:szCs w:val="13"/>
                <w:color w:val="auto"/>
              </w:rPr>
            </w:pPr>
          </w:p>
        </w:tc>
        <w:tc>
          <w:tcPr>
            <w:tcW w:w="820" w:type="dxa"/>
            <w:vAlign w:val="bottom"/>
            <w:vMerge w:val="restart"/>
          </w:tcPr>
          <w:p>
            <w:pPr>
              <w:jc w:val="right"/>
              <w:ind w:right="265"/>
              <w:spacing w:after="0"/>
              <w:rPr>
                <w:sz w:val="20"/>
                <w:szCs w:val="20"/>
                <w:color w:val="auto"/>
              </w:rPr>
            </w:pPr>
            <w:r>
              <w:rPr>
                <w:rFonts w:ascii="Times New Roman" w:cs="Times New Roman" w:eastAsia="Times New Roman" w:hAnsi="Times New Roman"/>
                <w:sz w:val="17"/>
                <w:szCs w:val="17"/>
                <w:color w:val="231F20"/>
              </w:rPr>
              <w:t>2030</w:t>
            </w:r>
          </w:p>
        </w:tc>
        <w:tc>
          <w:tcPr>
            <w:tcW w:w="240" w:type="dxa"/>
            <w:vAlign w:val="bottom"/>
          </w:tcPr>
          <w:p>
            <w:pPr>
              <w:spacing w:after="0"/>
              <w:rPr>
                <w:sz w:val="13"/>
                <w:szCs w:val="13"/>
                <w:color w:val="auto"/>
              </w:rPr>
            </w:pPr>
          </w:p>
        </w:tc>
        <w:tc>
          <w:tcPr>
            <w:tcW w:w="880" w:type="dxa"/>
            <w:vAlign w:val="bottom"/>
          </w:tcPr>
          <w:p>
            <w:pPr>
              <w:jc w:val="right"/>
              <w:ind w:right="107"/>
              <w:spacing w:after="0" w:line="157" w:lineRule="exact"/>
              <w:rPr>
                <w:sz w:val="20"/>
                <w:szCs w:val="20"/>
                <w:color w:val="auto"/>
              </w:rPr>
            </w:pPr>
            <w:r>
              <w:rPr>
                <w:rFonts w:ascii="Times New Roman" w:cs="Times New Roman" w:eastAsia="Times New Roman" w:hAnsi="Times New Roman"/>
                <w:sz w:val="17"/>
                <w:szCs w:val="17"/>
                <w:color w:val="231F20"/>
              </w:rPr>
              <w:t>2031 and</w:t>
            </w:r>
          </w:p>
        </w:tc>
        <w:tc>
          <w:tcPr>
            <w:tcW w:w="300" w:type="dxa"/>
            <w:vAlign w:val="bottom"/>
          </w:tcPr>
          <w:p>
            <w:pPr>
              <w:spacing w:after="0"/>
              <w:rPr>
                <w:sz w:val="13"/>
                <w:szCs w:val="13"/>
                <w:color w:val="auto"/>
              </w:rPr>
            </w:pPr>
          </w:p>
        </w:tc>
        <w:tc>
          <w:tcPr>
            <w:tcW w:w="840" w:type="dxa"/>
            <w:vAlign w:val="bottom"/>
            <w:vMerge w:val="restart"/>
          </w:tcPr>
          <w:p>
            <w:pPr>
              <w:jc w:val="right"/>
              <w:ind w:right="225"/>
              <w:spacing w:after="0"/>
              <w:rPr>
                <w:sz w:val="20"/>
                <w:szCs w:val="20"/>
                <w:color w:val="auto"/>
              </w:rPr>
            </w:pPr>
            <w:r>
              <w:rPr>
                <w:rFonts w:ascii="Times New Roman" w:cs="Times New Roman" w:eastAsia="Times New Roman" w:hAnsi="Times New Roman"/>
                <w:sz w:val="17"/>
                <w:szCs w:val="17"/>
                <w:color w:val="231F20"/>
              </w:rPr>
              <w:t>Totals</w:t>
            </w:r>
          </w:p>
        </w:tc>
        <w:tc>
          <w:tcPr>
            <w:tcW w:w="0" w:type="dxa"/>
            <w:vAlign w:val="bottom"/>
          </w:tcPr>
          <w:p>
            <w:pPr>
              <w:spacing w:after="0"/>
              <w:rPr>
                <w:sz w:val="1"/>
                <w:szCs w:val="1"/>
                <w:color w:val="auto"/>
              </w:rPr>
            </w:pPr>
          </w:p>
        </w:tc>
      </w:tr>
      <w:tr>
        <w:trPr>
          <w:trHeight w:val="231"/>
        </w:trPr>
        <w:tc>
          <w:tcPr>
            <w:tcW w:w="3380" w:type="dxa"/>
            <w:vAlign w:val="bottom"/>
            <w:tcBorders>
              <w:bottom w:val="single" w:sz="8" w:color="231F20"/>
            </w:tcBorders>
            <w:vMerge w:val="continue"/>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820" w:type="dxa"/>
            <w:vAlign w:val="bottom"/>
            <w:tcBorders>
              <w:bottom w:val="single" w:sz="8" w:color="231F20"/>
            </w:tcBorders>
            <w:vMerge w:val="continue"/>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840" w:type="dxa"/>
            <w:vAlign w:val="bottom"/>
            <w:tcBorders>
              <w:bottom w:val="single" w:sz="8" w:color="231F20"/>
            </w:tcBorders>
            <w:vMerge w:val="continue"/>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840" w:type="dxa"/>
            <w:vAlign w:val="bottom"/>
            <w:tcBorders>
              <w:bottom w:val="single" w:sz="8" w:color="231F20"/>
            </w:tcBorders>
            <w:vMerge w:val="continue"/>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820" w:type="dxa"/>
            <w:vAlign w:val="bottom"/>
            <w:tcBorders>
              <w:bottom w:val="single" w:sz="8" w:color="231F20"/>
            </w:tcBorders>
            <w:vMerge w:val="continue"/>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jc w:val="right"/>
              <w:ind w:right="107"/>
              <w:spacing w:after="0"/>
              <w:rPr>
                <w:sz w:val="20"/>
                <w:szCs w:val="20"/>
                <w:color w:val="auto"/>
              </w:rPr>
            </w:pPr>
            <w:r>
              <w:rPr>
                <w:rFonts w:ascii="Times New Roman" w:cs="Times New Roman" w:eastAsia="Times New Roman" w:hAnsi="Times New Roman"/>
                <w:sz w:val="17"/>
                <w:szCs w:val="17"/>
                <w:color w:val="231F20"/>
              </w:rPr>
              <w:t>thereafter</w:t>
            </w:r>
          </w:p>
        </w:tc>
        <w:tc>
          <w:tcPr>
            <w:tcW w:w="300" w:type="dxa"/>
            <w:vAlign w:val="bottom"/>
            <w:tcBorders>
              <w:bottom w:val="single" w:sz="8" w:color="231F20"/>
            </w:tcBorders>
          </w:tcPr>
          <w:p>
            <w:pPr>
              <w:spacing w:after="0"/>
              <w:rPr>
                <w:sz w:val="20"/>
                <w:szCs w:val="20"/>
                <w:color w:val="auto"/>
              </w:rPr>
            </w:pPr>
          </w:p>
        </w:tc>
        <w:tc>
          <w:tcPr>
            <w:tcW w:w="840" w:type="dxa"/>
            <w:vAlign w:val="bottom"/>
            <w:tcBorders>
              <w:bottom w:val="single" w:sz="8" w:color="231F20"/>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3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Commercial Commitments:</w:t>
            </w: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7"/>
        </w:trPr>
        <w:tc>
          <w:tcPr>
            <w:tcW w:w="33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Letters of credit and surety bonds</w:t>
            </w:r>
          </w:p>
        </w:tc>
        <w:tc>
          <w:tcPr>
            <w:tcW w:w="2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231F20"/>
              </w:rPr>
              <w:t>$</w:t>
            </w:r>
          </w:p>
        </w:tc>
        <w:tc>
          <w:tcPr>
            <w:tcW w:w="8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231F20"/>
              </w:rPr>
              <w:t>141.6</w:t>
            </w:r>
          </w:p>
        </w:tc>
        <w:tc>
          <w:tcPr>
            <w:tcW w:w="30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231F20"/>
              </w:rPr>
              <w:t>$</w:t>
            </w:r>
          </w:p>
        </w:tc>
        <w:tc>
          <w:tcPr>
            <w:tcW w:w="84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231F20"/>
              </w:rPr>
              <w:t>2.3</w:t>
            </w:r>
          </w:p>
        </w:tc>
        <w:tc>
          <w:tcPr>
            <w:tcW w:w="3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231F20"/>
              </w:rPr>
              <w:t>$</w:t>
            </w:r>
          </w:p>
        </w:tc>
        <w:tc>
          <w:tcPr>
            <w:tcW w:w="84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231F20"/>
              </w:rPr>
              <w:t>0.3</w:t>
            </w:r>
          </w:p>
        </w:tc>
        <w:tc>
          <w:tcPr>
            <w:tcW w:w="3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231F20"/>
              </w:rPr>
              <w:t>$</w:t>
            </w:r>
          </w:p>
        </w:tc>
        <w:tc>
          <w:tcPr>
            <w:tcW w:w="8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231F20"/>
              </w:rPr>
              <w:t>1.4</w:t>
            </w: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1.5</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147.2</w:t>
            </w:r>
          </w:p>
        </w:tc>
        <w:tc>
          <w:tcPr>
            <w:tcW w:w="0" w:type="dxa"/>
            <w:vAlign w:val="bottom"/>
          </w:tcPr>
          <w:p>
            <w:pPr>
              <w:spacing w:after="0"/>
              <w:rPr>
                <w:sz w:val="1"/>
                <w:szCs w:val="1"/>
                <w:color w:val="auto"/>
              </w:rPr>
            </w:pPr>
          </w:p>
        </w:tc>
      </w:tr>
      <w:tr>
        <w:trPr>
          <w:trHeight w:val="198"/>
        </w:trPr>
        <w:tc>
          <w:tcPr>
            <w:tcW w:w="3380" w:type="dxa"/>
            <w:vAlign w:val="bottom"/>
          </w:tcPr>
          <w:p>
            <w:pPr>
              <w:ind w:left="60"/>
              <w:spacing w:after="0" w:line="198" w:lineRule="exact"/>
              <w:rPr>
                <w:sz w:val="20"/>
                <w:szCs w:val="20"/>
                <w:color w:val="auto"/>
              </w:rPr>
            </w:pPr>
            <w:r>
              <w:rPr>
                <w:rFonts w:ascii="Times New Roman" w:cs="Times New Roman" w:eastAsia="Times New Roman" w:hAnsi="Times New Roman"/>
                <w:sz w:val="19"/>
                <w:szCs w:val="19"/>
                <w:color w:val="231F20"/>
              </w:rPr>
              <w:t>Letters of credit as security for self-</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33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insured risk retention policies</w:t>
            </w:r>
          </w:p>
        </w:tc>
        <w:tc>
          <w:tcPr>
            <w:tcW w:w="260" w:type="dxa"/>
            <w:vAlign w:val="bottom"/>
            <w:tcBorders>
              <w:bottom w:val="single" w:sz="8" w:color="231F20"/>
            </w:tcBorders>
          </w:tcPr>
          <w:p>
            <w:pPr>
              <w:spacing w:after="0"/>
              <w:rPr>
                <w:sz w:val="24"/>
                <w:szCs w:val="24"/>
                <w:color w:val="auto"/>
              </w:rPr>
            </w:pPr>
          </w:p>
        </w:tc>
        <w:tc>
          <w:tcPr>
            <w:tcW w:w="82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19"/>
                <w:szCs w:val="19"/>
                <w:color w:val="231F20"/>
              </w:rPr>
              <w:t>14.1</w:t>
            </w:r>
          </w:p>
        </w:tc>
        <w:tc>
          <w:tcPr>
            <w:tcW w:w="300" w:type="dxa"/>
            <w:vAlign w:val="bottom"/>
            <w:tcBorders>
              <w:bottom w:val="single" w:sz="8" w:color="231F20"/>
            </w:tcBorders>
          </w:tcPr>
          <w:p>
            <w:pPr>
              <w:spacing w:after="0"/>
              <w:rPr>
                <w:sz w:val="24"/>
                <w:szCs w:val="24"/>
                <w:color w:val="auto"/>
              </w:rPr>
            </w:pPr>
          </w:p>
        </w:tc>
        <w:tc>
          <w:tcPr>
            <w:tcW w:w="84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19"/>
                <w:szCs w:val="19"/>
                <w:color w:val="231F20"/>
              </w:rPr>
              <w:t>—</w:t>
            </w:r>
          </w:p>
        </w:tc>
        <w:tc>
          <w:tcPr>
            <w:tcW w:w="300" w:type="dxa"/>
            <w:vAlign w:val="bottom"/>
            <w:tcBorders>
              <w:bottom w:val="single" w:sz="8" w:color="231F20"/>
            </w:tcBorders>
          </w:tcPr>
          <w:p>
            <w:pPr>
              <w:spacing w:after="0"/>
              <w:rPr>
                <w:sz w:val="24"/>
                <w:szCs w:val="24"/>
                <w:color w:val="auto"/>
              </w:rPr>
            </w:pPr>
          </w:p>
        </w:tc>
        <w:tc>
          <w:tcPr>
            <w:tcW w:w="84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19"/>
                <w:szCs w:val="19"/>
                <w:color w:val="231F20"/>
              </w:rPr>
              <w:t>—</w:t>
            </w:r>
          </w:p>
        </w:tc>
        <w:tc>
          <w:tcPr>
            <w:tcW w:w="300" w:type="dxa"/>
            <w:vAlign w:val="bottom"/>
            <w:tcBorders>
              <w:bottom w:val="single" w:sz="8" w:color="231F20"/>
            </w:tcBorders>
          </w:tcPr>
          <w:p>
            <w:pPr>
              <w:spacing w:after="0"/>
              <w:rPr>
                <w:sz w:val="24"/>
                <w:szCs w:val="24"/>
                <w:color w:val="auto"/>
              </w:rPr>
            </w:pPr>
          </w:p>
        </w:tc>
        <w:tc>
          <w:tcPr>
            <w:tcW w:w="82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19"/>
                <w:szCs w:val="19"/>
                <w:color w:val="231F20"/>
              </w:rPr>
              <w:t>—</w:t>
            </w:r>
          </w:p>
        </w:tc>
        <w:tc>
          <w:tcPr>
            <w:tcW w:w="24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300" w:type="dxa"/>
            <w:vAlign w:val="bottom"/>
            <w:tcBorders>
              <w:bottom w:val="single" w:sz="8" w:color="231F20"/>
            </w:tcBorders>
          </w:tcPr>
          <w:p>
            <w:pPr>
              <w:spacing w:after="0"/>
              <w:rPr>
                <w:sz w:val="24"/>
                <w:szCs w:val="24"/>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14.1</w:t>
            </w:r>
          </w:p>
        </w:tc>
        <w:tc>
          <w:tcPr>
            <w:tcW w:w="0" w:type="dxa"/>
            <w:vAlign w:val="bottom"/>
          </w:tcPr>
          <w:p>
            <w:pPr>
              <w:spacing w:after="0"/>
              <w:rPr>
                <w:sz w:val="1"/>
                <w:szCs w:val="1"/>
                <w:color w:val="auto"/>
              </w:rPr>
            </w:pPr>
          </w:p>
        </w:tc>
      </w:tr>
      <w:tr>
        <w:trPr>
          <w:trHeight w:val="281"/>
        </w:trPr>
        <w:tc>
          <w:tcPr>
            <w:tcW w:w="33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Total Commercial Commitments</w:t>
            </w:r>
          </w:p>
        </w:tc>
        <w:tc>
          <w:tcPr>
            <w:tcW w:w="260" w:type="dxa"/>
            <w:vAlign w:val="bottom"/>
            <w:tcBorders>
              <w:bottom w:val="single" w:sz="8" w:color="231F20"/>
            </w:tcBorders>
          </w:tcPr>
          <w:p>
            <w:pPr>
              <w:jc w:val="right"/>
              <w:ind w:right="23"/>
              <w:spacing w:after="0"/>
              <w:rPr>
                <w:sz w:val="20"/>
                <w:szCs w:val="20"/>
                <w:color w:val="auto"/>
              </w:rPr>
            </w:pPr>
            <w:r>
              <w:rPr>
                <w:rFonts w:ascii="Times New Roman" w:cs="Times New Roman" w:eastAsia="Times New Roman" w:hAnsi="Times New Roman"/>
                <w:sz w:val="19"/>
                <w:szCs w:val="19"/>
                <w:color w:val="231F20"/>
              </w:rPr>
              <w:t>$</w:t>
            </w:r>
          </w:p>
        </w:tc>
        <w:tc>
          <w:tcPr>
            <w:tcW w:w="82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19"/>
                <w:szCs w:val="19"/>
                <w:color w:val="231F20"/>
              </w:rPr>
              <w:t>155.7</w:t>
            </w:r>
          </w:p>
        </w:tc>
        <w:tc>
          <w:tcPr>
            <w:tcW w:w="300" w:type="dxa"/>
            <w:vAlign w:val="bottom"/>
            <w:tcBorders>
              <w:bottom w:val="single" w:sz="8" w:color="231F20"/>
            </w:tcBorders>
          </w:tcPr>
          <w:p>
            <w:pPr>
              <w:jc w:val="right"/>
              <w:ind w:right="6"/>
              <w:spacing w:after="0"/>
              <w:rPr>
                <w:sz w:val="20"/>
                <w:szCs w:val="20"/>
                <w:color w:val="auto"/>
              </w:rPr>
            </w:pPr>
            <w:r>
              <w:rPr>
                <w:rFonts w:ascii="Times New Roman" w:cs="Times New Roman" w:eastAsia="Times New Roman" w:hAnsi="Times New Roman"/>
                <w:sz w:val="19"/>
                <w:szCs w:val="19"/>
                <w:color w:val="231F20"/>
              </w:rPr>
              <w:t>$</w:t>
            </w:r>
          </w:p>
        </w:tc>
        <w:tc>
          <w:tcPr>
            <w:tcW w:w="84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19"/>
                <w:szCs w:val="19"/>
                <w:color w:val="231F20"/>
              </w:rPr>
              <w:t>2.3</w:t>
            </w:r>
          </w:p>
        </w:tc>
        <w:tc>
          <w:tcPr>
            <w:tcW w:w="30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19"/>
                <w:szCs w:val="19"/>
                <w:color w:val="231F20"/>
              </w:rPr>
              <w:t>$</w:t>
            </w:r>
          </w:p>
        </w:tc>
        <w:tc>
          <w:tcPr>
            <w:tcW w:w="84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19"/>
                <w:szCs w:val="19"/>
                <w:color w:val="231F20"/>
              </w:rPr>
              <w:t>0.3</w:t>
            </w:r>
          </w:p>
        </w:tc>
        <w:tc>
          <w:tcPr>
            <w:tcW w:w="30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19"/>
                <w:szCs w:val="19"/>
                <w:color w:val="231F20"/>
              </w:rPr>
              <w:t>$</w:t>
            </w:r>
          </w:p>
        </w:tc>
        <w:tc>
          <w:tcPr>
            <w:tcW w:w="82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19"/>
                <w:szCs w:val="19"/>
                <w:color w:val="231F20"/>
              </w:rPr>
              <w:t>1.4</w:t>
            </w:r>
          </w:p>
        </w:tc>
        <w:tc>
          <w:tcPr>
            <w:tcW w:w="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1.5</w:t>
            </w:r>
          </w:p>
        </w:tc>
        <w:tc>
          <w:tcPr>
            <w:tcW w:w="3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161.3</w:t>
            </w:r>
          </w:p>
        </w:tc>
        <w:tc>
          <w:tcPr>
            <w:tcW w:w="0" w:type="dxa"/>
            <w:vAlign w:val="bottom"/>
          </w:tcPr>
          <w:p>
            <w:pPr>
              <w:spacing w:after="0"/>
              <w:rPr>
                <w:sz w:val="1"/>
                <w:szCs w:val="1"/>
                <w:color w:val="auto"/>
              </w:rPr>
            </w:pPr>
          </w:p>
        </w:tc>
      </w:tr>
    </w:tbl>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SUPPLEMENTAL GUARANTOR FINANCIAL INFORMATION</w:t>
      </w:r>
    </w:p>
    <w:p>
      <w:pPr>
        <w:spacing w:after="0" w:line="138" w:lineRule="exact"/>
        <w:rPr>
          <w:sz w:val="20"/>
          <w:szCs w:val="20"/>
          <w:color w:val="auto"/>
        </w:rPr>
      </w:pPr>
    </w:p>
    <w:p>
      <w:pPr>
        <w:ind w:right="220" w:firstLine="349"/>
        <w:spacing w:after="0" w:line="262" w:lineRule="auto"/>
        <w:rPr>
          <w:sz w:val="20"/>
          <w:szCs w:val="20"/>
          <w:color w:val="auto"/>
        </w:rPr>
      </w:pPr>
      <w:r>
        <w:rPr>
          <w:rFonts w:ascii="Times New Roman" w:cs="Times New Roman" w:eastAsia="Times New Roman" w:hAnsi="Times New Roman"/>
          <w:sz w:val="19"/>
          <w:szCs w:val="19"/>
          <w:color w:val="231F20"/>
        </w:rPr>
        <w:t>Parent and its wholly-owned subsidiaries, Limited and Corporation, each have provided guarantees of the obligations of FinCo, a wholly-owned subsidiary issuer, under Senior Public Notes issued by FinCo on April 1, 2021 and of certain other obligations relating to the Senior Public Notes. The Senior Public Notes are guaranteed, jointly and severally, on a senior unsecured basis. The Senior Public Notes and the related guarantees are senior unsecured obligations of FinCo and the Guarantors, respectively, and are equal in priority with all other unsecured and unsubordinated indebtedness of FinCo and the Guarantors, respectively, from time to time outstanding, including, as applicable, under the Private Placement Senior Notes and borrowings under the Revolving Credit Facility.</w:t>
      </w:r>
    </w:p>
    <w:p>
      <w:pPr>
        <w:spacing w:after="0" w:line="77" w:lineRule="exact"/>
        <w:rPr>
          <w:sz w:val="20"/>
          <w:szCs w:val="20"/>
          <w:color w:val="auto"/>
        </w:rPr>
      </w:pPr>
    </w:p>
    <w:p>
      <w:pPr>
        <w:ind w:right="240" w:firstLine="349"/>
        <w:spacing w:after="0" w:line="293" w:lineRule="auto"/>
        <w:rPr>
          <w:sz w:val="20"/>
          <w:szCs w:val="20"/>
          <w:color w:val="auto"/>
        </w:rPr>
      </w:pPr>
      <w:r>
        <w:rPr>
          <w:rFonts w:ascii="Times New Roman" w:cs="Times New Roman" w:eastAsia="Times New Roman" w:hAnsi="Times New Roman"/>
          <w:sz w:val="19"/>
          <w:szCs w:val="19"/>
          <w:color w:val="231F20"/>
        </w:rPr>
        <w:t>All of the liabilities of non-guarantor direct and indirect subsidiaries of Parent, other than FinCo, Limited and Corporation, including any claims of trade creditors, are effectively senior to the Senior Public Notes.</w:t>
      </w:r>
    </w:p>
    <w:p>
      <w:pPr>
        <w:spacing w:after="0" w:line="49" w:lineRule="exact"/>
        <w:rPr>
          <w:sz w:val="20"/>
          <w:szCs w:val="20"/>
          <w:color w:val="auto"/>
        </w:rPr>
      </w:pPr>
    </w:p>
    <w:p>
      <w:pPr>
        <w:ind w:right="480" w:firstLine="349"/>
        <w:spacing w:after="0" w:line="293" w:lineRule="auto"/>
        <w:rPr>
          <w:sz w:val="20"/>
          <w:szCs w:val="20"/>
          <w:color w:val="auto"/>
        </w:rPr>
      </w:pPr>
      <w:r>
        <w:rPr>
          <w:rFonts w:ascii="Times New Roman" w:cs="Times New Roman" w:eastAsia="Times New Roman" w:hAnsi="Times New Roman"/>
          <w:sz w:val="19"/>
          <w:szCs w:val="19"/>
          <w:color w:val="231F20"/>
        </w:rPr>
        <w:t>FinCo’s main objective and source of revenues and cash flows is the provision of short- and long-term financing for the activities of Parent and its subsidiaries.</w:t>
      </w:r>
    </w:p>
    <w:p>
      <w:pPr>
        <w:spacing w:after="0" w:line="49" w:lineRule="exact"/>
        <w:rPr>
          <w:sz w:val="20"/>
          <w:szCs w:val="20"/>
          <w:color w:val="auto"/>
        </w:rPr>
      </w:pPr>
    </w:p>
    <w:p>
      <w:pPr>
        <w:ind w:right="360" w:firstLine="349"/>
        <w:spacing w:after="0" w:line="274" w:lineRule="auto"/>
        <w:rPr>
          <w:sz w:val="20"/>
          <w:szCs w:val="20"/>
          <w:color w:val="auto"/>
        </w:rPr>
      </w:pPr>
      <w:r>
        <w:rPr>
          <w:rFonts w:ascii="Times New Roman" w:cs="Times New Roman" w:eastAsia="Times New Roman" w:hAnsi="Times New Roman"/>
          <w:sz w:val="19"/>
          <w:szCs w:val="19"/>
          <w:color w:val="231F20"/>
        </w:rPr>
        <w:t>The ability of our subsidiaries to pay dividends, interest and other fees to FinCo and ability of FinCo and Guarantors to service the Senior Public Notes may be restricted by, among other things, applicable corporate and other laws and regulations as well as agreements to which our subsidiaries are or may become a party.</w:t>
      </w:r>
    </w:p>
    <w:p>
      <w:pPr>
        <w:spacing w:after="0" w:line="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The following is a summary of these guarantees:</w:t>
      </w:r>
    </w:p>
    <w:p>
      <w:pPr>
        <w:spacing w:after="0" w:line="1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color w:val="231F20"/>
        </w:rPr>
        <w:t>Guarantees of Senior Notes</w:t>
      </w:r>
    </w:p>
    <w:p>
      <w:pPr>
        <w:spacing w:after="0" w:line="138" w:lineRule="exact"/>
        <w:rPr>
          <w:sz w:val="20"/>
          <w:szCs w:val="20"/>
          <w:color w:val="auto"/>
        </w:rPr>
      </w:pPr>
    </w:p>
    <w:p>
      <w:pPr>
        <w:ind w:left="700" w:hanging="348"/>
        <w:spacing w:after="0"/>
        <w:tabs>
          <w:tab w:leader="none" w:pos="700" w:val="left"/>
        </w:tabs>
        <w:numPr>
          <w:ilvl w:val="0"/>
          <w:numId w:val="1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Parent Company Guarantor – STERIS plc</w:t>
      </w:r>
    </w:p>
    <w:p>
      <w:pPr>
        <w:spacing w:after="0" w:line="130" w:lineRule="exact"/>
        <w:rPr>
          <w:rFonts w:ascii="Times New Roman" w:cs="Times New Roman" w:eastAsia="Times New Roman" w:hAnsi="Times New Roman"/>
          <w:sz w:val="19"/>
          <w:szCs w:val="19"/>
          <w:color w:val="231F20"/>
        </w:rPr>
      </w:pPr>
    </w:p>
    <w:p>
      <w:pPr>
        <w:ind w:left="700" w:hanging="348"/>
        <w:spacing w:after="0"/>
        <w:tabs>
          <w:tab w:leader="none" w:pos="700" w:val="left"/>
        </w:tabs>
        <w:numPr>
          <w:ilvl w:val="0"/>
          <w:numId w:val="1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Subsidiary Issuer – STERIS Irish FinCo Unlimited Company</w:t>
      </w:r>
    </w:p>
    <w:p>
      <w:pPr>
        <w:spacing w:after="0" w:line="130" w:lineRule="exact"/>
        <w:rPr>
          <w:rFonts w:ascii="Times New Roman" w:cs="Times New Roman" w:eastAsia="Times New Roman" w:hAnsi="Times New Roman"/>
          <w:sz w:val="19"/>
          <w:szCs w:val="19"/>
          <w:color w:val="231F20"/>
        </w:rPr>
      </w:pPr>
    </w:p>
    <w:p>
      <w:pPr>
        <w:ind w:left="700" w:hanging="348"/>
        <w:spacing w:after="0"/>
        <w:tabs>
          <w:tab w:leader="none" w:pos="700" w:val="left"/>
        </w:tabs>
        <w:numPr>
          <w:ilvl w:val="0"/>
          <w:numId w:val="1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Subsidiary Guarantor – STERIS Limited</w:t>
      </w:r>
    </w:p>
    <w:p>
      <w:pPr>
        <w:spacing w:after="0" w:line="130" w:lineRule="exact"/>
        <w:rPr>
          <w:rFonts w:ascii="Times New Roman" w:cs="Times New Roman" w:eastAsia="Times New Roman" w:hAnsi="Times New Roman"/>
          <w:sz w:val="19"/>
          <w:szCs w:val="19"/>
          <w:color w:val="231F20"/>
        </w:rPr>
      </w:pPr>
    </w:p>
    <w:p>
      <w:pPr>
        <w:ind w:left="700" w:hanging="348"/>
        <w:spacing w:after="0"/>
        <w:tabs>
          <w:tab w:leader="none" w:pos="700" w:val="left"/>
        </w:tabs>
        <w:numPr>
          <w:ilvl w:val="0"/>
          <w:numId w:val="1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Subsidiary Guarantor – STERIS Corporation</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color w:val="231F20"/>
        </w:rPr>
        <w:t>The guarantee of a Guarantor will be automatically and unconditionally released and discharged:</w:t>
      </w:r>
    </w:p>
    <w:p>
      <w:pPr>
        <w:spacing w:after="0" w:line="131" w:lineRule="exact"/>
        <w:rPr>
          <w:sz w:val="20"/>
          <w:szCs w:val="20"/>
          <w:color w:val="auto"/>
        </w:rPr>
      </w:pPr>
    </w:p>
    <w:p>
      <w:pPr>
        <w:jc w:val="both"/>
        <w:ind w:left="700" w:right="160" w:hanging="348"/>
        <w:spacing w:after="0" w:line="274" w:lineRule="auto"/>
        <w:tabs>
          <w:tab w:leader="none" w:pos="700" w:val="left"/>
        </w:tabs>
        <w:numPr>
          <w:ilvl w:val="0"/>
          <w:numId w:val="1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 the case of a subsidiary Guarantor, upon the sale, transfer or other disposition (including by way of consolidation or merger) of such subsidiary Guarantor, other than to the Parent or a subsidiary of the Parent and as permitted by the Indenture;</w:t>
      </w:r>
    </w:p>
    <w:p>
      <w:pPr>
        <w:spacing w:after="0" w:line="67" w:lineRule="exact"/>
        <w:rPr>
          <w:sz w:val="20"/>
          <w:szCs w:val="20"/>
          <w:color w:val="auto"/>
        </w:rPr>
      </w:pPr>
    </w:p>
    <w:p>
      <w:pPr>
        <w:jc w:val="center"/>
        <w:ind w:left="1500" w:right="160"/>
        <w:spacing w:after="0" w:line="293" w:lineRule="auto"/>
        <w:tabs>
          <w:tab w:leader="none" w:pos="260" w:val="left"/>
        </w:tabs>
        <w:rPr>
          <w:sz w:val="20"/>
          <w:szCs w:val="20"/>
          <w:color w:val="auto"/>
        </w:rPr>
      </w:pPr>
      <w:r>
        <w:rPr>
          <w:rFonts w:ascii="Times New Roman" w:cs="Times New Roman" w:eastAsia="Times New Roman" w:hAnsi="Times New Roman"/>
          <w:sz w:val="19"/>
          <w:szCs w:val="19"/>
          <w:color w:val="231F20"/>
        </w:rPr>
        <w:t>•</w:t>
        <w:tab/>
        <w:t>in the case of a subsidiary Guarantor, upon the sale, transfer or other disposition of all or substantially all the assets  of such subsidiary Guarantor, other than to the Parent or a subsidiary of the Parent and as permitted by the Indenture;</w:t>
      </w:r>
    </w:p>
    <w:p>
      <w:pPr>
        <w:spacing w:after="0" w:line="49" w:lineRule="exact"/>
        <w:rPr>
          <w:sz w:val="20"/>
          <w:szCs w:val="20"/>
          <w:color w:val="auto"/>
        </w:rPr>
      </w:pPr>
    </w:p>
    <w:p>
      <w:pPr>
        <w:ind w:left="700" w:right="160" w:hanging="348"/>
        <w:spacing w:after="0" w:line="293" w:lineRule="auto"/>
        <w:tabs>
          <w:tab w:leader="none" w:pos="700" w:val="left"/>
        </w:tabs>
        <w:numPr>
          <w:ilvl w:val="0"/>
          <w:numId w:val="2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 the case of a subsidiary Guarantor, at such time as such subsidiary Guarantor is no longer a borrower under or no longer guarantees any material credit facility (subject to reinstatement in specified circumstances);</w:t>
      </w:r>
    </w:p>
    <w:p>
      <w:pPr>
        <w:spacing w:after="0" w:line="48" w:lineRule="exact"/>
        <w:rPr>
          <w:rFonts w:ascii="Times New Roman" w:cs="Times New Roman" w:eastAsia="Times New Roman" w:hAnsi="Times New Roman"/>
          <w:sz w:val="19"/>
          <w:szCs w:val="19"/>
          <w:color w:val="231F20"/>
        </w:rPr>
      </w:pPr>
    </w:p>
    <w:p>
      <w:pPr>
        <w:ind w:left="700" w:right="160" w:hanging="348"/>
        <w:spacing w:after="0" w:line="293" w:lineRule="auto"/>
        <w:tabs>
          <w:tab w:leader="none" w:pos="700" w:val="left"/>
        </w:tabs>
        <w:numPr>
          <w:ilvl w:val="0"/>
          <w:numId w:val="2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upon the legal defeasance or covenant defeasance of the Senior Public Notes or the discharge of FinCo’s obligations under the Indenture in accordance with the terms of the Indenture;</w:t>
      </w:r>
    </w:p>
    <w:p>
      <w:pPr>
        <w:spacing w:after="0" w:line="48" w:lineRule="exact"/>
        <w:rPr>
          <w:rFonts w:ascii="Times New Roman" w:cs="Times New Roman" w:eastAsia="Times New Roman" w:hAnsi="Times New Roman"/>
          <w:sz w:val="19"/>
          <w:szCs w:val="19"/>
          <w:color w:val="231F20"/>
        </w:rPr>
      </w:pPr>
    </w:p>
    <w:p>
      <w:pPr>
        <w:ind w:left="700" w:hanging="348"/>
        <w:spacing w:after="0"/>
        <w:tabs>
          <w:tab w:leader="none" w:pos="700" w:val="left"/>
        </w:tabs>
        <w:numPr>
          <w:ilvl w:val="0"/>
          <w:numId w:val="2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as described in accordance with the terms of the Indenture; or</w:t>
      </w:r>
    </w:p>
    <w:p>
      <w:pPr>
        <w:spacing w:after="0" w:line="130" w:lineRule="exact"/>
        <w:rPr>
          <w:rFonts w:ascii="Times New Roman" w:cs="Times New Roman" w:eastAsia="Times New Roman" w:hAnsi="Times New Roman"/>
          <w:sz w:val="19"/>
          <w:szCs w:val="19"/>
          <w:color w:val="231F20"/>
        </w:rPr>
      </w:pPr>
    </w:p>
    <w:p>
      <w:pPr>
        <w:jc w:val="both"/>
        <w:ind w:left="700" w:right="160" w:hanging="348"/>
        <w:spacing w:after="0" w:line="274" w:lineRule="auto"/>
        <w:tabs>
          <w:tab w:leader="none" w:pos="700" w:val="left"/>
        </w:tabs>
        <w:numPr>
          <w:ilvl w:val="0"/>
          <w:numId w:val="2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 the case of Parent, if FinCo ceases for any reason to be a subsidiary of Parent; provided that all guarantees and other obligations of Parent in respect of all other indebtedness under any material credit facility of FinCo terminate upon FinCo ceasing to be a subsidiary of Parent; and</w:t>
      </w:r>
    </w:p>
    <w:p>
      <w:pPr>
        <w:spacing w:after="0" w:line="66" w:lineRule="exact"/>
        <w:rPr>
          <w:rFonts w:ascii="Times New Roman" w:cs="Times New Roman" w:eastAsia="Times New Roman" w:hAnsi="Times New Roman"/>
          <w:sz w:val="19"/>
          <w:szCs w:val="19"/>
          <w:color w:val="231F20"/>
        </w:rPr>
      </w:pPr>
    </w:p>
    <w:p>
      <w:pPr>
        <w:ind w:left="700" w:right="160" w:hanging="348"/>
        <w:spacing w:after="0" w:line="293" w:lineRule="auto"/>
        <w:tabs>
          <w:tab w:leader="none" w:pos="700" w:val="left"/>
        </w:tabs>
        <w:numPr>
          <w:ilvl w:val="0"/>
          <w:numId w:val="2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upon such Guarantor delivering to the trustee an officer’s certificate and an opinion of counsel, each stating that all conditions precedent provided for in the Indenture relating to such transaction or release have been complied with.</w:t>
      </w:r>
    </w:p>
    <w:p>
      <w:pPr>
        <w:sectPr>
          <w:pgSz w:w="11880" w:h="15480" w:orient="portrait"/>
          <w:cols w:equalWidth="0" w:num="1">
            <w:col w:w="10120"/>
          </w:cols>
          <w:pgMar w:left="960" w:top="825" w:right="800" w:bottom="0" w:gutter="0" w:footer="0" w:header="0"/>
        </w:sectPr>
      </w:pPr>
    </w:p>
    <w:p>
      <w:pPr>
        <w:spacing w:after="0" w:line="28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231F20"/>
        </w:rPr>
        <w:t>43</w:t>
      </w:r>
    </w:p>
    <w:p>
      <w:pPr>
        <w:sectPr>
          <w:pgSz w:w="11880" w:h="15480" w:orient="portrait"/>
          <w:cols w:equalWidth="0" w:num="1">
            <w:col w:w="10120"/>
          </w:cols>
          <w:pgMar w:left="960" w:top="825" w:right="800" w:bottom="0" w:gutter="0" w:footer="0" w:header="0"/>
          <w:type w:val="continuous"/>
        </w:sectPr>
      </w:pPr>
    </w:p>
    <w:bookmarkStart w:id="44" w:name="page45"/>
    <w:bookmarkEnd w:id="44"/>
    <w:p>
      <w:pPr>
        <w:ind w:right="180" w:firstLine="349"/>
        <w:spacing w:after="0" w:line="265" w:lineRule="auto"/>
        <w:rPr>
          <w:sz w:val="20"/>
          <w:szCs w:val="20"/>
          <w:color w:val="auto"/>
        </w:rPr>
      </w:pPr>
      <w:r>
        <w:rPr>
          <w:rFonts w:ascii="Times New Roman" w:cs="Times New Roman" w:eastAsia="Times New Roman" w:hAnsi="Times New Roman"/>
          <w:sz w:val="19"/>
          <w:szCs w:val="19"/>
          <w:color w:val="231F20"/>
        </w:rPr>
        <w:t>The obligations of each Guarantor under its guarantee are expressly limited to the maximum amount that such Guarantor could guarantee without such guarantee constituting a fraudulent conveyance. Each Guarantor that makes a payment under its guarantee will be entitled upon payment in full of all guaranteed obligations under the indenture to a contribution from each Guarantor in an amount equal to such other Guarantor’s pro rata portion of such payment based on the respective net assets of all the Guarantors at the time of such payment determined in accordance with U.S. GAAP.</w:t>
      </w:r>
    </w:p>
    <w:p>
      <w:pPr>
        <w:spacing w:after="0" w:line="74" w:lineRule="exact"/>
        <w:rPr>
          <w:sz w:val="20"/>
          <w:szCs w:val="20"/>
          <w:color w:val="auto"/>
        </w:rPr>
      </w:pPr>
    </w:p>
    <w:p>
      <w:pPr>
        <w:ind w:firstLine="349"/>
        <w:spacing w:after="0" w:line="264" w:lineRule="auto"/>
        <w:rPr>
          <w:sz w:val="20"/>
          <w:szCs w:val="20"/>
          <w:color w:val="auto"/>
        </w:rPr>
      </w:pPr>
      <w:r>
        <w:rPr>
          <w:rFonts w:ascii="Times New Roman" w:cs="Times New Roman" w:eastAsia="Times New Roman" w:hAnsi="Times New Roman"/>
          <w:sz w:val="19"/>
          <w:szCs w:val="19"/>
          <w:color w:val="231F20"/>
        </w:rPr>
        <w:t>The following tables present summarized results of operations for the year ended March 31, 2026 and summarized balance sheet information at March 31, 2026 and 2025 for the obligor group of the Senior Public Notes. The obligor group consists of Parent, FinCo, and the other Guarantors. The summarized financial information is presented after elimination of (i) intercompany transactions and balances among the guarantors and issuer and (ii) equity in earnings from and investments in any subsidiary that is a non-guarantor or issuer. Transactions with non-issuer and non-guarantor subsidiaries have been presented separately.</w:t>
      </w: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231F20"/>
        </w:rPr>
        <w:t>Summarized Results of Operations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20" w:type="dxa"/>
            <w:vAlign w:val="bottom"/>
          </w:tcPr>
          <w:p>
            <w:pPr>
              <w:spacing w:after="0"/>
              <w:rPr>
                <w:sz w:val="17"/>
                <w:szCs w:val="17"/>
                <w:color w:val="auto"/>
              </w:rPr>
            </w:pPr>
          </w:p>
        </w:tc>
        <w:tc>
          <w:tcPr>
            <w:tcW w:w="5440" w:type="dxa"/>
            <w:vAlign w:val="bottom"/>
          </w:tcPr>
          <w:p>
            <w:pPr>
              <w:jc w:val="center"/>
              <w:ind w:left="3313"/>
              <w:spacing w:after="0"/>
              <w:rPr>
                <w:sz w:val="20"/>
                <w:szCs w:val="20"/>
                <w:color w:val="auto"/>
              </w:rPr>
            </w:pPr>
            <w:r>
              <w:rPr>
                <w:rFonts w:ascii="Times New Roman" w:cs="Times New Roman" w:eastAsia="Times New Roman" w:hAnsi="Times New Roman"/>
                <w:sz w:val="17"/>
                <w:szCs w:val="17"/>
                <w:b w:val="1"/>
                <w:bCs w:val="1"/>
                <w:color w:val="231F20"/>
              </w:rPr>
              <w:t>Twelve Months Ended</w:t>
            </w:r>
          </w:p>
        </w:tc>
      </w:tr>
      <w:tr>
        <w:trPr>
          <w:trHeight w:val="218"/>
        </w:trPr>
        <w:tc>
          <w:tcPr>
            <w:tcW w:w="4520" w:type="dxa"/>
            <w:vAlign w:val="bottom"/>
          </w:tcPr>
          <w:p>
            <w:pPr>
              <w:spacing w:after="0"/>
              <w:rPr>
                <w:sz w:val="18"/>
                <w:szCs w:val="18"/>
                <w:color w:val="auto"/>
              </w:rPr>
            </w:pPr>
          </w:p>
        </w:tc>
        <w:tc>
          <w:tcPr>
            <w:tcW w:w="5440" w:type="dxa"/>
            <w:vAlign w:val="bottom"/>
          </w:tcPr>
          <w:p>
            <w:pPr>
              <w:jc w:val="center"/>
              <w:ind w:left="3313"/>
              <w:spacing w:after="0"/>
              <w:rPr>
                <w:sz w:val="20"/>
                <w:szCs w:val="20"/>
                <w:color w:val="auto"/>
              </w:rPr>
            </w:pPr>
            <w:r>
              <w:rPr>
                <w:rFonts w:ascii="Times New Roman" w:cs="Times New Roman" w:eastAsia="Times New Roman" w:hAnsi="Times New Roman"/>
                <w:sz w:val="17"/>
                <w:szCs w:val="17"/>
                <w:b w:val="1"/>
                <w:bCs w:val="1"/>
                <w:color w:val="231F20"/>
              </w:rPr>
              <w:t>March 31,</w:t>
            </w:r>
          </w:p>
        </w:tc>
      </w:tr>
      <w:tr>
        <w:trPr>
          <w:trHeight w:val="234"/>
        </w:trPr>
        <w:tc>
          <w:tcPr>
            <w:tcW w:w="452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7"/>
                <w:szCs w:val="17"/>
                <w:color w:val="231F20"/>
              </w:rPr>
              <w:t>(in millions)</w:t>
            </w:r>
          </w:p>
        </w:tc>
        <w:tc>
          <w:tcPr>
            <w:tcW w:w="5440" w:type="dxa"/>
            <w:vAlign w:val="bottom"/>
            <w:tcBorders>
              <w:bottom w:val="single" w:sz="8" w:color="231F20"/>
            </w:tcBorders>
          </w:tcPr>
          <w:p>
            <w:pPr>
              <w:jc w:val="center"/>
              <w:ind w:left="3313"/>
              <w:spacing w:after="0"/>
              <w:rPr>
                <w:sz w:val="20"/>
                <w:szCs w:val="20"/>
                <w:color w:val="auto"/>
              </w:rPr>
            </w:pPr>
            <w:r>
              <w:rPr>
                <w:rFonts w:ascii="Times New Roman" w:cs="Times New Roman" w:eastAsia="Times New Roman" w:hAnsi="Times New Roman"/>
                <w:sz w:val="17"/>
                <w:szCs w:val="17"/>
                <w:b w:val="1"/>
                <w:bCs w:val="1"/>
                <w:color w:val="231F20"/>
              </w:rPr>
              <w:t>2026</w:t>
            </w:r>
          </w:p>
        </w:tc>
      </w:tr>
    </w:tbl>
    <w:p>
      <w:pPr>
        <w:spacing w:after="0" w:line="199" w:lineRule="exact"/>
        <w:rPr>
          <w:sz w:val="20"/>
          <w:szCs w:val="20"/>
          <w:color w:val="auto"/>
        </w:rPr>
      </w:pPr>
    </w:p>
    <w:p>
      <w:pPr>
        <w:sectPr>
          <w:pgSz w:w="11880" w:h="15480" w:orient="portrait"/>
          <w:cols w:equalWidth="0" w:num="1">
            <w:col w:w="9960"/>
          </w:cols>
          <w:pgMar w:left="960" w:top="825" w:right="960" w:bottom="0" w:gutter="0" w:footer="0" w:header="0"/>
        </w:sectPr>
      </w:pPr>
    </w:p>
    <w:p>
      <w:pPr>
        <w:ind w:left="220"/>
        <w:spacing w:after="0"/>
        <w:tabs>
          <w:tab w:leader="none" w:pos="7960" w:val="left"/>
        </w:tabs>
        <w:rPr>
          <w:sz w:val="20"/>
          <w:szCs w:val="20"/>
          <w:color w:val="auto"/>
        </w:rPr>
      </w:pPr>
      <w:r>
        <w:rPr>
          <w:rFonts w:ascii="Times New Roman" w:cs="Times New Roman" w:eastAsia="Times New Roman" w:hAnsi="Times New Roman"/>
          <w:sz w:val="18"/>
          <w:szCs w:val="18"/>
          <w:color w:val="231F20"/>
        </w:rPr>
        <w:t>Revenues</w:t>
      </w:r>
      <w:r>
        <w:rPr>
          <w:sz w:val="20"/>
          <w:szCs w:val="20"/>
          <w:color w:val="auto"/>
        </w:rPr>
        <w:tab/>
      </w:r>
      <w:r>
        <w:rPr>
          <w:rFonts w:ascii="Times New Roman" w:cs="Times New Roman" w:eastAsia="Times New Roman" w:hAnsi="Times New Roman"/>
          <w:sz w:val="16"/>
          <w:szCs w:val="16"/>
          <w:b w:val="1"/>
          <w:bCs w:val="1"/>
          <w:color w:val="231F20"/>
        </w:rPr>
        <w:t>$</w:t>
      </w:r>
    </w:p>
    <w:p>
      <w:pPr>
        <w:spacing w:after="0" w:line="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color w:val="231F20"/>
        </w:rPr>
        <w:t>Gross profit</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color w:val="231F20"/>
        </w:rPr>
        <w:t>Operating costs arising from transactions with non-issuers and non-guarantors - net</w:t>
      </w:r>
    </w:p>
    <w:p>
      <w:pPr>
        <w:spacing w:after="0" w:line="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Income from operations</w:t>
      </w:r>
    </w:p>
    <w:p>
      <w:pPr>
        <w:spacing w:after="0" w:line="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color w:val="231F20"/>
        </w:rPr>
        <w:t>Non-operating income (expense) arising from transactions with subsidiaries that are non-issuers</w:t>
      </w:r>
    </w:p>
    <w:p>
      <w:pPr>
        <w:ind w:left="220"/>
        <w:spacing w:after="0"/>
        <w:rPr>
          <w:sz w:val="20"/>
          <w:szCs w:val="20"/>
          <w:color w:val="auto"/>
        </w:rPr>
      </w:pPr>
      <w:r>
        <w:rPr>
          <w:rFonts w:ascii="Times New Roman" w:cs="Times New Roman" w:eastAsia="Times New Roman" w:hAnsi="Times New Roman"/>
          <w:sz w:val="19"/>
          <w:szCs w:val="19"/>
          <w:color w:val="231F20"/>
        </w:rPr>
        <w:t>and non-guarantors - net</w:t>
      </w:r>
    </w:p>
    <w:p>
      <w:pPr>
        <w:spacing w:after="0" w:line="46" w:lineRule="exact"/>
        <w:rPr>
          <w:sz w:val="20"/>
          <w:szCs w:val="20"/>
          <w:color w:val="auto"/>
        </w:rPr>
      </w:pPr>
    </w:p>
    <w:p>
      <w:pPr>
        <w:ind w:left="240"/>
        <w:spacing w:after="0"/>
        <w:tabs>
          <w:tab w:leader="none" w:pos="7960" w:val="left"/>
        </w:tabs>
        <w:rPr>
          <w:sz w:val="20"/>
          <w:szCs w:val="20"/>
          <w:color w:val="auto"/>
        </w:rPr>
      </w:pPr>
      <w:r>
        <w:rPr>
          <w:rFonts w:ascii="Times New Roman" w:cs="Times New Roman" w:eastAsia="Times New Roman" w:hAnsi="Times New Roman"/>
          <w:sz w:val="19"/>
          <w:szCs w:val="19"/>
          <w:color w:val="231F20"/>
        </w:rPr>
        <w:t>Net income</w:t>
      </w:r>
      <w:r>
        <w:rPr>
          <w:sz w:val="20"/>
          <w:szCs w:val="20"/>
          <w:color w:val="auto"/>
        </w:rPr>
        <w:tab/>
      </w:r>
      <w:r>
        <w:rPr>
          <w:rFonts w:ascii="Times New Roman" w:cs="Times New Roman" w:eastAsia="Times New Roman" w:hAnsi="Times New Roman"/>
          <w:sz w:val="16"/>
          <w:szCs w:val="16"/>
          <w:b w:val="1"/>
          <w:bCs w:val="1"/>
          <w:color w:val="231F20"/>
        </w:rPr>
        <w:t>$</w:t>
      </w:r>
    </w:p>
    <w:p>
      <w:pPr>
        <w:spacing w:after="0" w:line="3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231F20"/>
        </w:rPr>
        <w:t>Summarized Balance Sheet Information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231F20"/>
        </w:rPr>
        <w:t>3,313.3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1,820.3</w:t>
      </w:r>
    </w:p>
    <w:p>
      <w:pPr>
        <w:spacing w:after="0" w:line="9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7"/>
          <w:szCs w:val="17"/>
          <w:b w:val="1"/>
          <w:bCs w:val="1"/>
          <w:color w:val="231F20"/>
        </w:rPr>
        <w:t>716.0</w:t>
      </w:r>
    </w:p>
    <w:p>
      <w:pPr>
        <w:spacing w:after="0" w:line="52"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7"/>
          <w:szCs w:val="17"/>
          <w:b w:val="1"/>
          <w:bCs w:val="1"/>
          <w:color w:val="231F20"/>
        </w:rPr>
        <w:t>914.1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1,121.5</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1,179.7</w:t>
      </w:r>
    </w:p>
    <w:p>
      <w:pPr>
        <w:spacing w:after="0" w:line="657" w:lineRule="exact"/>
        <w:rPr>
          <w:sz w:val="20"/>
          <w:szCs w:val="20"/>
          <w:color w:val="auto"/>
        </w:rPr>
      </w:pPr>
    </w:p>
    <w:p>
      <w:pPr>
        <w:sectPr>
          <w:pgSz w:w="11880" w:h="15480" w:orient="portrait"/>
          <w:cols w:equalWidth="0" w:num="2">
            <w:col w:w="8640" w:space="720"/>
            <w:col w:w="600"/>
          </w:cols>
          <w:pgMar w:left="960" w:top="825" w:right="960" w:bottom="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7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gridSpan w:val="3"/>
          </w:tcPr>
          <w:p>
            <w:pPr>
              <w:jc w:val="right"/>
              <w:ind w:right="653"/>
              <w:spacing w:after="0"/>
              <w:rPr>
                <w:sz w:val="20"/>
                <w:szCs w:val="20"/>
                <w:color w:val="auto"/>
              </w:rPr>
            </w:pPr>
            <w:r>
              <w:rPr>
                <w:rFonts w:ascii="Times New Roman" w:cs="Times New Roman" w:eastAsia="Times New Roman" w:hAnsi="Times New Roman"/>
                <w:sz w:val="17"/>
                <w:szCs w:val="17"/>
                <w:b w:val="1"/>
                <w:bCs w:val="1"/>
                <w:color w:val="231F20"/>
              </w:rPr>
              <w:t>At March 31,</w:t>
            </w:r>
          </w:p>
        </w:tc>
      </w:tr>
      <w:tr>
        <w:trPr>
          <w:trHeight w:val="234"/>
        </w:trPr>
        <w:tc>
          <w:tcPr>
            <w:tcW w:w="748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7"/>
                <w:szCs w:val="17"/>
                <w:color w:val="231F20"/>
              </w:rPr>
              <w:t>(in millions)</w:t>
            </w:r>
          </w:p>
        </w:tc>
        <w:tc>
          <w:tcPr>
            <w:tcW w:w="28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231F20"/>
              </w:rPr>
              <w:t>2026</w:t>
            </w:r>
          </w:p>
        </w:tc>
        <w:tc>
          <w:tcPr>
            <w:tcW w:w="34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231F20"/>
              </w:rPr>
              <w:t>2025</w:t>
            </w:r>
          </w:p>
        </w:tc>
      </w:tr>
      <w:tr>
        <w:trPr>
          <w:trHeight w:val="283"/>
        </w:trPr>
        <w:tc>
          <w:tcPr>
            <w:tcW w:w="74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Receivables due from non-issuers and non-guarantor subsidiaries</w:t>
            </w:r>
          </w:p>
        </w:tc>
        <w:tc>
          <w:tcPr>
            <w:tcW w:w="28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rPr>
              <w:t>21,513.5</w:t>
            </w:r>
          </w:p>
        </w:tc>
        <w:tc>
          <w:tcPr>
            <w:tcW w:w="3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19,931.5</w:t>
            </w:r>
          </w:p>
        </w:tc>
      </w:tr>
      <w:tr>
        <w:trPr>
          <w:trHeight w:val="308"/>
        </w:trPr>
        <w:tc>
          <w:tcPr>
            <w:tcW w:w="74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Other current assets</w:t>
            </w:r>
          </w:p>
        </w:tc>
        <w:tc>
          <w:tcPr>
            <w:tcW w:w="28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b w:val="1"/>
                <w:bCs w:val="1"/>
                <w:color w:val="231F20"/>
              </w:rPr>
              <w:t>1,039.2</w:t>
            </w:r>
          </w:p>
        </w:tc>
        <w:tc>
          <w:tcPr>
            <w:tcW w:w="34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830.5</w:t>
            </w:r>
          </w:p>
        </w:tc>
      </w:tr>
      <w:tr>
        <w:trPr>
          <w:trHeight w:val="290"/>
        </w:trPr>
        <w:tc>
          <w:tcPr>
            <w:tcW w:w="74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Total current assets</w:t>
            </w:r>
          </w:p>
        </w:tc>
        <w:tc>
          <w:tcPr>
            <w:tcW w:w="280" w:type="dxa"/>
            <w:vAlign w:val="bottom"/>
            <w:tcBorders>
              <w:bottom w:val="single" w:sz="8" w:color="231F20"/>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231F20"/>
              </w:rPr>
              <w:t>$</w:t>
            </w: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b w:val="1"/>
                <w:bCs w:val="1"/>
                <w:color w:val="231F20"/>
              </w:rPr>
              <w:t>22,552.7</w:t>
            </w:r>
          </w:p>
        </w:tc>
        <w:tc>
          <w:tcPr>
            <w:tcW w:w="340" w:type="dxa"/>
            <w:vAlign w:val="bottom"/>
            <w:tcBorders>
              <w:bottom w:val="single" w:sz="8" w:color="231F20"/>
            </w:tcBorders>
          </w:tcPr>
          <w:p>
            <w:pPr>
              <w:jc w:val="right"/>
              <w:ind w:right="73"/>
              <w:spacing w:after="0"/>
              <w:rPr>
                <w:sz w:val="20"/>
                <w:szCs w:val="20"/>
                <w:color w:val="auto"/>
              </w:rPr>
            </w:pPr>
            <w:r>
              <w:rPr>
                <w:rFonts w:ascii="Times New Roman" w:cs="Times New Roman" w:eastAsia="Times New Roman" w:hAnsi="Times New Roman"/>
                <w:sz w:val="17"/>
                <w:szCs w:val="17"/>
                <w:color w:val="231F20"/>
              </w:rPr>
              <w:t>$</w:t>
            </w: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20,762.0</w:t>
            </w:r>
          </w:p>
        </w:tc>
      </w:tr>
      <w:tr>
        <w:trPr>
          <w:trHeight w:val="395"/>
        </w:trPr>
        <w:tc>
          <w:tcPr>
            <w:tcW w:w="74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Non-current receivables due from non-issuers and non-guarantor subsidiaries</w:t>
            </w:r>
          </w:p>
        </w:tc>
        <w:tc>
          <w:tcPr>
            <w:tcW w:w="28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rPr>
              <w:t>1,280.3</w:t>
            </w:r>
          </w:p>
        </w:tc>
        <w:tc>
          <w:tcPr>
            <w:tcW w:w="3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1,278.4</w:t>
            </w:r>
          </w:p>
        </w:tc>
      </w:tr>
      <w:tr>
        <w:trPr>
          <w:trHeight w:val="306"/>
        </w:trPr>
        <w:tc>
          <w:tcPr>
            <w:tcW w:w="74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Goodwill</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rPr>
              <w:t>298.0</w:t>
            </w: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297.2</w:t>
            </w:r>
          </w:p>
        </w:tc>
      </w:tr>
      <w:tr>
        <w:trPr>
          <w:trHeight w:val="308"/>
        </w:trPr>
        <w:tc>
          <w:tcPr>
            <w:tcW w:w="74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Other non-current assets</w:t>
            </w:r>
          </w:p>
        </w:tc>
        <w:tc>
          <w:tcPr>
            <w:tcW w:w="28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b w:val="1"/>
                <w:bCs w:val="1"/>
                <w:color w:val="231F20"/>
              </w:rPr>
              <w:t>639.9</w:t>
            </w:r>
          </w:p>
        </w:tc>
        <w:tc>
          <w:tcPr>
            <w:tcW w:w="34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632.6</w:t>
            </w:r>
          </w:p>
        </w:tc>
      </w:tr>
      <w:tr>
        <w:trPr>
          <w:trHeight w:val="290"/>
        </w:trPr>
        <w:tc>
          <w:tcPr>
            <w:tcW w:w="74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Total non-current assets</w:t>
            </w:r>
          </w:p>
        </w:tc>
        <w:tc>
          <w:tcPr>
            <w:tcW w:w="280" w:type="dxa"/>
            <w:vAlign w:val="bottom"/>
            <w:tcBorders>
              <w:bottom w:val="single" w:sz="8" w:color="231F20"/>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231F20"/>
              </w:rPr>
              <w:t>$</w:t>
            </w: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b w:val="1"/>
                <w:bCs w:val="1"/>
                <w:color w:val="231F20"/>
              </w:rPr>
              <w:t>2,218.1</w:t>
            </w:r>
          </w:p>
        </w:tc>
        <w:tc>
          <w:tcPr>
            <w:tcW w:w="340" w:type="dxa"/>
            <w:vAlign w:val="bottom"/>
            <w:tcBorders>
              <w:bottom w:val="single" w:sz="8" w:color="231F20"/>
            </w:tcBorders>
          </w:tcPr>
          <w:p>
            <w:pPr>
              <w:jc w:val="right"/>
              <w:ind w:right="73"/>
              <w:spacing w:after="0"/>
              <w:rPr>
                <w:sz w:val="20"/>
                <w:szCs w:val="20"/>
                <w:color w:val="auto"/>
              </w:rPr>
            </w:pPr>
            <w:r>
              <w:rPr>
                <w:rFonts w:ascii="Times New Roman" w:cs="Times New Roman" w:eastAsia="Times New Roman" w:hAnsi="Times New Roman"/>
                <w:sz w:val="17"/>
                <w:szCs w:val="17"/>
                <w:color w:val="231F20"/>
              </w:rPr>
              <w:t>$</w:t>
            </w: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2,208.2</w:t>
            </w:r>
          </w:p>
        </w:tc>
      </w:tr>
      <w:tr>
        <w:trPr>
          <w:trHeight w:val="395"/>
        </w:trPr>
        <w:tc>
          <w:tcPr>
            <w:tcW w:w="74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Payables due to non-issuers and non-guarantor subsidiaries</w:t>
            </w:r>
          </w:p>
        </w:tc>
        <w:tc>
          <w:tcPr>
            <w:tcW w:w="28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rPr>
              <w:t>25,938.3</w:t>
            </w:r>
          </w:p>
        </w:tc>
        <w:tc>
          <w:tcPr>
            <w:tcW w:w="3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23,557.2</w:t>
            </w:r>
          </w:p>
        </w:tc>
      </w:tr>
      <w:tr>
        <w:trPr>
          <w:trHeight w:val="308"/>
        </w:trPr>
        <w:tc>
          <w:tcPr>
            <w:tcW w:w="74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Other current liabilities</w:t>
            </w:r>
          </w:p>
        </w:tc>
        <w:tc>
          <w:tcPr>
            <w:tcW w:w="28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b w:val="1"/>
                <w:bCs w:val="1"/>
                <w:color w:val="231F20"/>
              </w:rPr>
              <w:t>510.0</w:t>
            </w:r>
          </w:p>
        </w:tc>
        <w:tc>
          <w:tcPr>
            <w:tcW w:w="34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333.7</w:t>
            </w:r>
          </w:p>
        </w:tc>
      </w:tr>
      <w:tr>
        <w:trPr>
          <w:trHeight w:val="290"/>
        </w:trPr>
        <w:tc>
          <w:tcPr>
            <w:tcW w:w="74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Total current liabilities</w:t>
            </w:r>
          </w:p>
        </w:tc>
        <w:tc>
          <w:tcPr>
            <w:tcW w:w="280" w:type="dxa"/>
            <w:vAlign w:val="bottom"/>
            <w:tcBorders>
              <w:bottom w:val="single" w:sz="8" w:color="231F20"/>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231F20"/>
              </w:rPr>
              <w:t>$</w:t>
            </w: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b w:val="1"/>
                <w:bCs w:val="1"/>
                <w:color w:val="231F20"/>
              </w:rPr>
              <w:t>26,448.3</w:t>
            </w:r>
          </w:p>
        </w:tc>
        <w:tc>
          <w:tcPr>
            <w:tcW w:w="340" w:type="dxa"/>
            <w:vAlign w:val="bottom"/>
            <w:tcBorders>
              <w:bottom w:val="single" w:sz="8" w:color="231F20"/>
            </w:tcBorders>
          </w:tcPr>
          <w:p>
            <w:pPr>
              <w:jc w:val="right"/>
              <w:ind w:right="73"/>
              <w:spacing w:after="0"/>
              <w:rPr>
                <w:sz w:val="20"/>
                <w:szCs w:val="20"/>
                <w:color w:val="auto"/>
              </w:rPr>
            </w:pPr>
            <w:r>
              <w:rPr>
                <w:rFonts w:ascii="Times New Roman" w:cs="Times New Roman" w:eastAsia="Times New Roman" w:hAnsi="Times New Roman"/>
                <w:sz w:val="17"/>
                <w:szCs w:val="17"/>
                <w:color w:val="231F20"/>
              </w:rPr>
              <w:t>$</w:t>
            </w: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23,891.0</w:t>
            </w:r>
          </w:p>
        </w:tc>
      </w:tr>
      <w:tr>
        <w:trPr>
          <w:trHeight w:val="395"/>
        </w:trPr>
        <w:tc>
          <w:tcPr>
            <w:tcW w:w="74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Non-current payables due to non-issuers and non-guarantor subsidiaries</w:t>
            </w:r>
          </w:p>
        </w:tc>
        <w:tc>
          <w:tcPr>
            <w:tcW w:w="28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rPr>
              <w:t>285.9</w:t>
            </w:r>
          </w:p>
        </w:tc>
        <w:tc>
          <w:tcPr>
            <w:tcW w:w="3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285.6</w:t>
            </w:r>
          </w:p>
        </w:tc>
      </w:tr>
      <w:tr>
        <w:trPr>
          <w:trHeight w:val="308"/>
        </w:trPr>
        <w:tc>
          <w:tcPr>
            <w:tcW w:w="74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Other non-current liabilities</w:t>
            </w:r>
          </w:p>
        </w:tc>
        <w:tc>
          <w:tcPr>
            <w:tcW w:w="28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b w:val="1"/>
                <w:bCs w:val="1"/>
                <w:color w:val="231F20"/>
              </w:rPr>
              <w:t>1,820.7</w:t>
            </w:r>
          </w:p>
        </w:tc>
        <w:tc>
          <w:tcPr>
            <w:tcW w:w="34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2,060.8</w:t>
            </w:r>
          </w:p>
        </w:tc>
      </w:tr>
      <w:tr>
        <w:trPr>
          <w:trHeight w:val="290"/>
        </w:trPr>
        <w:tc>
          <w:tcPr>
            <w:tcW w:w="74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Total non-current liabilities</w:t>
            </w:r>
          </w:p>
        </w:tc>
        <w:tc>
          <w:tcPr>
            <w:tcW w:w="280" w:type="dxa"/>
            <w:vAlign w:val="bottom"/>
            <w:tcBorders>
              <w:bottom w:val="single" w:sz="8" w:color="231F20"/>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231F20"/>
              </w:rPr>
              <w:t>$</w:t>
            </w: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b w:val="1"/>
                <w:bCs w:val="1"/>
                <w:color w:val="231F20"/>
              </w:rPr>
              <w:t>2,106.6</w:t>
            </w:r>
          </w:p>
        </w:tc>
        <w:tc>
          <w:tcPr>
            <w:tcW w:w="340" w:type="dxa"/>
            <w:vAlign w:val="bottom"/>
            <w:tcBorders>
              <w:bottom w:val="single" w:sz="8" w:color="231F20"/>
            </w:tcBorders>
          </w:tcPr>
          <w:p>
            <w:pPr>
              <w:jc w:val="right"/>
              <w:ind w:right="73"/>
              <w:spacing w:after="0"/>
              <w:rPr>
                <w:sz w:val="20"/>
                <w:szCs w:val="20"/>
                <w:color w:val="auto"/>
              </w:rPr>
            </w:pPr>
            <w:r>
              <w:rPr>
                <w:rFonts w:ascii="Times New Roman" w:cs="Times New Roman" w:eastAsia="Times New Roman" w:hAnsi="Times New Roman"/>
                <w:sz w:val="17"/>
                <w:szCs w:val="17"/>
                <w:color w:val="231F20"/>
              </w:rPr>
              <w:t>$</w:t>
            </w: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2,346.4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-2766060</wp:posOffset>
            </wp:positionV>
            <wp:extent cx="79248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extLst>
                    </a:blip>
                    <a:srcRect/>
                    <a:stretch>
                      <a:fillRect/>
                    </a:stretch>
                  </pic:blipFill>
                  <pic:spPr bwMode="auto">
                    <a:xfrm>
                      <a:off x="0" y="0"/>
                      <a:ext cx="792480" cy="2540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Credit Ratings</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STERIS's Senior Public Notes have been assigned the following credit ratings:</w:t>
      </w:r>
    </w:p>
    <w:p>
      <w:pPr>
        <w:spacing w:after="0" w:line="227" w:lineRule="exact"/>
        <w:rPr>
          <w:sz w:val="20"/>
          <w:szCs w:val="20"/>
          <w:color w:val="auto"/>
        </w:rPr>
      </w:pPr>
    </w:p>
    <w:p>
      <w:pPr>
        <w:ind w:left="4220"/>
        <w:spacing w:after="0"/>
        <w:tabs>
          <w:tab w:leader="none" w:pos="6620" w:val="left"/>
          <w:tab w:leader="none" w:pos="8740" w:val="left"/>
        </w:tabs>
        <w:rPr>
          <w:sz w:val="20"/>
          <w:szCs w:val="20"/>
          <w:color w:val="auto"/>
        </w:rPr>
      </w:pPr>
      <w:r>
        <w:rPr>
          <w:rFonts w:ascii="Times New Roman" w:cs="Times New Roman" w:eastAsia="Times New Roman" w:hAnsi="Times New Roman"/>
          <w:sz w:val="19"/>
          <w:szCs w:val="19"/>
          <w:b w:val="1"/>
          <w:bCs w:val="1"/>
          <w:color w:val="231F20"/>
        </w:rPr>
        <w:t>Standard &amp; Poor's</w:t>
      </w:r>
      <w:r>
        <w:rPr>
          <w:sz w:val="20"/>
          <w:szCs w:val="20"/>
          <w:color w:val="auto"/>
        </w:rPr>
        <w:tab/>
      </w:r>
      <w:r>
        <w:rPr>
          <w:rFonts w:ascii="Times New Roman" w:cs="Times New Roman" w:eastAsia="Times New Roman" w:hAnsi="Times New Roman"/>
          <w:sz w:val="19"/>
          <w:szCs w:val="19"/>
          <w:b w:val="1"/>
          <w:bCs w:val="1"/>
          <w:color w:val="231F20"/>
        </w:rPr>
        <w:t>Moody's</w:t>
      </w:r>
      <w:r>
        <w:rPr>
          <w:sz w:val="20"/>
          <w:szCs w:val="20"/>
          <w:color w:val="auto"/>
        </w:rPr>
        <w:tab/>
      </w:r>
      <w:r>
        <w:rPr>
          <w:rFonts w:ascii="Times New Roman" w:cs="Times New Roman" w:eastAsia="Times New Roman" w:hAnsi="Times New Roman"/>
          <w:sz w:val="18"/>
          <w:szCs w:val="18"/>
          <w:b w:val="1"/>
          <w:bCs w:val="1"/>
          <w:color w:val="231F20"/>
        </w:rPr>
        <w:t>Fitch</w:t>
      </w:r>
    </w:p>
    <w:p>
      <w:pPr>
        <w:spacing w:after="0" w:line="91" w:lineRule="exact"/>
        <w:rPr>
          <w:sz w:val="20"/>
          <w:szCs w:val="20"/>
          <w:color w:val="auto"/>
        </w:rPr>
      </w:pPr>
    </w:p>
    <w:p>
      <w:pPr>
        <w:ind w:left="60"/>
        <w:spacing w:after="0"/>
        <w:tabs>
          <w:tab w:leader="none" w:pos="4800" w:val="left"/>
          <w:tab w:leader="none" w:pos="6760" w:val="left"/>
          <w:tab w:leader="none" w:pos="8760" w:val="left"/>
        </w:tabs>
        <w:rPr>
          <w:sz w:val="20"/>
          <w:szCs w:val="20"/>
          <w:color w:val="auto"/>
        </w:rPr>
      </w:pPr>
      <w:r>
        <w:rPr>
          <w:rFonts w:ascii="Times New Roman" w:cs="Times New Roman" w:eastAsia="Times New Roman" w:hAnsi="Times New Roman"/>
          <w:sz w:val="19"/>
          <w:szCs w:val="19"/>
          <w:color w:val="231F20"/>
        </w:rPr>
        <w:t xml:space="preserve">Credit Ratings </w:t>
      </w:r>
      <w:r>
        <w:rPr>
          <w:rFonts w:ascii="Times New Roman" w:cs="Times New Roman" w:eastAsia="Times New Roman" w:hAnsi="Times New Roman"/>
          <w:sz w:val="25"/>
          <w:szCs w:val="25"/>
          <w:color w:val="231F20"/>
          <w:vertAlign w:val="superscript"/>
        </w:rPr>
        <w:t>(1)</w:t>
      </w:r>
      <w:r>
        <w:rPr>
          <w:sz w:val="20"/>
          <w:szCs w:val="20"/>
          <w:color w:val="auto"/>
        </w:rPr>
        <w:tab/>
      </w:r>
      <w:r>
        <w:rPr>
          <w:rFonts w:ascii="Times New Roman" w:cs="Times New Roman" w:eastAsia="Times New Roman" w:hAnsi="Times New Roman"/>
          <w:sz w:val="19"/>
          <w:szCs w:val="19"/>
          <w:color w:val="231F20"/>
        </w:rPr>
        <w:t>BBB</w:t>
      </w:r>
      <w:r>
        <w:rPr>
          <w:sz w:val="20"/>
          <w:szCs w:val="20"/>
          <w:color w:val="auto"/>
        </w:rPr>
        <w:tab/>
      </w:r>
      <w:r>
        <w:rPr>
          <w:rFonts w:ascii="Times New Roman" w:cs="Times New Roman" w:eastAsia="Times New Roman" w:hAnsi="Times New Roman"/>
          <w:sz w:val="19"/>
          <w:szCs w:val="19"/>
          <w:color w:val="231F20"/>
        </w:rPr>
        <w:t>Baa2</w:t>
      </w:r>
      <w:r>
        <w:rPr>
          <w:sz w:val="20"/>
          <w:szCs w:val="20"/>
          <w:color w:val="auto"/>
        </w:rPr>
        <w:tab/>
      </w:r>
      <w:r>
        <w:rPr>
          <w:rFonts w:ascii="Times New Roman" w:cs="Times New Roman" w:eastAsia="Times New Roman" w:hAnsi="Times New Roman"/>
          <w:sz w:val="18"/>
          <w:szCs w:val="18"/>
          <w:color w:val="231F20"/>
        </w:rPr>
        <w:t>BBB</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vertAlign w:val="superscript"/>
        </w:rPr>
        <w:t>(1)</w:t>
      </w:r>
      <w:r>
        <w:rPr>
          <w:rFonts w:ascii="Times New Roman" w:cs="Times New Roman" w:eastAsia="Times New Roman" w:hAnsi="Times New Roman"/>
          <w:sz w:val="17"/>
          <w:szCs w:val="17"/>
          <w:color w:val="231F20"/>
        </w:rPr>
        <w:t xml:space="preserve"> Effective May 20, 2026</w:t>
      </w:r>
    </w:p>
    <w:p>
      <w:pPr>
        <w:spacing w:after="0" w:line="47" w:lineRule="exact"/>
        <w:rPr>
          <w:sz w:val="20"/>
          <w:szCs w:val="20"/>
          <w:color w:val="auto"/>
        </w:rPr>
      </w:pPr>
    </w:p>
    <w:p>
      <w:pPr>
        <w:ind w:right="40" w:firstLine="349"/>
        <w:spacing w:after="0" w:line="274" w:lineRule="auto"/>
        <w:rPr>
          <w:sz w:val="20"/>
          <w:szCs w:val="20"/>
          <w:color w:val="auto"/>
        </w:rPr>
      </w:pPr>
      <w:r>
        <w:rPr>
          <w:rFonts w:ascii="Times New Roman" w:cs="Times New Roman" w:eastAsia="Times New Roman" w:hAnsi="Times New Roman"/>
          <w:sz w:val="19"/>
          <w:szCs w:val="19"/>
          <w:color w:val="231F20"/>
        </w:rPr>
        <w:t>Each of the credit rating agencies reviews its rating periodically and there is no guarantee our current credit ratings will remain the same. If our credit ratings were lowered, our ability to access the debt markets, our cost of funds, and other terms for new debt issuances could be adversely impacted.</w:t>
      </w:r>
    </w:p>
    <w:p>
      <w:pPr>
        <w:sectPr>
          <w:pgSz w:w="11880" w:h="15480" w:orient="portrait"/>
          <w:cols w:equalWidth="0" w:num="1">
            <w:col w:w="9960"/>
          </w:cols>
          <w:pgMar w:left="960" w:top="825" w:right="960" w:bottom="0" w:gutter="0" w:footer="0" w:header="0"/>
          <w:type w:val="continuous"/>
        </w:sect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44</w:t>
      </w:r>
    </w:p>
    <w:p>
      <w:pPr>
        <w:sectPr>
          <w:pgSz w:w="11880" w:h="15480" w:orient="portrait"/>
          <w:cols w:equalWidth="0" w:num="1">
            <w:col w:w="9960"/>
          </w:cols>
          <w:pgMar w:left="960" w:top="825" w:right="960" w:bottom="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9"/>
          <w:szCs w:val="19"/>
          <w:b w:val="1"/>
          <w:bCs w:val="1"/>
          <w:color w:val="231F20"/>
        </w:rPr>
        <w:t>CRITICAL ACCOUNTING ESTIMATES AND ASSUMPTIONS</w:t>
      </w:r>
    </w:p>
    <w:p>
      <w:pPr>
        <w:spacing w:after="0" w:line="138" w:lineRule="exact"/>
        <w:rPr>
          <w:sz w:val="20"/>
          <w:szCs w:val="20"/>
          <w:color w:val="auto"/>
        </w:rPr>
      </w:pPr>
    </w:p>
    <w:p>
      <w:pPr>
        <w:jc w:val="both"/>
        <w:ind w:right="220" w:firstLine="349"/>
        <w:spacing w:after="0" w:line="274" w:lineRule="auto"/>
        <w:rPr>
          <w:sz w:val="20"/>
          <w:szCs w:val="20"/>
          <w:color w:val="auto"/>
        </w:rPr>
      </w:pPr>
      <w:r>
        <w:rPr>
          <w:rFonts w:ascii="Times New Roman" w:cs="Times New Roman" w:eastAsia="Times New Roman" w:hAnsi="Times New Roman"/>
          <w:sz w:val="19"/>
          <w:szCs w:val="19"/>
          <w:color w:val="231F20"/>
        </w:rPr>
        <w:t>The following subsections describe our most critical accounting estimates, and assumptions. Our accounting policies and recently issued accounting pronouncements are more fully described in Note 1 to our consolidated financial statements titled, "Nature of Operations and Summary of Significant Accounting Policies."</w:t>
      </w:r>
    </w:p>
    <w:p>
      <w:pPr>
        <w:spacing w:after="0" w:line="6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9"/>
          <w:szCs w:val="19"/>
          <w:b w:val="1"/>
          <w:bCs w:val="1"/>
          <w:color w:val="231F20"/>
        </w:rPr>
        <w:t xml:space="preserve">Estimates and Assumptions. </w:t>
      </w:r>
      <w:r>
        <w:rPr>
          <w:rFonts w:ascii="Times New Roman" w:cs="Times New Roman" w:eastAsia="Times New Roman" w:hAnsi="Times New Roman"/>
          <w:sz w:val="19"/>
          <w:szCs w:val="19"/>
          <w:color w:val="231F20"/>
        </w:rPr>
        <w:t>Our discussion and analysis of financial condition and results of operations is based on our</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consolidated financial statements that were prepared in accordance with United States generally accepted accounting principles. We make certain estimates and assumptions that we believe to be reasonable when preparing these financial statements. These estimates and assumptions involve judgments with respect to numerous factors that are difficult to predict and are beyond management’s control. As a result, actual amounts could be materially different from these estimates. We periodically review these critical accounting policies, estimates, assumptions, and the related disclosures with the Audit Committee of the Company’s Board of Directors.</w:t>
      </w:r>
    </w:p>
    <w:p>
      <w:pPr>
        <w:spacing w:after="0" w:line="7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b w:val="1"/>
          <w:bCs w:val="1"/>
          <w:color w:val="231F20"/>
        </w:rPr>
        <w:t xml:space="preserve">Revenue Recognition. </w:t>
      </w:r>
      <w:r>
        <w:rPr>
          <w:rFonts w:ascii="Times New Roman" w:cs="Times New Roman" w:eastAsia="Times New Roman" w:hAnsi="Times New Roman"/>
          <w:sz w:val="19"/>
          <w:szCs w:val="19"/>
          <w:color w:val="231F20"/>
        </w:rPr>
        <w:t>Revenue is recognized when obligations under the terms of the contract are satisfied and control of the</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promised products or services has transferred to the Customer. Revenues are measured at the amount of consideration that we expect to be paid in exchange for the products or services. Product revenues are recognized when control passes to the Customer, which is generally based on contract or shipping terms. Service revenues are recognized when the Customer benefits from the service, which occurs either upon completion of the service or as it is provided to the Customer. Our Customers include end users as well as dealers and distributors who market and sell our products. Our revenues are not contingent upon resale by the dealer or distributor, and we have no further obligations related to bringing about resale. Our standard return and restocking fee policies are applied to sales of products. Shipping and handling costs charged to Customers are included in Product revenues. The associated expenses are treated as fulfillment costs and are included in Cost of revenues. Revenues are reported net of sales and value-added taxes collected from Customers.</w:t>
      </w:r>
    </w:p>
    <w:p>
      <w:pPr>
        <w:spacing w:after="0" w:line="82" w:lineRule="exact"/>
        <w:rPr>
          <w:sz w:val="20"/>
          <w:szCs w:val="20"/>
          <w:color w:val="auto"/>
        </w:rPr>
      </w:pPr>
    </w:p>
    <w:p>
      <w:pPr>
        <w:ind w:right="60" w:firstLine="349"/>
        <w:spacing w:after="0" w:line="265" w:lineRule="auto"/>
        <w:rPr>
          <w:sz w:val="20"/>
          <w:szCs w:val="20"/>
          <w:color w:val="auto"/>
        </w:rPr>
      </w:pPr>
      <w:r>
        <w:rPr>
          <w:rFonts w:ascii="Times New Roman" w:cs="Times New Roman" w:eastAsia="Times New Roman" w:hAnsi="Times New Roman"/>
          <w:sz w:val="19"/>
          <w:szCs w:val="19"/>
          <w:color w:val="231F20"/>
        </w:rPr>
        <w:t>We have individual Customer contracts that offer discounted pricing. Dealers and distributors may be offered sales incentives in the form of rebates. We reduce revenues for discounts and estimated returns, rebates, and other similar allowances in the same period the related revenues are recorded. The reduction in revenues for these items is estimated based on historical experience and trend analysis to the extent that it is probable that a significant reversal of revenues will not occur. Estimated returns are recorded gross on the Consolidated Balance Sheets.</w:t>
      </w:r>
    </w:p>
    <w:p>
      <w:pPr>
        <w:spacing w:after="0" w:line="75" w:lineRule="exact"/>
        <w:rPr>
          <w:sz w:val="20"/>
          <w:szCs w:val="20"/>
          <w:color w:val="auto"/>
        </w:rPr>
      </w:pPr>
    </w:p>
    <w:p>
      <w:pPr>
        <w:ind w:right="140" w:firstLine="349"/>
        <w:spacing w:after="0" w:line="268" w:lineRule="auto"/>
        <w:rPr>
          <w:sz w:val="20"/>
          <w:szCs w:val="20"/>
          <w:color w:val="auto"/>
        </w:rPr>
      </w:pPr>
      <w:r>
        <w:rPr>
          <w:rFonts w:ascii="Times New Roman" w:cs="Times New Roman" w:eastAsia="Times New Roman" w:hAnsi="Times New Roman"/>
          <w:sz w:val="19"/>
          <w:szCs w:val="19"/>
          <w:color w:val="231F20"/>
        </w:rPr>
        <w:t>In transactions that contain multiple performance obligations, such as when products, maintenance services, and other services are combined, we recognize revenues as each product is delivered or service is provided to the Customer. We allocate the total arrangement consideration to each performance obligation based on its relative standalone selling price, which is the price for the product or service when it is sold separately.</w:t>
      </w:r>
    </w:p>
    <w:p>
      <w:pPr>
        <w:spacing w:after="0" w:line="72" w:lineRule="exact"/>
        <w:rPr>
          <w:sz w:val="20"/>
          <w:szCs w:val="20"/>
          <w:color w:val="auto"/>
        </w:rPr>
      </w:pPr>
    </w:p>
    <w:p>
      <w:pPr>
        <w:jc w:val="both"/>
        <w:ind w:right="380" w:firstLine="349"/>
        <w:spacing w:after="0" w:line="274" w:lineRule="auto"/>
        <w:rPr>
          <w:sz w:val="20"/>
          <w:szCs w:val="20"/>
          <w:color w:val="auto"/>
        </w:rPr>
      </w:pPr>
      <w:r>
        <w:rPr>
          <w:rFonts w:ascii="Times New Roman" w:cs="Times New Roman" w:eastAsia="Times New Roman" w:hAnsi="Times New Roman"/>
          <w:sz w:val="19"/>
          <w:szCs w:val="19"/>
          <w:color w:val="231F20"/>
        </w:rPr>
        <w:t>Payment terms vary by the type and location of the Customer and the products or services offered. Generally, the time between when revenues are recognized and when payment is due is not significant. We do not evaluate whether the selling price contains a financing component for contracts that have a duration of less than one year.</w:t>
      </w:r>
    </w:p>
    <w:p>
      <w:pPr>
        <w:spacing w:after="0" w:line="67" w:lineRule="exact"/>
        <w:rPr>
          <w:sz w:val="20"/>
          <w:szCs w:val="20"/>
          <w:color w:val="auto"/>
        </w:rPr>
      </w:pPr>
    </w:p>
    <w:p>
      <w:pPr>
        <w:ind w:right="120" w:firstLine="349"/>
        <w:spacing w:after="0" w:line="293" w:lineRule="auto"/>
        <w:rPr>
          <w:sz w:val="20"/>
          <w:szCs w:val="20"/>
          <w:color w:val="auto"/>
        </w:rPr>
      </w:pPr>
      <w:r>
        <w:rPr>
          <w:rFonts w:ascii="Times New Roman" w:cs="Times New Roman" w:eastAsia="Times New Roman" w:hAnsi="Times New Roman"/>
          <w:sz w:val="19"/>
          <w:szCs w:val="19"/>
          <w:color w:val="231F20"/>
        </w:rPr>
        <w:t>We do not capitalize sales commissions as substantially all of our sales commission programs have an amortization period of one year or less.</w:t>
      </w:r>
    </w:p>
    <w:p>
      <w:pPr>
        <w:spacing w:after="0" w:line="49" w:lineRule="exact"/>
        <w:rPr>
          <w:sz w:val="20"/>
          <w:szCs w:val="20"/>
          <w:color w:val="auto"/>
        </w:rPr>
      </w:pPr>
    </w:p>
    <w:p>
      <w:pPr>
        <w:ind w:right="40" w:firstLine="349"/>
        <w:spacing w:after="0" w:line="274" w:lineRule="auto"/>
        <w:rPr>
          <w:sz w:val="20"/>
          <w:szCs w:val="20"/>
          <w:color w:val="auto"/>
        </w:rPr>
      </w:pPr>
      <w:r>
        <w:rPr>
          <w:rFonts w:ascii="Times New Roman" w:cs="Times New Roman" w:eastAsia="Times New Roman" w:hAnsi="Times New Roman"/>
          <w:sz w:val="19"/>
          <w:szCs w:val="19"/>
          <w:color w:val="231F20"/>
        </w:rPr>
        <w:t>Certain costs to fulfill a contract are capitalized and amortized over the term of the contract if they are recoverable, directly related to a contract and generate resources that we will use to fulfill the contract in the future. At March 31, 2026, assets related to costs to fulfill a contract were not material to our consolidated financial statements.</w:t>
      </w:r>
    </w:p>
    <w:p>
      <w:pPr>
        <w:spacing w:after="0" w:line="63" w:lineRule="exact"/>
        <w:rPr>
          <w:sz w:val="20"/>
          <w:szCs w:val="20"/>
          <w:color w:val="auto"/>
        </w:rPr>
      </w:pPr>
    </w:p>
    <w:p>
      <w:pPr>
        <w:ind w:right="220"/>
        <w:spacing w:after="0" w:line="297" w:lineRule="auto"/>
        <w:rPr>
          <w:sz w:val="20"/>
          <w:szCs w:val="20"/>
          <w:color w:val="auto"/>
        </w:rPr>
      </w:pPr>
      <w:r>
        <w:rPr>
          <w:rFonts w:ascii="Times New Roman" w:cs="Times New Roman" w:eastAsia="Times New Roman" w:hAnsi="Times New Roman"/>
          <w:sz w:val="19"/>
          <w:szCs w:val="19"/>
          <w:b w:val="1"/>
          <w:bCs w:val="1"/>
          <w:color w:val="231F20"/>
        </w:rPr>
        <w:t xml:space="preserve">Inventories and Reserves. </w:t>
      </w:r>
      <w:r>
        <w:rPr>
          <w:rFonts w:ascii="Times New Roman" w:cs="Times New Roman" w:eastAsia="Times New Roman" w:hAnsi="Times New Roman"/>
          <w:sz w:val="19"/>
          <w:szCs w:val="19"/>
          <w:color w:val="231F20"/>
        </w:rPr>
        <w:t>Inventories are stated at the lower of their cost and net realizable value determined by the first-in,</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first-out cost method. Inventory costs include material, labor, and overhead.</w:t>
      </w:r>
    </w:p>
    <w:p>
      <w:pPr>
        <w:spacing w:after="0" w:line="45" w:lineRule="exact"/>
        <w:rPr>
          <w:sz w:val="20"/>
          <w:szCs w:val="20"/>
          <w:color w:val="auto"/>
        </w:rPr>
      </w:pPr>
    </w:p>
    <w:p>
      <w:pPr>
        <w:ind w:right="80" w:firstLine="349"/>
        <w:spacing w:after="0" w:line="268" w:lineRule="auto"/>
        <w:rPr>
          <w:sz w:val="20"/>
          <w:szCs w:val="20"/>
          <w:color w:val="auto"/>
        </w:rPr>
      </w:pPr>
      <w:r>
        <w:rPr>
          <w:rFonts w:ascii="Times New Roman" w:cs="Times New Roman" w:eastAsia="Times New Roman" w:hAnsi="Times New Roman"/>
          <w:sz w:val="19"/>
          <w:szCs w:val="19"/>
          <w:color w:val="231F20"/>
        </w:rPr>
        <w:t>We review inventory on an ongoing basis, considering factors such as deterioration and obsolescence. We record an allowance for estimated losses when the facts and circumstances indicate that particular inventories will not be usable. If future market conditions vary from those projected, and our estimates prove to be inaccurate, we may be required to write-down inventory values and record an adjustment to Cost of revenues.</w:t>
      </w:r>
    </w:p>
    <w:p>
      <w:pPr>
        <w:spacing w:after="0" w:line="68"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9"/>
          <w:szCs w:val="19"/>
          <w:b w:val="1"/>
          <w:bCs w:val="1"/>
          <w:color w:val="231F20"/>
        </w:rPr>
        <w:t xml:space="preserve">Asset Impairment Losses. </w:t>
      </w:r>
      <w:r>
        <w:rPr>
          <w:rFonts w:ascii="Times New Roman" w:cs="Times New Roman" w:eastAsia="Times New Roman" w:hAnsi="Times New Roman"/>
          <w:sz w:val="19"/>
          <w:szCs w:val="19"/>
          <w:color w:val="231F20"/>
        </w:rPr>
        <w:t>Property, plant, equipment, and identifiable intangible assets are reviewed for impairment when</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events and circumstances indicate that the carrying value of such assets may not be recoverable. Impaired assets are recorded at the lower of carrying value or estimated fair value. We conduct this review on an ongoing basis and, if impairment exists, we record the loss in the Consolidated Statements of Income during that period.</w:t>
      </w:r>
    </w:p>
    <w:p>
      <w:pPr>
        <w:spacing w:after="0" w:line="72" w:lineRule="exact"/>
        <w:rPr>
          <w:sz w:val="20"/>
          <w:szCs w:val="20"/>
          <w:color w:val="auto"/>
        </w:rPr>
      </w:pPr>
    </w:p>
    <w:p>
      <w:pPr>
        <w:ind w:right="140" w:firstLine="349"/>
        <w:spacing w:after="0" w:line="268" w:lineRule="auto"/>
        <w:rPr>
          <w:sz w:val="20"/>
          <w:szCs w:val="20"/>
          <w:color w:val="auto"/>
        </w:rPr>
      </w:pPr>
      <w:r>
        <w:rPr>
          <w:rFonts w:ascii="Times New Roman" w:cs="Times New Roman" w:eastAsia="Times New Roman" w:hAnsi="Times New Roman"/>
          <w:sz w:val="19"/>
          <w:szCs w:val="19"/>
          <w:color w:val="231F20"/>
        </w:rPr>
        <w:t>When we evaluate assets for impairment, we make certain judgments and estimates, including interpreting current economic indicators and market valuations, evaluating our strategic plans with regards to operations, historical and anticipated performance of operations, and other factors. If we incorrectly anticipate these factors, or unexpected events occur, our operating results could be materially affected.</w:t>
      </w:r>
    </w:p>
    <w:p>
      <w:pPr>
        <w:sectPr>
          <w:pgSz w:w="11880" w:h="15480" w:orient="portrait"/>
          <w:cols w:equalWidth="0" w:num="1">
            <w:col w:w="9960"/>
          </w:cols>
          <w:pgMar w:left="960" w:top="818" w:right="960" w:bottom="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45</w:t>
      </w:r>
    </w:p>
    <w:p>
      <w:pPr>
        <w:sectPr>
          <w:pgSz w:w="11880" w:h="15480" w:orient="portrait"/>
          <w:cols w:equalWidth="0" w:num="1">
            <w:col w:w="9960"/>
          </w:cols>
          <w:pgMar w:left="960" w:top="818" w:right="960" w:bottom="0" w:gutter="0" w:footer="0" w:header="0"/>
          <w:type w:val="continuous"/>
        </w:sectPr>
      </w:pPr>
    </w:p>
    <w:bookmarkStart w:id="46" w:name="page47"/>
    <w:bookmarkEnd w:id="46"/>
    <w:p>
      <w:pPr>
        <w:ind w:right="140"/>
        <w:spacing w:after="0" w:line="261" w:lineRule="auto"/>
        <w:rPr>
          <w:sz w:val="20"/>
          <w:szCs w:val="20"/>
          <w:color w:val="auto"/>
        </w:rPr>
      </w:pPr>
      <w:r>
        <w:rPr>
          <w:rFonts w:ascii="Times New Roman" w:cs="Times New Roman" w:eastAsia="Times New Roman" w:hAnsi="Times New Roman"/>
          <w:sz w:val="19"/>
          <w:szCs w:val="19"/>
          <w:b w:val="1"/>
          <w:bCs w:val="1"/>
          <w:color w:val="231F20"/>
        </w:rPr>
        <w:t xml:space="preserve">Purchase Accounting and Goodwill. </w:t>
      </w:r>
      <w:r>
        <w:rPr>
          <w:rFonts w:ascii="Times New Roman" w:cs="Times New Roman" w:eastAsia="Times New Roman" w:hAnsi="Times New Roman"/>
          <w:sz w:val="19"/>
          <w:szCs w:val="19"/>
          <w:color w:val="231F20"/>
        </w:rPr>
        <w:t>Assets and liabilities of the business acquired are accounted for at their estimated fair</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values as of the acquisition date. Any excess of the cost of the acquisition over the fair value of the net tangible and intangible assets acquired is recorded as goodwill. We supplement management expertise with valuation specialists in performing appraisals to assist us in determining the fair values of assets acquired and liabilities assumed. These valuations require us to make estimates and assumptions, especially with respect to intangible assets. We generally amortize our intangible assets over their estimated useful lives with the exception of indefinite lived intangible assets. We do not amortize goodwill, but we evaluate it annually for impairment. Therefore, the allocation of the purchase price to intangible assets and goodwill has a significant impact on future operating results.</w:t>
      </w:r>
    </w:p>
    <w:p>
      <w:pPr>
        <w:spacing w:after="0" w:line="82" w:lineRule="exact"/>
        <w:rPr>
          <w:sz w:val="20"/>
          <w:szCs w:val="20"/>
          <w:color w:val="auto"/>
        </w:rPr>
      </w:pPr>
    </w:p>
    <w:p>
      <w:pPr>
        <w:ind w:right="40" w:firstLine="349"/>
        <w:spacing w:after="0" w:line="260" w:lineRule="auto"/>
        <w:rPr>
          <w:sz w:val="20"/>
          <w:szCs w:val="20"/>
          <w:color w:val="auto"/>
        </w:rPr>
      </w:pPr>
      <w:r>
        <w:rPr>
          <w:rFonts w:ascii="Times New Roman" w:cs="Times New Roman" w:eastAsia="Times New Roman" w:hAnsi="Times New Roman"/>
          <w:sz w:val="19"/>
          <w:szCs w:val="19"/>
          <w:color w:val="231F20"/>
        </w:rPr>
        <w:t>We evaluate the recoverability of recorded goodwill amounts annually, or when evidence of potential impairment exists. We may consider qualitative indicators of the fair value of a reporting unit when it is unlikely that a reporting unit has impaired goodwill. We may also utilize a discounted cash flow analysis that requires certain assumptions and estimates be made regarding market conditions and our future profitability. In those circumstances, we test goodwill for impairment by reviewing the book value compared to the fair value at the reporting unit level. We calculate the fair value of our reporting units based on the present value of estimated future cash flows. Management's judgment is necessary to evaluate the impact of operating and macroeconomic changes and to estimate future cash flows to measure fair value. Assumptions used in our impairment evaluations, such as forecasted growth rates and cost of capital, are consistent with internal projections and operating plans. We believe such assumptions and estimates are also comparable to those that would be used by other marketplace participants.</w:t>
      </w:r>
    </w:p>
    <w:p>
      <w:pPr>
        <w:spacing w:after="0" w:line="82" w:lineRule="exact"/>
        <w:rPr>
          <w:sz w:val="20"/>
          <w:szCs w:val="20"/>
          <w:color w:val="auto"/>
        </w:rPr>
      </w:pPr>
    </w:p>
    <w:p>
      <w:pPr>
        <w:ind w:right="60" w:firstLine="349"/>
        <w:spacing w:after="0" w:line="274" w:lineRule="auto"/>
        <w:rPr>
          <w:sz w:val="20"/>
          <w:szCs w:val="20"/>
          <w:color w:val="auto"/>
        </w:rPr>
      </w:pPr>
      <w:r>
        <w:rPr>
          <w:rFonts w:ascii="Times New Roman" w:cs="Times New Roman" w:eastAsia="Times New Roman" w:hAnsi="Times New Roman"/>
          <w:sz w:val="19"/>
          <w:szCs w:val="19"/>
          <w:color w:val="231F20"/>
        </w:rPr>
        <w:t>We evaluate indefinite lived intangible assets annually, or when evidence of potential impairment exists. We evaluate several qualitative indicators and assumptions, and trends that influence the valuation of the assets to determine if any evidence of potential impairment exists.</w:t>
      </w:r>
    </w:p>
    <w:p>
      <w:pPr>
        <w:spacing w:after="0" w:line="6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9"/>
          <w:szCs w:val="19"/>
          <w:b w:val="1"/>
          <w:bCs w:val="1"/>
          <w:color w:val="231F20"/>
        </w:rPr>
        <w:t xml:space="preserve">Income Taxes. </w:t>
      </w:r>
      <w:r>
        <w:rPr>
          <w:rFonts w:ascii="Times New Roman" w:cs="Times New Roman" w:eastAsia="Times New Roman" w:hAnsi="Times New Roman"/>
          <w:sz w:val="19"/>
          <w:szCs w:val="19"/>
          <w:color w:val="231F20"/>
        </w:rPr>
        <w:t>Our provision for income taxes is based on our current period income, changes in deferred income tax assets</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and liabilities, income tax rates, changes in uncertain tax benefits, and tax planning opportunities available to us in the various jurisdictions in which we operate. Tax laws are complex and subject to different interpretations by the taxpayer and the respective governmental taxing authorities. We use judgment in determining our annual effective income tax rate and evaluating our tax positions. We prepare and file tax returns based on our interpretation of tax laws and regulations, and we record estimates based on these judgments and interpretations. We cannot be sure that the tax authorities will agree with all of the tax positions taken by us. The actual income tax liability for each jurisdiction in any year can, in some instances, ultimately be determined several years after the tax return is filed and the financial statements are published.</w:t>
      </w:r>
    </w:p>
    <w:p>
      <w:pPr>
        <w:spacing w:after="0" w:line="82" w:lineRule="exact"/>
        <w:rPr>
          <w:sz w:val="20"/>
          <w:szCs w:val="20"/>
          <w:color w:val="auto"/>
        </w:rPr>
      </w:pPr>
    </w:p>
    <w:p>
      <w:pPr>
        <w:ind w:right="100" w:firstLine="349"/>
        <w:spacing w:after="0" w:line="259" w:lineRule="auto"/>
        <w:rPr>
          <w:sz w:val="20"/>
          <w:szCs w:val="20"/>
          <w:color w:val="auto"/>
        </w:rPr>
      </w:pPr>
      <w:r>
        <w:rPr>
          <w:rFonts w:ascii="Times New Roman" w:cs="Times New Roman" w:eastAsia="Times New Roman" w:hAnsi="Times New Roman"/>
          <w:sz w:val="19"/>
          <w:szCs w:val="19"/>
          <w:color w:val="231F20"/>
        </w:rPr>
        <w:t>We evaluate our tax positions using the recognition threshold and measurement attribute in accordance with current accounting guidance. We determine whether it is more-likely-than-not that a tax position will be sustained upon examination, including resolution of related appeals or litigation processes, based on the technical merits of the position. In evaluating whether a tax position has met the more-likely-than-not recognition threshold, we presume that the position will be examined by the appropriate taxing authority and that the taxing authority will have full knowledge of all relevant information. A tax position that meets the more-likely-than-not recognition threshold is measured at the largest amount of benefit that is greater than 50 percent likely of being realized upon ultimate settlement. The appropriate unit of account for determining what constitutes an individual tax position, and whether the more-likely-than-not recognition threshold is met for a tax position, is a matter of judgment based on the individual facts and circumstances of that position evaluated in light of all available evidence. We review and adjust our tax estimates periodically because of ongoing examinations by and settlements with the various taxing authorities, as well as changes in tax laws, regulations and precedent.</w:t>
      </w:r>
    </w:p>
    <w:p>
      <w:pPr>
        <w:spacing w:after="0" w:line="84" w:lineRule="exact"/>
        <w:rPr>
          <w:sz w:val="20"/>
          <w:szCs w:val="20"/>
          <w:color w:val="auto"/>
        </w:rPr>
      </w:pPr>
    </w:p>
    <w:p>
      <w:pPr>
        <w:ind w:firstLine="349"/>
        <w:spacing w:after="0" w:line="261" w:lineRule="auto"/>
        <w:rPr>
          <w:sz w:val="20"/>
          <w:szCs w:val="20"/>
          <w:color w:val="auto"/>
        </w:rPr>
      </w:pPr>
      <w:r>
        <w:rPr>
          <w:rFonts w:ascii="Times New Roman" w:cs="Times New Roman" w:eastAsia="Times New Roman" w:hAnsi="Times New Roman"/>
          <w:sz w:val="19"/>
          <w:szCs w:val="19"/>
          <w:color w:val="231F20"/>
        </w:rPr>
        <w:t>We recognize deferred tax assets and liabilities based on the differences between the financial statement carrying amounts and the tax basis of assets and liabilities. We regularly review our deferred tax assets for recoverability and establish a valuation allowance based on historical taxable income, projected future taxable income, the expected timing of the reversals of existing temporary differences, and the implementation of tax planning strategies. If we are unable to generate sufficient future taxable income in certain tax jurisdictions, or if there is a material change in the effective income tax rates or time period within which the underlying temporary differences become taxable or deductible, we could be required to increase our valuation allowance, which would increase our effective income tax rate and could result in an adverse impact on our consolidated financial position, results of operations, or cash flows.</w:t>
      </w:r>
    </w:p>
    <w:p>
      <w:pPr>
        <w:spacing w:after="0" w:line="79" w:lineRule="exact"/>
        <w:rPr>
          <w:sz w:val="20"/>
          <w:szCs w:val="20"/>
          <w:color w:val="auto"/>
        </w:rPr>
      </w:pPr>
    </w:p>
    <w:p>
      <w:pPr>
        <w:ind w:firstLine="349"/>
        <w:spacing w:after="0" w:line="268" w:lineRule="auto"/>
        <w:rPr>
          <w:sz w:val="20"/>
          <w:szCs w:val="20"/>
          <w:color w:val="auto"/>
        </w:rPr>
      </w:pPr>
      <w:r>
        <w:rPr>
          <w:rFonts w:ascii="Times New Roman" w:cs="Times New Roman" w:eastAsia="Times New Roman" w:hAnsi="Times New Roman"/>
          <w:sz w:val="19"/>
          <w:szCs w:val="19"/>
          <w:color w:val="231F20"/>
        </w:rPr>
        <w:t>We believe that adequate accruals have been made for income taxes. Differences between the estimated and actual amounts determined upon ultimate resolution, individually or in the aggregate, are not expected to have a material adverse effect on our consolidated financial position, but could possibly be material to our consolidated results of operations or cash flows for any one period.</w:t>
      </w:r>
    </w:p>
    <w:p>
      <w:pPr>
        <w:spacing w:after="0" w:line="72" w:lineRule="exact"/>
        <w:rPr>
          <w:sz w:val="20"/>
          <w:szCs w:val="20"/>
          <w:color w:val="auto"/>
        </w:rPr>
      </w:pPr>
    </w:p>
    <w:p>
      <w:pPr>
        <w:ind w:right="560" w:firstLine="349"/>
        <w:spacing w:after="0" w:line="293" w:lineRule="auto"/>
        <w:rPr>
          <w:sz w:val="20"/>
          <w:szCs w:val="20"/>
          <w:color w:val="auto"/>
        </w:rPr>
      </w:pPr>
      <w:r>
        <w:rPr>
          <w:rFonts w:ascii="Times New Roman" w:cs="Times New Roman" w:eastAsia="Times New Roman" w:hAnsi="Times New Roman"/>
          <w:sz w:val="19"/>
          <w:szCs w:val="19"/>
          <w:color w:val="231F20"/>
        </w:rPr>
        <w:t>Additional information regarding income taxes is included in Note 10 to our consolidated financial statements titled, “Income Taxes.”</w:t>
      </w:r>
    </w:p>
    <w:p>
      <w:pPr>
        <w:sectPr>
          <w:pgSz w:w="11880" w:h="15480" w:orient="portrait"/>
          <w:cols w:equalWidth="0" w:num="1">
            <w:col w:w="9940"/>
          </w:cols>
          <w:pgMar w:left="960" w:top="82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46</w:t>
      </w:r>
    </w:p>
    <w:p>
      <w:pPr>
        <w:sectPr>
          <w:pgSz w:w="11880" w:h="15480" w:orient="portrait"/>
          <w:cols w:equalWidth="0" w:num="1">
            <w:col w:w="9940"/>
          </w:cols>
          <w:pgMar w:left="960" w:top="821" w:right="980" w:bottom="0" w:gutter="0" w:footer="0" w:header="0"/>
          <w:type w:val="continuous"/>
        </w:sectPr>
      </w:pPr>
    </w:p>
    <w:bookmarkStart w:id="47" w:name="page48"/>
    <w:bookmarkEnd w:id="47"/>
    <w:p>
      <w:pPr>
        <w:ind w:right="20"/>
        <w:spacing w:after="0" w:line="260" w:lineRule="auto"/>
        <w:rPr>
          <w:sz w:val="20"/>
          <w:szCs w:val="20"/>
          <w:color w:val="auto"/>
        </w:rPr>
      </w:pPr>
      <w:r>
        <w:rPr>
          <w:rFonts w:ascii="Times New Roman" w:cs="Times New Roman" w:eastAsia="Times New Roman" w:hAnsi="Times New Roman"/>
          <w:sz w:val="19"/>
          <w:szCs w:val="19"/>
          <w:b w:val="1"/>
          <w:bCs w:val="1"/>
          <w:color w:val="231F20"/>
        </w:rPr>
        <w:t xml:space="preserve">Contingencies. </w:t>
      </w:r>
      <w:r>
        <w:rPr>
          <w:rFonts w:ascii="Times New Roman" w:cs="Times New Roman" w:eastAsia="Times New Roman" w:hAnsi="Times New Roman"/>
          <w:sz w:val="19"/>
          <w:szCs w:val="19"/>
          <w:color w:val="231F20"/>
        </w:rPr>
        <w:t>We are, and will likely continue to be, involved in a number of legal proceedings, government investigations,</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and claims, which we believe generally arise in the course of our business, given our size, history, complexity, and the nature of our business, products, Customers, regulatory environment, and industries in which we participate. These legal proceedings, investigations and claims generally involve a variety of legal theories and allegations, including, without limitation, personal injury (e.g., slip and falls, burns, vehicle accidents), product liability or regulation (e.g., based on product operation or claimed malfunction, failure to warn, failure to meet specification, or failure to comply with regulatory requirements), product exposure (e.g., claimed exposure to chemicals, gases, asbestos, contaminants, radiation), property damage (e.g., claimed damage due to leaking equipment, fire, vehicles, chemicals), commercial claims (e.g., breach of contract, economic loss, warranty, misrepresentation), financial (e.g., taxes, reporting), employment (e.g., wrongful termination, discrimination, benefits matters), and other claims for damage and relief.</w:t>
      </w:r>
    </w:p>
    <w:p>
      <w:pPr>
        <w:spacing w:after="0" w:line="82" w:lineRule="exact"/>
        <w:rPr>
          <w:sz w:val="20"/>
          <w:szCs w:val="20"/>
          <w:color w:val="auto"/>
        </w:rPr>
      </w:pPr>
    </w:p>
    <w:p>
      <w:pPr>
        <w:ind w:firstLine="349"/>
        <w:spacing w:after="0" w:line="258" w:lineRule="auto"/>
        <w:rPr>
          <w:sz w:val="20"/>
          <w:szCs w:val="20"/>
          <w:color w:val="auto"/>
        </w:rPr>
      </w:pPr>
      <w:r>
        <w:rPr>
          <w:rFonts w:ascii="Times New Roman" w:cs="Times New Roman" w:eastAsia="Times New Roman" w:hAnsi="Times New Roman"/>
          <w:sz w:val="19"/>
          <w:szCs w:val="19"/>
          <w:color w:val="231F20"/>
        </w:rPr>
        <w:t>We record a liability for such contingencies to the extent we conclude that their occurrence is both probable and estimable and believe we have adequately reserved for our current litigation and claims that are probable and estimable. In the event that the estimate of a probable loss is a range and no amount within the range is more likely, we accrue the minimum amount of the range. We consider many factors in making these assessments, including the professional judgment of experienced members of management and our legal counsel. We have made estimates as to the likelihood of unfavorable outcomes and the amounts of such potential losses. Further, we believe that the ultimate outcome of pending lawsuits and claims will not have a material adverse effect on our consolidated financial position or results of operations taken as a whole. Due to their inherent uncertainty, however, there can be no assurance of the ultimate outcome or effect of current or future litigation, investigations, claims or other proceedings. For certain types of claims, we presently maintain insurance coverage for personal injury and property damage and other liability coverages in amounts and with deductibles that we believe are prudent, and we may also have contractual indemnification rights against certain liabilities, but there can be no assurance that either will be applicable or adequate to cover adverse outcomes of claims or legal proceedings against us. We record expected recoveries under applicable contracts when we are assured of recovery. Additional information regarding our commitments and contingencies is included in Note 12 to our consolidated financial statements titled, "Commitments and Contingencies."</w:t>
      </w:r>
    </w:p>
    <w:p>
      <w:pPr>
        <w:spacing w:after="0" w:line="88" w:lineRule="exact"/>
        <w:rPr>
          <w:sz w:val="20"/>
          <w:szCs w:val="20"/>
          <w:color w:val="auto"/>
        </w:rPr>
      </w:pPr>
    </w:p>
    <w:p>
      <w:pPr>
        <w:ind w:right="20" w:firstLine="349"/>
        <w:spacing w:after="0" w:line="268" w:lineRule="auto"/>
        <w:rPr>
          <w:sz w:val="20"/>
          <w:szCs w:val="20"/>
          <w:color w:val="auto"/>
        </w:rPr>
      </w:pPr>
      <w:r>
        <w:rPr>
          <w:rFonts w:ascii="Times New Roman" w:cs="Times New Roman" w:eastAsia="Times New Roman" w:hAnsi="Times New Roman"/>
          <w:sz w:val="19"/>
          <w:szCs w:val="19"/>
          <w:color w:val="231F20"/>
        </w:rPr>
        <w:t>We are subject to taxation from United States federal, state and local, and foreign jurisdictions. Tax positions are settled primarily through the completion of audits within each individual jurisdiction or the closing of statutes of limitation. Changes in applicable tax law or other events may also require us to revise past estimates. We describe income taxes further in Note 10 to our consolidated financial statements titled, “Income Taxes” in this Annual Report on Form 10-K.</w:t>
      </w:r>
    </w:p>
    <w:p>
      <w:pPr>
        <w:spacing w:after="0" w:line="68" w:lineRule="exact"/>
        <w:rPr>
          <w:sz w:val="20"/>
          <w:szCs w:val="20"/>
          <w:color w:val="auto"/>
        </w:rPr>
      </w:pPr>
    </w:p>
    <w:p>
      <w:pPr>
        <w:ind w:right="420"/>
        <w:spacing w:after="0" w:line="276" w:lineRule="auto"/>
        <w:rPr>
          <w:sz w:val="20"/>
          <w:szCs w:val="20"/>
          <w:color w:val="auto"/>
        </w:rPr>
      </w:pPr>
      <w:r>
        <w:rPr>
          <w:rFonts w:ascii="Times New Roman" w:cs="Times New Roman" w:eastAsia="Times New Roman" w:hAnsi="Times New Roman"/>
          <w:sz w:val="19"/>
          <w:szCs w:val="19"/>
          <w:b w:val="1"/>
          <w:bCs w:val="1"/>
          <w:color w:val="231F20"/>
        </w:rPr>
        <w:t xml:space="preserve">Benefit Plans. </w:t>
      </w:r>
      <w:r>
        <w:rPr>
          <w:rFonts w:ascii="Times New Roman" w:cs="Times New Roman" w:eastAsia="Times New Roman" w:hAnsi="Times New Roman"/>
          <w:sz w:val="19"/>
          <w:szCs w:val="19"/>
          <w:color w:val="231F20"/>
        </w:rPr>
        <w:t>We provide defined benefit pension plans for certain employees and retirees. In addition, we sponsor an</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unfunded post-retirement benefits plan for two groups of United States retirees. Benefits under this plan include retiree life insurance and retiree medical insurance, including prescription drug coverage.</w:t>
      </w:r>
    </w:p>
    <w:p>
      <w:pPr>
        <w:spacing w:after="0" w:line="65" w:lineRule="exact"/>
        <w:rPr>
          <w:sz w:val="20"/>
          <w:szCs w:val="20"/>
          <w:color w:val="auto"/>
        </w:rPr>
      </w:pPr>
    </w:p>
    <w:p>
      <w:pPr>
        <w:ind w:right="80" w:firstLine="349"/>
        <w:spacing w:after="0" w:line="262" w:lineRule="auto"/>
        <w:rPr>
          <w:sz w:val="20"/>
          <w:szCs w:val="20"/>
          <w:color w:val="auto"/>
        </w:rPr>
      </w:pPr>
      <w:r>
        <w:rPr>
          <w:rFonts w:ascii="Times New Roman" w:cs="Times New Roman" w:eastAsia="Times New Roman" w:hAnsi="Times New Roman"/>
          <w:sz w:val="19"/>
          <w:szCs w:val="19"/>
          <w:color w:val="231F20"/>
        </w:rPr>
        <w:t>Employee pension and post-retirement benefits plans are a cost of conducting business and represent obligations that will be settled in the future and therefore, require us to use estimates and make certain assumptions to calculate the expense and liabilities related to the plans. Changes to these estimates and assumptions can result in different expense and liability amounts. Future actual experience may be significantly different from our current expectations. We believe that the most critical assumptions used to determine net periodic benefit costs and projected benefit obligations are the expected long-term rate of return on plan assets and the discount rate. A summary of significant assumptions used to determine the March 31, 2026 projected benefit obligations and the fiscal 2026 net periodic benefit costs is as follows:</w:t>
      </w:r>
    </w:p>
    <w:p>
      <w:pPr>
        <w:sectPr>
          <w:pgSz w:w="11880" w:h="15480" w:orient="portrait"/>
          <w:cols w:equalWidth="0" w:num="1">
            <w:col w:w="9960"/>
          </w:cols>
          <w:pgMar w:left="960" w:top="82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231F20"/>
        </w:rPr>
        <w:t>Funding Status</w:t>
      </w:r>
    </w:p>
    <w:p>
      <w:pPr>
        <w:spacing w:after="0" w:line="81" w:lineRule="exact"/>
        <w:rPr>
          <w:sz w:val="20"/>
          <w:szCs w:val="20"/>
          <w:color w:val="auto"/>
        </w:rPr>
      </w:pPr>
    </w:p>
    <w:p>
      <w:pPr>
        <w:ind w:left="60" w:right="420"/>
        <w:spacing w:after="0" w:line="253" w:lineRule="auto"/>
        <w:rPr>
          <w:sz w:val="20"/>
          <w:szCs w:val="20"/>
          <w:color w:val="auto"/>
        </w:rPr>
      </w:pPr>
      <w:r>
        <w:rPr>
          <w:rFonts w:ascii="Times New Roman" w:cs="Times New Roman" w:eastAsia="Times New Roman" w:hAnsi="Times New Roman"/>
          <w:sz w:val="17"/>
          <w:szCs w:val="17"/>
          <w:color w:val="231F20"/>
        </w:rPr>
        <w:t>Assumptions used to determine March 31, 2026</w:t>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231F20"/>
        </w:rPr>
        <w:t>Benefit obligations:</w:t>
      </w:r>
    </w:p>
    <w:p>
      <w:pPr>
        <w:spacing w:after="0" w:line="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231F20"/>
        </w:rPr>
        <w:t>Discount rate</w:t>
      </w:r>
    </w:p>
    <w:p>
      <w:pPr>
        <w:spacing w:after="0" w:line="81" w:lineRule="exact"/>
        <w:rPr>
          <w:sz w:val="20"/>
          <w:szCs w:val="20"/>
          <w:color w:val="auto"/>
        </w:rPr>
      </w:pPr>
    </w:p>
    <w:p>
      <w:pPr>
        <w:ind w:left="60"/>
        <w:spacing w:after="0" w:line="253" w:lineRule="auto"/>
        <w:rPr>
          <w:sz w:val="20"/>
          <w:szCs w:val="20"/>
          <w:color w:val="auto"/>
        </w:rPr>
      </w:pPr>
      <w:r>
        <w:rPr>
          <w:rFonts w:ascii="Times New Roman" w:cs="Times New Roman" w:eastAsia="Times New Roman" w:hAnsi="Times New Roman"/>
          <w:sz w:val="17"/>
          <w:szCs w:val="17"/>
          <w:color w:val="231F20"/>
        </w:rPr>
        <w:t>Assumptions used to determine fiscal 2026</w:t>
      </w:r>
    </w:p>
    <w:p>
      <w:pPr>
        <w:spacing w:after="0" w:line="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231F20"/>
        </w:rPr>
        <w:t>Net periodic benefit costs:</w:t>
      </w:r>
    </w:p>
    <w:p>
      <w:pPr>
        <w:spacing w:after="0" w:line="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231F20"/>
        </w:rPr>
        <w:t>Discount rate</w:t>
      </w:r>
    </w:p>
    <w:p>
      <w:pPr>
        <w:spacing w:after="0" w:line="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231F20"/>
        </w:rPr>
        <w:t>Expected return on plan assets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NA – 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231F20"/>
              </w:rPr>
              <w:t>Synergy</w:t>
            </w:r>
          </w:p>
        </w:tc>
        <w:tc>
          <w:tcPr>
            <w:tcW w:w="9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231F20"/>
              </w:rPr>
              <w:t>Synergy</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231F20"/>
              </w:rPr>
              <w:t>Synergy</w:t>
            </w: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231F20"/>
              </w:rPr>
              <w:t>Synergy</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231F20"/>
              </w:rPr>
              <w:t>Harwell</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231F20"/>
              </w:rPr>
              <w:t>U.S. Post-</w:t>
            </w:r>
          </w:p>
        </w:tc>
        <w:tc>
          <w:tcPr>
            <w:tcW w:w="0" w:type="dxa"/>
            <w:vAlign w:val="bottom"/>
          </w:tcPr>
          <w:p>
            <w:pPr>
              <w:spacing w:after="0"/>
              <w:rPr>
                <w:sz w:val="1"/>
                <w:szCs w:val="1"/>
                <w:color w:val="auto"/>
              </w:rPr>
            </w:pPr>
          </w:p>
        </w:tc>
      </w:tr>
      <w:tr>
        <w:trPr>
          <w:trHeight w:val="175"/>
        </w:trPr>
        <w:tc>
          <w:tcPr>
            <w:tcW w:w="940" w:type="dxa"/>
            <w:vAlign w:val="bottom"/>
            <w:vMerge w:val="continue"/>
          </w:tcPr>
          <w:p>
            <w:pPr>
              <w:spacing w:after="0"/>
              <w:rPr>
                <w:sz w:val="15"/>
                <w:szCs w:val="15"/>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231F20"/>
              </w:rPr>
              <w:t>Isotron BV</w:t>
            </w:r>
          </w:p>
        </w:tc>
        <w:tc>
          <w:tcPr>
            <w:tcW w:w="104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color w:val="231F20"/>
              </w:rPr>
              <w:t>Health</w:t>
            </w:r>
          </w:p>
        </w:tc>
        <w:tc>
          <w:tcPr>
            <w:tcW w:w="90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color w:val="231F20"/>
              </w:rPr>
              <w:t>Health</w:t>
            </w:r>
          </w:p>
        </w:tc>
        <w:tc>
          <w:tcPr>
            <w:tcW w:w="108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color w:val="231F20"/>
              </w:rPr>
              <w:t>Health</w:t>
            </w:r>
          </w:p>
        </w:tc>
        <w:tc>
          <w:tcPr>
            <w:tcW w:w="98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color w:val="231F20"/>
              </w:rPr>
              <w:t>Dosimeters</w:t>
            </w:r>
          </w:p>
        </w:tc>
        <w:tc>
          <w:tcPr>
            <w:tcW w:w="116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color w:val="231F20"/>
              </w:rPr>
              <w:t>Retirement</w:t>
            </w:r>
          </w:p>
        </w:tc>
        <w:tc>
          <w:tcPr>
            <w:tcW w:w="0" w:type="dxa"/>
            <w:vAlign w:val="bottom"/>
          </w:tcPr>
          <w:p>
            <w:pPr>
              <w:spacing w:after="0"/>
              <w:rPr>
                <w:sz w:val="1"/>
                <w:szCs w:val="1"/>
                <w:color w:val="auto"/>
              </w:rPr>
            </w:pPr>
          </w:p>
        </w:tc>
      </w:tr>
      <w:tr>
        <w:trPr>
          <w:trHeight w:val="231"/>
        </w:trPr>
        <w:tc>
          <w:tcPr>
            <w:tcW w:w="9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7"/>
                <w:szCs w:val="17"/>
                <w:color w:val="231F20"/>
              </w:rPr>
              <w:t>Health plc</w:t>
            </w:r>
          </w:p>
        </w:tc>
        <w:tc>
          <w:tcPr>
            <w:tcW w:w="960" w:type="dxa"/>
            <w:vAlign w:val="bottom"/>
            <w:tcBorders>
              <w:bottom w:val="single" w:sz="8" w:color="231F20"/>
            </w:tcBorders>
            <w:vMerge w:val="continue"/>
          </w:tcPr>
          <w:p>
            <w:pPr>
              <w:spacing w:after="0"/>
              <w:rPr>
                <w:sz w:val="20"/>
                <w:szCs w:val="20"/>
                <w:color w:val="auto"/>
              </w:rPr>
            </w:pPr>
          </w:p>
        </w:tc>
        <w:tc>
          <w:tcPr>
            <w:tcW w:w="10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7"/>
                <w:szCs w:val="17"/>
                <w:color w:val="231F20"/>
              </w:rPr>
              <w:t>Daniken AG</w:t>
            </w:r>
          </w:p>
        </w:tc>
        <w:tc>
          <w:tcPr>
            <w:tcW w:w="9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7"/>
                <w:szCs w:val="17"/>
                <w:color w:val="231F20"/>
              </w:rPr>
              <w:t>Radeberg</w:t>
            </w:r>
          </w:p>
        </w:tc>
        <w:tc>
          <w:tcPr>
            <w:tcW w:w="10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7"/>
                <w:szCs w:val="17"/>
                <w:color w:val="231F20"/>
              </w:rPr>
              <w:t>Allershausen</w:t>
            </w:r>
          </w:p>
        </w:tc>
        <w:tc>
          <w:tcPr>
            <w:tcW w:w="9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7"/>
                <w:szCs w:val="17"/>
                <w:color w:val="231F20"/>
              </w:rPr>
              <w:t>Ltd</w:t>
            </w:r>
          </w:p>
        </w:tc>
        <w:tc>
          <w:tcPr>
            <w:tcW w:w="11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7"/>
                <w:szCs w:val="17"/>
                <w:color w:val="231F20"/>
              </w:rPr>
              <w:t>Benefits Plan</w:t>
            </w:r>
          </w:p>
        </w:tc>
        <w:tc>
          <w:tcPr>
            <w:tcW w:w="0" w:type="dxa"/>
            <w:vAlign w:val="bottom"/>
          </w:tcPr>
          <w:p>
            <w:pPr>
              <w:spacing w:after="0"/>
              <w:rPr>
                <w:sz w:val="1"/>
                <w:szCs w:val="1"/>
                <w:color w:val="auto"/>
              </w:rPr>
            </w:pPr>
          </w:p>
        </w:tc>
      </w:tr>
      <w:tr>
        <w:trPr>
          <w:trHeight w:val="252"/>
        </w:trPr>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231F20"/>
              </w:rPr>
              <w:t>Funded</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231F20"/>
              </w:rPr>
              <w:t>Funded</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231F20"/>
              </w:rPr>
              <w:t>Unfunded</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231F20"/>
              </w:rPr>
              <w:t>Unfunded</w:t>
            </w: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231F20"/>
              </w:rPr>
              <w:t>Unfunded</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231F20"/>
              </w:rPr>
              <w:t>Funded</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231F20"/>
              </w:rPr>
              <w:t>Unfunded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5820" w:type="dxa"/>
            <w:vAlign w:val="bottom"/>
          </w:tcPr>
          <w:p>
            <w:pPr>
              <w:jc w:val="right"/>
              <w:ind w:right="272"/>
              <w:spacing w:after="0"/>
              <w:rPr>
                <w:sz w:val="20"/>
                <w:szCs w:val="20"/>
                <w:color w:val="auto"/>
              </w:rPr>
            </w:pPr>
            <w:r>
              <w:rPr>
                <w:rFonts w:ascii="Times New Roman" w:cs="Times New Roman" w:eastAsia="Times New Roman" w:hAnsi="Times New Roman"/>
                <w:sz w:val="17"/>
                <w:szCs w:val="17"/>
                <w:b w:val="1"/>
                <w:bCs w:val="1"/>
                <w:color w:val="231F20"/>
              </w:rPr>
              <w:t>6.10 %4.30 %1.20 %3.80 %3.01 %5.85 %</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rPr>
              <w:t>5.00 %</w:t>
            </w: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780" w:type="dxa"/>
            <w:vAlign w:val="bottom"/>
          </w:tcPr>
          <w:p>
            <w:pPr>
              <w:jc w:val="right"/>
              <w:ind w:right="153"/>
              <w:spacing w:after="0"/>
              <w:rPr>
                <w:sz w:val="20"/>
                <w:szCs w:val="20"/>
                <w:color w:val="auto"/>
              </w:rPr>
            </w:pPr>
            <w:r>
              <w:rPr>
                <w:rFonts w:ascii="Times New Roman" w:cs="Times New Roman" w:eastAsia="Times New Roman" w:hAnsi="Times New Roman"/>
                <w:sz w:val="17"/>
                <w:szCs w:val="17"/>
                <w:b w:val="1"/>
                <w:bCs w:val="1"/>
                <w:color w:val="231F20"/>
              </w:rPr>
              <w:t>5.80 %</w:t>
            </w:r>
          </w:p>
        </w:tc>
        <w:tc>
          <w:tcPr>
            <w:tcW w:w="980" w:type="dxa"/>
            <w:vAlign w:val="bottom"/>
          </w:tcPr>
          <w:p>
            <w:pPr>
              <w:jc w:val="right"/>
              <w:ind w:right="133"/>
              <w:spacing w:after="0"/>
              <w:rPr>
                <w:sz w:val="20"/>
                <w:szCs w:val="20"/>
                <w:color w:val="auto"/>
              </w:rPr>
            </w:pPr>
            <w:r>
              <w:rPr>
                <w:rFonts w:ascii="Times New Roman" w:cs="Times New Roman" w:eastAsia="Times New Roman" w:hAnsi="Times New Roman"/>
                <w:sz w:val="17"/>
                <w:szCs w:val="17"/>
                <w:b w:val="1"/>
                <w:bCs w:val="1"/>
                <w:color w:val="231F20"/>
              </w:rPr>
              <w:t>3.80 %</w:t>
            </w: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7"/>
                <w:szCs w:val="17"/>
                <w:b w:val="1"/>
                <w:bCs w:val="1"/>
                <w:color w:val="231F20"/>
              </w:rPr>
              <w:t>1.20 %</w:t>
            </w:r>
          </w:p>
        </w:tc>
        <w:tc>
          <w:tcPr>
            <w:tcW w:w="1000" w:type="dxa"/>
            <w:vAlign w:val="bottom"/>
          </w:tcPr>
          <w:p>
            <w:pPr>
              <w:jc w:val="right"/>
              <w:ind w:right="173"/>
              <w:spacing w:after="0"/>
              <w:rPr>
                <w:sz w:val="20"/>
                <w:szCs w:val="20"/>
                <w:color w:val="auto"/>
              </w:rPr>
            </w:pPr>
            <w:r>
              <w:rPr>
                <w:rFonts w:ascii="Times New Roman" w:cs="Times New Roman" w:eastAsia="Times New Roman" w:hAnsi="Times New Roman"/>
                <w:sz w:val="17"/>
                <w:szCs w:val="17"/>
                <w:b w:val="1"/>
                <w:bCs w:val="1"/>
                <w:color w:val="231F20"/>
              </w:rPr>
              <w:t>2.00 %</w:t>
            </w:r>
          </w:p>
        </w:tc>
        <w:tc>
          <w:tcPr>
            <w:tcW w:w="1020" w:type="dxa"/>
            <w:vAlign w:val="bottom"/>
          </w:tcPr>
          <w:p>
            <w:pPr>
              <w:jc w:val="right"/>
              <w:ind w:right="153"/>
              <w:spacing w:after="0"/>
              <w:rPr>
                <w:sz w:val="20"/>
                <w:szCs w:val="20"/>
                <w:color w:val="auto"/>
              </w:rPr>
            </w:pPr>
            <w:r>
              <w:rPr>
                <w:rFonts w:ascii="Times New Roman" w:cs="Times New Roman" w:eastAsia="Times New Roman" w:hAnsi="Times New Roman"/>
                <w:sz w:val="17"/>
                <w:szCs w:val="17"/>
                <w:b w:val="1"/>
                <w:bCs w:val="1"/>
                <w:color w:val="231F20"/>
              </w:rPr>
              <w:t>2.20 %</w:t>
            </w:r>
          </w:p>
        </w:tc>
        <w:tc>
          <w:tcPr>
            <w:tcW w:w="108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231F20"/>
              </w:rPr>
              <w:t>5.85 %</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rPr>
              <w:t>5.00 %</w:t>
            </w:r>
          </w:p>
        </w:tc>
      </w:tr>
      <w:tr>
        <w:trPr>
          <w:trHeight w:val="306"/>
        </w:trPr>
        <w:tc>
          <w:tcPr>
            <w:tcW w:w="780" w:type="dxa"/>
            <w:vAlign w:val="bottom"/>
          </w:tcPr>
          <w:p>
            <w:pPr>
              <w:jc w:val="right"/>
              <w:ind w:right="153"/>
              <w:spacing w:after="0"/>
              <w:rPr>
                <w:sz w:val="20"/>
                <w:szCs w:val="20"/>
                <w:color w:val="auto"/>
              </w:rPr>
            </w:pPr>
            <w:r>
              <w:rPr>
                <w:rFonts w:ascii="Times New Roman" w:cs="Times New Roman" w:eastAsia="Times New Roman" w:hAnsi="Times New Roman"/>
                <w:sz w:val="17"/>
                <w:szCs w:val="17"/>
                <w:b w:val="1"/>
                <w:bCs w:val="1"/>
                <w:color w:val="231F20"/>
              </w:rPr>
              <w:t>5.30 %</w:t>
            </w:r>
          </w:p>
        </w:tc>
        <w:tc>
          <w:tcPr>
            <w:tcW w:w="980" w:type="dxa"/>
            <w:vAlign w:val="bottom"/>
          </w:tcPr>
          <w:p>
            <w:pPr>
              <w:jc w:val="right"/>
              <w:ind w:right="133"/>
              <w:spacing w:after="0"/>
              <w:rPr>
                <w:sz w:val="20"/>
                <w:szCs w:val="20"/>
                <w:color w:val="auto"/>
              </w:rPr>
            </w:pPr>
            <w:r>
              <w:rPr>
                <w:rFonts w:ascii="Times New Roman" w:cs="Times New Roman" w:eastAsia="Times New Roman" w:hAnsi="Times New Roman"/>
                <w:sz w:val="17"/>
                <w:szCs w:val="17"/>
                <w:b w:val="1"/>
                <w:bCs w:val="1"/>
                <w:color w:val="231F20"/>
              </w:rPr>
              <w:t>3.80 %</w:t>
            </w: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7"/>
                <w:szCs w:val="17"/>
                <w:b w:val="1"/>
                <w:bCs w:val="1"/>
                <w:color w:val="231F20"/>
              </w:rPr>
              <w:t>1.30 %</w:t>
            </w:r>
          </w:p>
        </w:tc>
        <w:tc>
          <w:tcPr>
            <w:tcW w:w="1000" w:type="dxa"/>
            <w:vAlign w:val="bottom"/>
          </w:tcPr>
          <w:p>
            <w:pPr>
              <w:jc w:val="right"/>
              <w:ind w:right="173"/>
              <w:spacing w:after="0"/>
              <w:rPr>
                <w:sz w:val="20"/>
                <w:szCs w:val="20"/>
                <w:color w:val="auto"/>
              </w:rPr>
            </w:pPr>
            <w:r>
              <w:rPr>
                <w:rFonts w:ascii="Times New Roman" w:cs="Times New Roman" w:eastAsia="Times New Roman" w:hAnsi="Times New Roman"/>
                <w:sz w:val="17"/>
                <w:szCs w:val="17"/>
                <w:b w:val="1"/>
                <w:bCs w:val="1"/>
                <w:color w:val="231F20"/>
              </w:rPr>
              <w:t>n/a</w:t>
            </w:r>
          </w:p>
        </w:tc>
        <w:tc>
          <w:tcPr>
            <w:tcW w:w="1020" w:type="dxa"/>
            <w:vAlign w:val="bottom"/>
          </w:tcPr>
          <w:p>
            <w:pPr>
              <w:jc w:val="right"/>
              <w:ind w:right="153"/>
              <w:spacing w:after="0"/>
              <w:rPr>
                <w:sz w:val="20"/>
                <w:szCs w:val="20"/>
                <w:color w:val="auto"/>
              </w:rPr>
            </w:pPr>
            <w:r>
              <w:rPr>
                <w:rFonts w:ascii="Times New Roman" w:cs="Times New Roman" w:eastAsia="Times New Roman" w:hAnsi="Times New Roman"/>
                <w:sz w:val="17"/>
                <w:szCs w:val="17"/>
                <w:b w:val="1"/>
                <w:bCs w:val="1"/>
                <w:color w:val="231F20"/>
              </w:rPr>
              <w:t>n/a</w:t>
            </w:r>
          </w:p>
        </w:tc>
        <w:tc>
          <w:tcPr>
            <w:tcW w:w="108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231F20"/>
              </w:rPr>
              <w:t>n/a</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rPr>
              <w:t>n/a</w:t>
            </w:r>
          </w:p>
        </w:tc>
      </w:tr>
    </w:tbl>
    <w:p>
      <w:pPr>
        <w:spacing w:after="0" w:line="569" w:lineRule="exact"/>
        <w:rPr>
          <w:sz w:val="20"/>
          <w:szCs w:val="20"/>
          <w:color w:val="auto"/>
        </w:rPr>
      </w:pPr>
    </w:p>
    <w:p>
      <w:pPr>
        <w:sectPr>
          <w:pgSz w:w="11880" w:h="15480" w:orient="portrait"/>
          <w:cols w:equalWidth="0" w:num="2">
            <w:col w:w="2680" w:space="180"/>
            <w:col w:w="7100"/>
          </w:cols>
          <w:pgMar w:left="960" w:top="821" w:right="960" w:bottom="0" w:gutter="0" w:footer="0" w:header="0"/>
          <w:type w:val="continuous"/>
        </w:sect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47</w:t>
      </w:r>
    </w:p>
    <w:p>
      <w:pPr>
        <w:sectPr>
          <w:pgSz w:w="11880" w:h="15480" w:orient="portrait"/>
          <w:cols w:equalWidth="0" w:num="1">
            <w:col w:w="9960"/>
          </w:cols>
          <w:pgMar w:left="960" w:top="821" w:right="960" w:bottom="0" w:gutter="0" w:footer="0" w:header="0"/>
          <w:type w:val="continuous"/>
        </w:sectPr>
      </w:pPr>
    </w:p>
    <w:bookmarkStart w:id="48" w:name="page49"/>
    <w:bookmarkEnd w:id="48"/>
    <w:p>
      <w:pPr>
        <w:ind w:firstLine="349"/>
        <w:spacing w:after="0" w:line="263" w:lineRule="auto"/>
        <w:rPr>
          <w:sz w:val="20"/>
          <w:szCs w:val="20"/>
          <w:color w:val="auto"/>
        </w:rPr>
      </w:pPr>
      <w:r>
        <w:rPr>
          <w:rFonts w:ascii="Times New Roman" w:cs="Times New Roman" w:eastAsia="Times New Roman" w:hAnsi="Times New Roman"/>
          <w:sz w:val="19"/>
          <w:szCs w:val="19"/>
          <w:color w:val="231F20"/>
        </w:rPr>
        <w:t>We develop our expected long-term rate of return on plan assets assumptions by evaluating input from third-party professional advisors, taking into consideration the asset allocation of the portfolios, and the long-term asset class return expectations. Generally, net periodic benefit costs increase as the expected long-term rate of return on plan assets assumption decreases. Holding all other assumptions constant, lowering the expected long-term rate of return on plan assets assumption for our funded defined benefit pension plans by 50 basis points would have increased the fiscal 2026 benefit costs by less than $0.4 million.</w:t>
      </w:r>
    </w:p>
    <w:p>
      <w:pPr>
        <w:spacing w:after="0" w:line="77" w:lineRule="exact"/>
        <w:rPr>
          <w:sz w:val="20"/>
          <w:szCs w:val="20"/>
          <w:color w:val="auto"/>
        </w:rPr>
      </w:pPr>
    </w:p>
    <w:p>
      <w:pPr>
        <w:ind w:right="80" w:firstLine="349"/>
        <w:spacing w:after="0" w:line="262" w:lineRule="auto"/>
        <w:rPr>
          <w:sz w:val="20"/>
          <w:szCs w:val="20"/>
          <w:color w:val="auto"/>
        </w:rPr>
      </w:pPr>
      <w:r>
        <w:rPr>
          <w:rFonts w:ascii="Times New Roman" w:cs="Times New Roman" w:eastAsia="Times New Roman" w:hAnsi="Times New Roman"/>
          <w:sz w:val="19"/>
          <w:szCs w:val="19"/>
          <w:color w:val="231F20"/>
        </w:rPr>
        <w:t>We develop our discount rate assumptions by evaluating input from third-party professional advisers, taking into consideration the current yield on country specific investment grade long-term bonds which provide for similar cash flow streams as our projected benefit obligations. Generally, the projected benefit obligations and the net periodic benefit costs both increase as the discount rate assumption decreases. Holding all other assumptions constant, lowering the discount rate assumption for our defined benefit pension plans and for the other post-retirement benefits plan by 50 basis points would have decreased the fiscal 2026 net periodic benefit costs by less than $0.2 million and would have increased the projected benefit obligations by approximately $7.6 million at March 31, 2026.</w:t>
      </w:r>
    </w:p>
    <w:p>
      <w:pPr>
        <w:spacing w:after="0" w:line="77" w:lineRule="exact"/>
        <w:rPr>
          <w:sz w:val="20"/>
          <w:szCs w:val="20"/>
          <w:color w:val="auto"/>
        </w:rPr>
      </w:pPr>
    </w:p>
    <w:p>
      <w:pPr>
        <w:ind w:right="40" w:firstLine="349"/>
        <w:spacing w:after="0" w:line="262" w:lineRule="auto"/>
        <w:rPr>
          <w:sz w:val="20"/>
          <w:szCs w:val="20"/>
          <w:color w:val="auto"/>
        </w:rPr>
      </w:pPr>
      <w:r>
        <w:rPr>
          <w:rFonts w:ascii="Times New Roman" w:cs="Times New Roman" w:eastAsia="Times New Roman" w:hAnsi="Times New Roman"/>
          <w:sz w:val="19"/>
          <w:szCs w:val="19"/>
          <w:color w:val="231F20"/>
        </w:rPr>
        <w:t>We recognize an asset for the overfunded status or a liability for the underfunded status of defined benefit pension and post-retirement benefit plans in our balance sheets. This amount is measured as the difference between the fair value of plan assets and the benefit obligation (the projected benefit obligation for pension plans and the accumulated post-retirement benefit obligation for other post-retirement benefit plans). Changes in the funded status of the plans are recorded in other comprehensive income in the year they occur. We measure plan assets and obligations as of the balance sheet date. Note 11 to our consolidated financial statements titled, “Benefit Plans,” contains additional information about our pension and other post-retirement welfare benefits plans.</w:t>
      </w:r>
    </w:p>
    <w:p>
      <w:pPr>
        <w:sectPr>
          <w:pgSz w:w="11880" w:h="15480" w:orient="portrait"/>
          <w:cols w:equalWidth="0" w:num="1">
            <w:col w:w="9920"/>
          </w:cols>
          <w:pgMar w:left="960" w:top="825"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48</w:t>
      </w:r>
    </w:p>
    <w:p>
      <w:pPr>
        <w:sectPr>
          <w:pgSz w:w="11880" w:h="15480" w:orient="portrait"/>
          <w:cols w:equalWidth="0" w:num="1">
            <w:col w:w="9920"/>
          </w:cols>
          <w:pgMar w:left="960" w:top="825" w:right="1000" w:bottom="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9"/>
          <w:szCs w:val="19"/>
          <w:b w:val="1"/>
          <w:bCs w:val="1"/>
          <w:color w:val="231F20"/>
        </w:rPr>
        <w:t>FORWARD-LOOKING STATEMENTS</w:t>
      </w:r>
    </w:p>
    <w:p>
      <w:pPr>
        <w:spacing w:after="0" w:line="13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231F20"/>
        </w:rPr>
        <w:t>This Form 10-K may contain statements concerning certain trends, expectations, forecasts, estimates, or other forward-looking information affecting or relating to STERIS or its industry, products or activities that are intended to qualify for the protections afforded “forward-looking statements” under the Private Securities Litigation Reform Act of 1995 and other laws and regulations. Forward-looking statements speak only as to the date the statement is made and may be identified by the use of forward-looking terms such as “may,” “will,” “expects,” “believes,” “anticipates,” “plans,” “estimates,” “projects,” “targets,” “forecasts,” “outlook,” “impact,” “potential,” “confidence,” “improve,” “optimistic,” “deliver,” “orders,” “backlog,” “comfortable,” “trend,” and “seeks,” or the negative of such terms or other variations on such terms or comparable terminology.</w:t>
      </w:r>
    </w:p>
    <w:p>
      <w:pPr>
        <w:spacing w:after="0" w:line="7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231F20"/>
        </w:rPr>
        <w:t>Many factors could cause actual results to differ materially from those in the forward-looking statements including, without limitation, those identified in Part I, Item 1A, “Risk Factors” in this Annual Report on Form 10-K. Other potential risks and uncertainties that could cause actual results to differ materially from those in the forward-looking statements include, without limitation: (a) the impact on STERIS and its operations of any legislation, regulations or orders, including but not limited to any new trade, regulations or orders, that may be implemented by the U.S. administration or Congress, or of any responses thereto by non-U.S. governments; (b) operating costs, pressure on pricing (including, without limitation, as a result of inflation), Customer loss and business disruption (including, without limitation, difficulties in maintaining relationships with employees, Customers, clients or suppliers) being greater than expected and leading to erosion of profit margins; (c) the potential of international unrest, military conflicts, economic downturns, currency fluctuations and cybersecurity events and any resulting effects on STERIS’s anticipated growth, performance or other results; (d) changes in healthcare policy or government or other third-party payor reimbursement levels; (e) the possibility that compliance with laws, court rulings, certifications, regulations, or other regulatory actions, or the outcome of any pending or threatened litigation, including the EO litigation, may delay, limit or prevent new product or service introductions, impact production, supply and/or marketing of existing products or services, result in uncovered costs, or otherwise affect STERIS’s performance, results, prospects or value; (f) changes in tax laws or interpretations or the adoption of certain income tax treaties in jurisdictions where we operate that could increase our consolidated tax liabilities, including changes in tax laws that would result in STERIS being treated as a U.S. resident for U.S. federal tax purposes, or the impact of tariffs and/or other trade barriers as a result of STERIS’s corporate structure; (g) the impacts of increasing consolidation and competition within our industry, which may exert pressure on our pricing strategy, manufacturing strategy or lead to decreasing demand for our products and services; (h) the effects on our operations resulting from labor-related issues, such as strikes, unsuccessful union negotiations and other workforce disruptions or from our inability to recruit or retain management and other personnel; (i) the level of STERIS’s indebtedness limiting financial flexibility or increasing future borrowing costs; (j) the effects of changes in credit availability and pricing, as well as the ability of STERIS and STERIS’s Customers and suppliers to adequately access the credit markets, on favorable terms or at all, when needed; and</w:t>
      </w:r>
    </w:p>
    <w:p>
      <w:pPr>
        <w:spacing w:after="0" w:line="16" w:lineRule="exact"/>
        <w:rPr>
          <w:sz w:val="20"/>
          <w:szCs w:val="20"/>
          <w:color w:val="auto"/>
        </w:rPr>
      </w:pPr>
    </w:p>
    <w:p>
      <w:pPr>
        <w:ind w:firstLine="3"/>
        <w:spacing w:after="0" w:line="261" w:lineRule="auto"/>
        <w:tabs>
          <w:tab w:leader="none" w:pos="275" w:val="left"/>
        </w:tabs>
        <w:numPr>
          <w:ilvl w:val="0"/>
          <w:numId w:val="2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possibility that anticipated financial results, anticipated revenues, productivity improvements, cost savings, growth synergies, and other anticipated benefits of acquisitions, restructuring efforts, and divestitures will not be realized or will be less than anticipated due to unknown or inestimable liabilities, impairments, or increases in expected integration costs or difficulties in connection with the integration of acquired businesses.</w:t>
      </w:r>
    </w:p>
    <w:p>
      <w:pPr>
        <w:spacing w:after="0" w:line="77" w:lineRule="exact"/>
        <w:rPr>
          <w:sz w:val="20"/>
          <w:szCs w:val="20"/>
          <w:color w:val="auto"/>
        </w:rPr>
      </w:pPr>
    </w:p>
    <w:p>
      <w:pPr>
        <w:ind w:right="280"/>
        <w:spacing w:after="0" w:line="293" w:lineRule="auto"/>
        <w:rPr>
          <w:sz w:val="20"/>
          <w:szCs w:val="20"/>
          <w:color w:val="auto"/>
        </w:rPr>
      </w:pPr>
      <w:r>
        <w:rPr>
          <w:rFonts w:ascii="Times New Roman" w:cs="Times New Roman" w:eastAsia="Times New Roman" w:hAnsi="Times New Roman"/>
          <w:sz w:val="19"/>
          <w:szCs w:val="19"/>
          <w:color w:val="231F20"/>
        </w:rPr>
        <w:t>Unless legally required, STERIS does not undertake to update or revise any forward-looking statements even if events make clear that any projected results, express or implied, will not be realized.</w:t>
      </w:r>
    </w:p>
    <w:p>
      <w:pPr>
        <w:sectPr>
          <w:pgSz w:w="11880" w:h="15480" w:orient="portrait"/>
          <w:cols w:equalWidth="0" w:num="1">
            <w:col w:w="9940"/>
          </w:cols>
          <w:pgMar w:left="960" w:top="81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49</w:t>
      </w:r>
    </w:p>
    <w:p>
      <w:pPr>
        <w:sectPr>
          <w:pgSz w:w="11880" w:h="15480" w:orient="portrait"/>
          <w:cols w:equalWidth="0" w:num="1">
            <w:col w:w="9940"/>
          </w:cols>
          <w:pgMar w:left="960" w:top="818" w:right="980" w:bottom="0" w:gutter="0" w:footer="0" w:header="0"/>
          <w:type w:val="continuous"/>
        </w:sectPr>
      </w:pPr>
    </w:p>
    <w:bookmarkStart w:id="50" w:name="page51"/>
    <w:bookmarkEnd w:id="50"/>
    <w:p>
      <w:pPr>
        <w:ind w:left="1400" w:right="1100" w:hanging="1309"/>
        <w:spacing w:after="0" w:line="285" w:lineRule="auto"/>
        <w:rPr>
          <w:sz w:val="20"/>
          <w:szCs w:val="20"/>
          <w:color w:val="auto"/>
        </w:rPr>
      </w:pPr>
      <w:r>
        <w:rPr>
          <w:rFonts w:ascii="Times New Roman" w:cs="Times New Roman" w:eastAsia="Times New Roman" w:hAnsi="Times New Roman"/>
          <w:sz w:val="27"/>
          <w:szCs w:val="27"/>
          <w:color w:val="231F20"/>
        </w:rPr>
        <w:t>ITEM 7A. QUANTITATIVE AND QUALITATIVE DISCLOSURES ABOUT MARKET RISK</w:t>
      </w:r>
    </w:p>
    <w:p>
      <w:pPr>
        <w:spacing w:after="0" w:line="54" w:lineRule="exact"/>
        <w:rPr>
          <w:sz w:val="20"/>
          <w:szCs w:val="20"/>
          <w:color w:val="auto"/>
        </w:rPr>
      </w:pPr>
    </w:p>
    <w:p>
      <w:pPr>
        <w:ind w:right="520" w:firstLine="349"/>
        <w:spacing w:after="0" w:line="293" w:lineRule="auto"/>
        <w:rPr>
          <w:sz w:val="20"/>
          <w:szCs w:val="20"/>
          <w:color w:val="auto"/>
        </w:rPr>
      </w:pPr>
      <w:r>
        <w:rPr>
          <w:rFonts w:ascii="Times New Roman" w:cs="Times New Roman" w:eastAsia="Times New Roman" w:hAnsi="Times New Roman"/>
          <w:sz w:val="19"/>
          <w:szCs w:val="19"/>
          <w:color w:val="231F20"/>
        </w:rPr>
        <w:t>In the ordinary course of business, we are exposed to various risks, including, but not limited to, interest rate, foreign currency, and commodity risks. These risks are described in the sections that follow.</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INTEREST RATE RISK</w:t>
      </w:r>
    </w:p>
    <w:p>
      <w:pPr>
        <w:spacing w:after="0" w:line="138" w:lineRule="exact"/>
        <w:rPr>
          <w:sz w:val="20"/>
          <w:szCs w:val="20"/>
          <w:color w:val="auto"/>
        </w:rPr>
      </w:pPr>
    </w:p>
    <w:p>
      <w:pPr>
        <w:ind w:right="40" w:firstLine="349"/>
        <w:spacing w:after="0" w:line="263" w:lineRule="auto"/>
        <w:rPr>
          <w:sz w:val="20"/>
          <w:szCs w:val="20"/>
          <w:color w:val="auto"/>
        </w:rPr>
      </w:pPr>
      <w:r>
        <w:rPr>
          <w:rFonts w:ascii="Times New Roman" w:cs="Times New Roman" w:eastAsia="Times New Roman" w:hAnsi="Times New Roman"/>
          <w:sz w:val="19"/>
          <w:szCs w:val="19"/>
          <w:color w:val="231F20"/>
        </w:rPr>
        <w:t>As of March 31, 2026, we had $1,907.8 million in fixed rate senior notes outstanding. As of March 31, 2026, we had $37.8 million in outstanding borrowings under our Revolving Credit Agreement which are exposed to changes in interest rates. Based upon our debt structure at March 31, 2026, a hypothetical 100 basis point increase in floating interest rates would increase annual interest expense by approximately $0.4 million. We monitor our interest rate risk, but do not engage in any hedging activities using derivative financial instruments. For additional information regarding our debt structure, refer to Note 8 to our consolidated financial statements titled, “Debt.”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FOREIGN CURRENCY RISK</w:t>
      </w:r>
    </w:p>
    <w:p>
      <w:pPr>
        <w:spacing w:after="0" w:line="138"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231F20"/>
        </w:rPr>
        <w:t>We are exposed to the impact of foreign currency exchange fluctuations. This foreign currency exchange risk arises when we conduct business in a currency other than the U.S. dollar. For most operations, local currencies have been determined to be the functional currencies. The financial statements of subsidiaries are translated to their U.S. dollar equivalents at end-of-period exchange rates for assets and liabilities and at average currency exchange rates for revenues and expenses. Translation adjustments for subsidiaries whose local currency is their functional currency are recorded as a component of accumulated other comprehensive income (loss) within equity. Note 20 to our consolidated financial statements titled, “Reclassifications out of Accumulated Other Comprehensive Income (Loss),” contains additional information about the impact of translation on accumulated other comprehensive income (loss) and equity. Transaction gains and losses arising from fluctuations in currency exchange rates on transactions denominated in currencies other than the functional currency are recognized in the Consolidated Statements of Income. Since we operate internationally and approximately 27% of our revenues and 26% of our Cost of revenues are generated outside the United States, foreign currency exchange rate fluctuations can significantly impact our financial position, results of operations, and competitive position.</w:t>
      </w:r>
    </w:p>
    <w:p>
      <w:pPr>
        <w:spacing w:after="0" w:line="81" w:lineRule="exact"/>
        <w:rPr>
          <w:sz w:val="20"/>
          <w:szCs w:val="20"/>
          <w:color w:val="auto"/>
        </w:rPr>
      </w:pPr>
    </w:p>
    <w:p>
      <w:pPr>
        <w:ind w:right="20" w:firstLine="349"/>
        <w:spacing w:after="0" w:line="265" w:lineRule="auto"/>
        <w:rPr>
          <w:sz w:val="20"/>
          <w:szCs w:val="20"/>
          <w:color w:val="auto"/>
        </w:rPr>
      </w:pPr>
      <w:r>
        <w:rPr>
          <w:rFonts w:ascii="Times New Roman" w:cs="Times New Roman" w:eastAsia="Times New Roman" w:hAnsi="Times New Roman"/>
          <w:sz w:val="19"/>
          <w:szCs w:val="19"/>
          <w:color w:val="231F20"/>
        </w:rPr>
        <w:t>We enter into foreign currency forward contracts to hedge monetary assets and liabilities denominated in foreign currencies, including intercompany transactions. We may also hold foreign currency forward contracts to hedge a portion of our expected non-U.S. dollar denominated earnings against our reporting currency, the U.S. dollar. We do not use derivative financial instruments for speculative purposes. At March 31, 2026, we held foreign net currency forward contracts to buy 210.0 million Mexican pesos, and to sell 4.0 million Australian dollars and 7.0 million New Zealand dollars.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COMMODITY RISK</w:t>
      </w:r>
    </w:p>
    <w:p>
      <w:pPr>
        <w:spacing w:after="0" w:line="138"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231F20"/>
        </w:rPr>
        <w:t>We are dependent on basic raw materials, sub-assemblies, components, and other supplies used in our operations. Our financial results could be affected by the availability and changes in prices of these materials. Some of these materials are sourced from a limited number of suppliers or only a single supplier. These materials are also key source materials for our competitors. Therefore, if demand for these materials rises, we may experience increased costs and/or limited or unavailable supplies. As a result, we may not be able to acquire key production materials on a timely basis, which could impact our ability to produce products and satisfy incoming sales orders on a timely basis. In addition, the costs of these materials can rise suddenly and result in significantly higher costs of production. We believe that we have adequate sources of supply for many of our key materials and energy sources. Where appropriate, we enter into long-term supply contracts as a basis to guarantee a reliable supply. We may also enter into commodity swap contracts to hedge price changes in commodities that impact raw materials included in our Cost of revenues. At March 31, 2026, we held commodity swap contracts to buy 0.6 million pounds of nickel.</w:t>
      </w:r>
    </w:p>
    <w:p>
      <w:pPr>
        <w:sectPr>
          <w:pgSz w:w="11880" w:h="15480" w:orient="portrait"/>
          <w:cols w:equalWidth="0" w:num="1">
            <w:col w:w="9960"/>
          </w:cols>
          <w:pgMar w:left="960" w:top="115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50</w:t>
      </w:r>
    </w:p>
    <w:p>
      <w:pPr>
        <w:sectPr>
          <w:pgSz w:w="11880" w:h="15480" w:orient="portrait"/>
          <w:cols w:equalWidth="0" w:num="1">
            <w:col w:w="9960"/>
          </w:cols>
          <w:pgMar w:left="960" w:top="1150" w:right="960" w:bottom="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354"/>
        </w:trPr>
        <w:tc>
          <w:tcPr>
            <w:tcW w:w="1160" w:type="dxa"/>
            <w:vAlign w:val="bottom"/>
          </w:tcPr>
          <w:p>
            <w:pPr>
              <w:spacing w:after="0"/>
              <w:rPr>
                <w:sz w:val="20"/>
                <w:szCs w:val="20"/>
                <w:color w:val="auto"/>
              </w:rPr>
            </w:pPr>
            <w:r>
              <w:rPr>
                <w:rFonts w:ascii="Times New Roman" w:cs="Times New Roman" w:eastAsia="Times New Roman" w:hAnsi="Times New Roman"/>
                <w:sz w:val="27"/>
                <w:szCs w:val="27"/>
                <w:color w:val="231F20"/>
              </w:rPr>
              <w:t>ITEM 8.</w:t>
            </w:r>
          </w:p>
        </w:tc>
        <w:tc>
          <w:tcPr>
            <w:tcW w:w="7680" w:type="dxa"/>
            <w:vAlign w:val="bottom"/>
          </w:tcPr>
          <w:p>
            <w:pPr>
              <w:ind w:left="240"/>
              <w:spacing w:after="0"/>
              <w:rPr>
                <w:sz w:val="20"/>
                <w:szCs w:val="20"/>
                <w:color w:val="auto"/>
              </w:rPr>
            </w:pPr>
            <w:r>
              <w:rPr>
                <w:rFonts w:ascii="Times New Roman" w:cs="Times New Roman" w:eastAsia="Times New Roman" w:hAnsi="Times New Roman"/>
                <w:sz w:val="27"/>
                <w:szCs w:val="27"/>
                <w:color w:val="231F20"/>
              </w:rPr>
              <w:t>FINANCIAL STATEMENTS AND SUPPLEMENTARY DATA</w:t>
            </w:r>
          </w:p>
        </w:tc>
        <w:tc>
          <w:tcPr>
            <w:tcW w:w="640" w:type="dxa"/>
            <w:vAlign w:val="bottom"/>
          </w:tcPr>
          <w:p>
            <w:pPr>
              <w:spacing w:after="0"/>
              <w:rPr>
                <w:sz w:val="24"/>
                <w:szCs w:val="24"/>
                <w:color w:val="auto"/>
              </w:rPr>
            </w:pPr>
          </w:p>
        </w:tc>
      </w:tr>
      <w:tr>
        <w:trPr>
          <w:trHeight w:val="365"/>
        </w:trPr>
        <w:tc>
          <w:tcPr>
            <w:tcW w:w="884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INDEX TO FINANCIAL STATEMENTS AND FINANCIAL STATEMENT SCHEDULE</w:t>
            </w:r>
          </w:p>
        </w:tc>
        <w:tc>
          <w:tcPr>
            <w:tcW w:w="640" w:type="dxa"/>
            <w:vAlign w:val="bottom"/>
          </w:tcPr>
          <w:p>
            <w:pPr>
              <w:spacing w:after="0"/>
              <w:rPr>
                <w:sz w:val="24"/>
                <w:szCs w:val="24"/>
                <w:color w:val="auto"/>
              </w:rPr>
            </w:pPr>
          </w:p>
        </w:tc>
      </w:tr>
      <w:tr>
        <w:trPr>
          <w:trHeight w:val="420"/>
        </w:trPr>
        <w:tc>
          <w:tcPr>
            <w:tcW w:w="116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640" w:type="dxa"/>
            <w:vAlign w:val="bottom"/>
          </w:tcPr>
          <w:p>
            <w:pPr>
              <w:ind w:left="260"/>
              <w:spacing w:after="0"/>
              <w:rPr>
                <w:sz w:val="20"/>
                <w:szCs w:val="20"/>
                <w:color w:val="auto"/>
              </w:rPr>
            </w:pPr>
            <w:r>
              <w:rPr>
                <w:rFonts w:ascii="Times New Roman" w:cs="Times New Roman" w:eastAsia="Times New Roman" w:hAnsi="Times New Roman"/>
                <w:sz w:val="19"/>
                <w:szCs w:val="19"/>
                <w:color w:val="231F20"/>
                <w:w w:val="97"/>
              </w:rPr>
              <w:t>Page</w:t>
            </w:r>
          </w:p>
        </w:tc>
      </w:tr>
      <w:tr>
        <w:trPr>
          <w:trHeight w:val="277"/>
        </w:trPr>
        <w:tc>
          <w:tcPr>
            <w:tcW w:w="8840" w:type="dxa"/>
            <w:vAlign w:val="bottom"/>
            <w:gridSpan w:val="2"/>
          </w:tcPr>
          <w:p>
            <w:pPr>
              <w:ind w:left="740"/>
              <w:spacing w:after="0"/>
              <w:rPr>
                <w:sz w:val="20"/>
                <w:szCs w:val="20"/>
                <w:color w:val="auto"/>
              </w:rPr>
            </w:pPr>
            <w:r>
              <w:rPr>
                <w:rFonts w:ascii="Times New Roman" w:cs="Times New Roman" w:eastAsia="Times New Roman" w:hAnsi="Times New Roman"/>
                <w:sz w:val="19"/>
                <w:szCs w:val="19"/>
                <w:color w:val="231F20"/>
              </w:rPr>
              <w:t>Report of Independent Registered Public Accounting Firm (PCAOB ID:42)</w:t>
            </w:r>
          </w:p>
        </w:tc>
        <w:tc>
          <w:tcPr>
            <w:tcW w:w="640" w:type="dxa"/>
            <w:vAlign w:val="bottom"/>
          </w:tcPr>
          <w:p>
            <w:pPr>
              <w:jc w:val="center"/>
              <w:ind w:left="163"/>
              <w:spacing w:after="0"/>
              <w:rPr>
                <w:sz w:val="20"/>
                <w:szCs w:val="20"/>
                <w:color w:val="auto"/>
              </w:rPr>
            </w:pPr>
            <w:r>
              <w:rPr>
                <w:rFonts w:ascii="Times New Roman" w:cs="Times New Roman" w:eastAsia="Times New Roman" w:hAnsi="Times New Roman"/>
                <w:sz w:val="19"/>
                <w:szCs w:val="19"/>
                <w:color w:val="231F20"/>
                <w:w w:val="94"/>
              </w:rPr>
              <w:t>52</w:t>
            </w:r>
          </w:p>
        </w:tc>
      </w:tr>
      <w:tr>
        <w:trPr>
          <w:trHeight w:val="277"/>
        </w:trPr>
        <w:tc>
          <w:tcPr>
            <w:tcW w:w="8840" w:type="dxa"/>
            <w:vAlign w:val="bottom"/>
            <w:gridSpan w:val="2"/>
          </w:tcPr>
          <w:p>
            <w:pPr>
              <w:ind w:left="740"/>
              <w:spacing w:after="0"/>
              <w:rPr>
                <w:sz w:val="20"/>
                <w:szCs w:val="20"/>
                <w:color w:val="auto"/>
              </w:rPr>
            </w:pPr>
            <w:r>
              <w:rPr>
                <w:rFonts w:ascii="Times New Roman" w:cs="Times New Roman" w:eastAsia="Times New Roman" w:hAnsi="Times New Roman"/>
                <w:sz w:val="19"/>
                <w:szCs w:val="19"/>
                <w:color w:val="231F20"/>
              </w:rPr>
              <w:t>Consolidated Financial Statements:</w:t>
            </w:r>
          </w:p>
        </w:tc>
        <w:tc>
          <w:tcPr>
            <w:tcW w:w="640" w:type="dxa"/>
            <w:vAlign w:val="bottom"/>
          </w:tcPr>
          <w:p>
            <w:pPr>
              <w:spacing w:after="0"/>
              <w:rPr>
                <w:sz w:val="24"/>
                <w:szCs w:val="24"/>
                <w:color w:val="auto"/>
              </w:rPr>
            </w:pPr>
          </w:p>
        </w:tc>
      </w:tr>
      <w:tr>
        <w:trPr>
          <w:trHeight w:val="277"/>
        </w:trPr>
        <w:tc>
          <w:tcPr>
            <w:tcW w:w="1160" w:type="dxa"/>
            <w:vAlign w:val="bottom"/>
          </w:tcPr>
          <w:p>
            <w:pPr>
              <w:spacing w:after="0"/>
              <w:rPr>
                <w:sz w:val="24"/>
                <w:szCs w:val="24"/>
                <w:color w:val="auto"/>
              </w:rPr>
            </w:pPr>
          </w:p>
        </w:tc>
        <w:tc>
          <w:tcPr>
            <w:tcW w:w="768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Consolidated Balance Sheets</w:t>
            </w:r>
          </w:p>
        </w:tc>
        <w:tc>
          <w:tcPr>
            <w:tcW w:w="640" w:type="dxa"/>
            <w:vAlign w:val="bottom"/>
          </w:tcPr>
          <w:p>
            <w:pPr>
              <w:jc w:val="center"/>
              <w:ind w:left="163"/>
              <w:spacing w:after="0"/>
              <w:rPr>
                <w:sz w:val="20"/>
                <w:szCs w:val="20"/>
                <w:color w:val="auto"/>
              </w:rPr>
            </w:pPr>
            <w:r>
              <w:rPr>
                <w:rFonts w:ascii="Times New Roman" w:cs="Times New Roman" w:eastAsia="Times New Roman" w:hAnsi="Times New Roman"/>
                <w:sz w:val="19"/>
                <w:szCs w:val="19"/>
                <w:color w:val="231F20"/>
                <w:w w:val="94"/>
              </w:rPr>
              <w:t>54</w:t>
            </w:r>
          </w:p>
        </w:tc>
      </w:tr>
      <w:tr>
        <w:trPr>
          <w:trHeight w:val="277"/>
        </w:trPr>
        <w:tc>
          <w:tcPr>
            <w:tcW w:w="1160" w:type="dxa"/>
            <w:vAlign w:val="bottom"/>
          </w:tcPr>
          <w:p>
            <w:pPr>
              <w:spacing w:after="0"/>
              <w:rPr>
                <w:sz w:val="24"/>
                <w:szCs w:val="24"/>
                <w:color w:val="auto"/>
              </w:rPr>
            </w:pPr>
          </w:p>
        </w:tc>
        <w:tc>
          <w:tcPr>
            <w:tcW w:w="768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Consolidated Statements of Income</w:t>
            </w:r>
          </w:p>
        </w:tc>
        <w:tc>
          <w:tcPr>
            <w:tcW w:w="640" w:type="dxa"/>
            <w:vAlign w:val="bottom"/>
          </w:tcPr>
          <w:p>
            <w:pPr>
              <w:jc w:val="center"/>
              <w:ind w:left="163"/>
              <w:spacing w:after="0"/>
              <w:rPr>
                <w:sz w:val="20"/>
                <w:szCs w:val="20"/>
                <w:color w:val="auto"/>
              </w:rPr>
            </w:pPr>
            <w:r>
              <w:rPr>
                <w:rFonts w:ascii="Times New Roman" w:cs="Times New Roman" w:eastAsia="Times New Roman" w:hAnsi="Times New Roman"/>
                <w:sz w:val="19"/>
                <w:szCs w:val="19"/>
                <w:color w:val="231F20"/>
                <w:w w:val="94"/>
              </w:rPr>
              <w:t>55</w:t>
            </w:r>
          </w:p>
        </w:tc>
      </w:tr>
      <w:tr>
        <w:trPr>
          <w:trHeight w:val="277"/>
        </w:trPr>
        <w:tc>
          <w:tcPr>
            <w:tcW w:w="1160" w:type="dxa"/>
            <w:vAlign w:val="bottom"/>
          </w:tcPr>
          <w:p>
            <w:pPr>
              <w:spacing w:after="0"/>
              <w:rPr>
                <w:sz w:val="24"/>
                <w:szCs w:val="24"/>
                <w:color w:val="auto"/>
              </w:rPr>
            </w:pPr>
          </w:p>
        </w:tc>
        <w:tc>
          <w:tcPr>
            <w:tcW w:w="768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Consolidated Statements of Comprehensive Income (Loss)</w:t>
            </w:r>
          </w:p>
        </w:tc>
        <w:tc>
          <w:tcPr>
            <w:tcW w:w="640" w:type="dxa"/>
            <w:vAlign w:val="bottom"/>
          </w:tcPr>
          <w:p>
            <w:pPr>
              <w:jc w:val="center"/>
              <w:ind w:left="163"/>
              <w:spacing w:after="0"/>
              <w:rPr>
                <w:sz w:val="20"/>
                <w:szCs w:val="20"/>
                <w:color w:val="auto"/>
              </w:rPr>
            </w:pPr>
            <w:r>
              <w:rPr>
                <w:rFonts w:ascii="Times New Roman" w:cs="Times New Roman" w:eastAsia="Times New Roman" w:hAnsi="Times New Roman"/>
                <w:sz w:val="19"/>
                <w:szCs w:val="19"/>
                <w:color w:val="231F20"/>
                <w:w w:val="94"/>
              </w:rPr>
              <w:t>56</w:t>
            </w:r>
          </w:p>
        </w:tc>
      </w:tr>
      <w:tr>
        <w:trPr>
          <w:trHeight w:val="277"/>
        </w:trPr>
        <w:tc>
          <w:tcPr>
            <w:tcW w:w="1160" w:type="dxa"/>
            <w:vAlign w:val="bottom"/>
          </w:tcPr>
          <w:p>
            <w:pPr>
              <w:spacing w:after="0"/>
              <w:rPr>
                <w:sz w:val="24"/>
                <w:szCs w:val="24"/>
                <w:color w:val="auto"/>
              </w:rPr>
            </w:pPr>
          </w:p>
        </w:tc>
        <w:tc>
          <w:tcPr>
            <w:tcW w:w="768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Consolidated Statements of Cash Flows</w:t>
            </w:r>
          </w:p>
        </w:tc>
        <w:tc>
          <w:tcPr>
            <w:tcW w:w="640" w:type="dxa"/>
            <w:vAlign w:val="bottom"/>
          </w:tcPr>
          <w:p>
            <w:pPr>
              <w:jc w:val="center"/>
              <w:ind w:left="163"/>
              <w:spacing w:after="0"/>
              <w:rPr>
                <w:sz w:val="20"/>
                <w:szCs w:val="20"/>
                <w:color w:val="auto"/>
              </w:rPr>
            </w:pPr>
            <w:r>
              <w:rPr>
                <w:rFonts w:ascii="Times New Roman" w:cs="Times New Roman" w:eastAsia="Times New Roman" w:hAnsi="Times New Roman"/>
                <w:sz w:val="19"/>
                <w:szCs w:val="19"/>
                <w:color w:val="231F20"/>
                <w:w w:val="94"/>
              </w:rPr>
              <w:t>57</w:t>
            </w:r>
          </w:p>
        </w:tc>
      </w:tr>
      <w:tr>
        <w:trPr>
          <w:trHeight w:val="277"/>
        </w:trPr>
        <w:tc>
          <w:tcPr>
            <w:tcW w:w="1160" w:type="dxa"/>
            <w:vAlign w:val="bottom"/>
          </w:tcPr>
          <w:p>
            <w:pPr>
              <w:spacing w:after="0"/>
              <w:rPr>
                <w:sz w:val="24"/>
                <w:szCs w:val="24"/>
                <w:color w:val="auto"/>
              </w:rPr>
            </w:pPr>
          </w:p>
        </w:tc>
        <w:tc>
          <w:tcPr>
            <w:tcW w:w="768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Consolidated Statements of Shareholder's Equity</w:t>
            </w:r>
          </w:p>
        </w:tc>
        <w:tc>
          <w:tcPr>
            <w:tcW w:w="640" w:type="dxa"/>
            <w:vAlign w:val="bottom"/>
          </w:tcPr>
          <w:p>
            <w:pPr>
              <w:jc w:val="center"/>
              <w:ind w:left="163"/>
              <w:spacing w:after="0"/>
              <w:rPr>
                <w:sz w:val="20"/>
                <w:szCs w:val="20"/>
                <w:color w:val="auto"/>
              </w:rPr>
            </w:pPr>
            <w:r>
              <w:rPr>
                <w:rFonts w:ascii="Times New Roman" w:cs="Times New Roman" w:eastAsia="Times New Roman" w:hAnsi="Times New Roman"/>
                <w:sz w:val="19"/>
                <w:szCs w:val="19"/>
                <w:color w:val="231F20"/>
                <w:w w:val="94"/>
              </w:rPr>
              <w:t>58</w:t>
            </w:r>
          </w:p>
        </w:tc>
      </w:tr>
      <w:tr>
        <w:trPr>
          <w:trHeight w:val="277"/>
        </w:trPr>
        <w:tc>
          <w:tcPr>
            <w:tcW w:w="1160" w:type="dxa"/>
            <w:vAlign w:val="bottom"/>
          </w:tcPr>
          <w:p>
            <w:pPr>
              <w:spacing w:after="0"/>
              <w:rPr>
                <w:sz w:val="24"/>
                <w:szCs w:val="24"/>
                <w:color w:val="auto"/>
              </w:rPr>
            </w:pPr>
          </w:p>
        </w:tc>
        <w:tc>
          <w:tcPr>
            <w:tcW w:w="768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Notes to Consolidated Financial Statements</w:t>
            </w:r>
          </w:p>
        </w:tc>
        <w:tc>
          <w:tcPr>
            <w:tcW w:w="640" w:type="dxa"/>
            <w:vAlign w:val="bottom"/>
          </w:tcPr>
          <w:p>
            <w:pPr>
              <w:jc w:val="center"/>
              <w:ind w:left="163"/>
              <w:spacing w:after="0"/>
              <w:rPr>
                <w:sz w:val="20"/>
                <w:szCs w:val="20"/>
                <w:color w:val="auto"/>
              </w:rPr>
            </w:pPr>
            <w:r>
              <w:rPr>
                <w:rFonts w:ascii="Times New Roman" w:cs="Times New Roman" w:eastAsia="Times New Roman" w:hAnsi="Times New Roman"/>
                <w:sz w:val="19"/>
                <w:szCs w:val="19"/>
                <w:color w:val="231F20"/>
                <w:w w:val="94"/>
              </w:rPr>
              <w:t>59</w:t>
            </w:r>
          </w:p>
        </w:tc>
      </w:tr>
      <w:tr>
        <w:trPr>
          <w:trHeight w:val="277"/>
        </w:trPr>
        <w:tc>
          <w:tcPr>
            <w:tcW w:w="8840" w:type="dxa"/>
            <w:vAlign w:val="bottom"/>
            <w:gridSpan w:val="2"/>
          </w:tcPr>
          <w:p>
            <w:pPr>
              <w:ind w:left="740"/>
              <w:spacing w:after="0"/>
              <w:rPr>
                <w:sz w:val="20"/>
                <w:szCs w:val="20"/>
                <w:color w:val="auto"/>
              </w:rPr>
            </w:pPr>
            <w:r>
              <w:rPr>
                <w:rFonts w:ascii="Times New Roman" w:cs="Times New Roman" w:eastAsia="Times New Roman" w:hAnsi="Times New Roman"/>
                <w:sz w:val="19"/>
                <w:szCs w:val="19"/>
                <w:color w:val="231F20"/>
              </w:rPr>
              <w:t>Financial Statement Schedule:</w:t>
            </w:r>
          </w:p>
        </w:tc>
        <w:tc>
          <w:tcPr>
            <w:tcW w:w="640" w:type="dxa"/>
            <w:vAlign w:val="bottom"/>
          </w:tcPr>
          <w:p>
            <w:pPr>
              <w:spacing w:after="0"/>
              <w:rPr>
                <w:sz w:val="24"/>
                <w:szCs w:val="24"/>
                <w:color w:val="auto"/>
              </w:rPr>
            </w:pPr>
          </w:p>
        </w:tc>
      </w:tr>
      <w:tr>
        <w:trPr>
          <w:trHeight w:val="277"/>
        </w:trPr>
        <w:tc>
          <w:tcPr>
            <w:tcW w:w="1160" w:type="dxa"/>
            <w:vAlign w:val="bottom"/>
          </w:tcPr>
          <w:p>
            <w:pPr>
              <w:spacing w:after="0"/>
              <w:rPr>
                <w:sz w:val="24"/>
                <w:szCs w:val="24"/>
                <w:color w:val="auto"/>
              </w:rPr>
            </w:pPr>
          </w:p>
        </w:tc>
        <w:tc>
          <w:tcPr>
            <w:tcW w:w="768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Schedule II - Valuation of Qualifying Accounts</w:t>
            </w:r>
          </w:p>
        </w:tc>
        <w:tc>
          <w:tcPr>
            <w:tcW w:w="640" w:type="dxa"/>
            <w:vAlign w:val="bottom"/>
          </w:tcPr>
          <w:p>
            <w:pPr>
              <w:jc w:val="center"/>
              <w:ind w:left="163"/>
              <w:spacing w:after="0"/>
              <w:rPr>
                <w:sz w:val="20"/>
                <w:szCs w:val="20"/>
                <w:color w:val="auto"/>
              </w:rPr>
            </w:pPr>
            <w:r>
              <w:rPr>
                <w:rFonts w:ascii="Times New Roman" w:cs="Times New Roman" w:eastAsia="Times New Roman" w:hAnsi="Times New Roman"/>
                <w:sz w:val="19"/>
                <w:szCs w:val="19"/>
                <w:color w:val="231F20"/>
              </w:rPr>
              <w:t>101</w:t>
            </w:r>
          </w:p>
        </w:tc>
      </w:tr>
    </w:tbl>
    <w:p>
      <w:pPr>
        <w:spacing w:after="0" w:line="200" w:lineRule="exact"/>
        <w:rPr>
          <w:sz w:val="20"/>
          <w:szCs w:val="20"/>
          <w:color w:val="auto"/>
        </w:rPr>
      </w:pPr>
    </w:p>
    <w:p>
      <w:pPr>
        <w:sectPr>
          <w:pgSz w:w="11880" w:h="15480" w:orient="portrait"/>
          <w:cols w:equalWidth="0" w:num="1">
            <w:col w:w="9480"/>
          </w:cols>
          <w:pgMar w:left="960" w:top="131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9"/>
          <w:szCs w:val="19"/>
          <w:color w:val="231F20"/>
        </w:rPr>
        <w:t>51</w:t>
      </w:r>
    </w:p>
    <w:p>
      <w:pPr>
        <w:sectPr>
          <w:pgSz w:w="11880" w:h="15480" w:orient="portrait"/>
          <w:cols w:equalWidth="0" w:num="1">
            <w:col w:w="9480"/>
          </w:cols>
          <w:pgMar w:left="960" w:top="1313" w:right="1440" w:bottom="0" w:gutter="0" w:footer="0" w:header="0"/>
          <w:type w:val="continuous"/>
        </w:sectPr>
      </w:pPr>
    </w:p>
    <w:bookmarkStart w:id="52" w:name="page53"/>
    <w:bookmarkEnd w:id="52"/>
    <w:p>
      <w:pPr>
        <w:jc w:val="center"/>
        <w:spacing w:after="0"/>
        <w:rPr>
          <w:sz w:val="20"/>
          <w:szCs w:val="20"/>
          <w:color w:val="auto"/>
        </w:rPr>
      </w:pPr>
      <w:r>
        <w:rPr>
          <w:rFonts w:ascii="Times New Roman" w:cs="Times New Roman" w:eastAsia="Times New Roman" w:hAnsi="Times New Roman"/>
          <w:sz w:val="19"/>
          <w:szCs w:val="19"/>
          <w:b w:val="1"/>
          <w:bCs w:val="1"/>
          <w:color w:val="231F20"/>
        </w:rPr>
        <w:t>Report of Independent Registered Public Accounting Firm</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To the Shareholders and the Board of Directors of STERIS plc</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Opinion on the Financial Statements</w:t>
      </w:r>
    </w:p>
    <w:p>
      <w:pPr>
        <w:spacing w:after="0" w:line="13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231F20"/>
        </w:rPr>
        <w:t>We have audited the accompanying consolidated balance sheets of STERIS plc and subsidiaries (the Company) as of March 31, 2026 and 2025, the related consolidated statements of income, comprehensive income (loss), shareholders' equity and cash flows for each of the three years in the period ended March 31, 2026,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March 31, 2026 and 2025, and the results of its operations and its cash flows for each of the three years in the period ended March 31, 2026, in conformity with U.S. generally accepted accounting principles.</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231F20"/>
        </w:rPr>
        <w:t>We also have audited, in accordance with the standards of the Public Company Accounting Oversight Board (United States) (PCAOB), the Company's internal control over financial reporting as of March 31, 2026, based on criteria established in Internal Control - Integrated Framework issued by the Committee of Sponsoring Organizations of the Treadway Commission (2013 framework), and our report dated May 29, 2026 expressed an unqualified opinion thereon.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Basis for Opinion</w:t>
      </w:r>
    </w:p>
    <w:p>
      <w:pPr>
        <w:spacing w:after="0" w:line="13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231F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231F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Critical Audit Matter</w:t>
      </w:r>
    </w:p>
    <w:p>
      <w:pPr>
        <w:spacing w:after="0" w:line="13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231F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880" w:h="15480" w:orient="portrait"/>
          <w:cols w:equalWidth="0" w:num="1">
            <w:col w:w="10140"/>
          </w:cols>
          <w:pgMar w:left="780" w:top="81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9"/>
          <w:szCs w:val="19"/>
          <w:color w:val="231F20"/>
        </w:rPr>
        <w:t>52</w:t>
      </w:r>
    </w:p>
    <w:p>
      <w:pPr>
        <w:sectPr>
          <w:pgSz w:w="11880" w:h="15480" w:orient="portrait"/>
          <w:cols w:equalWidth="0" w:num="1">
            <w:col w:w="10140"/>
          </w:cols>
          <w:pgMar w:left="780" w:top="818" w:right="960" w:bottom="0" w:gutter="0" w:footer="0" w:header="0"/>
          <w:type w:val="continuous"/>
        </w:sectPr>
      </w:pPr>
    </w:p>
    <w:bookmarkStart w:id="53" w:name="page54"/>
    <w:bookmarkEnd w:id="53"/>
    <w:tbl>
      <w:tblPr>
        <w:tblLayout w:type="fixed"/>
        <w:tblInd w:w="60" w:type="dxa"/>
        <w:tblCellMar>
          <w:top w:w="0" w:type="dxa"/>
          <w:left w:w="0" w:type="dxa"/>
          <w:bottom w:w="0" w:type="dxa"/>
          <w:right w:w="0" w:type="dxa"/>
        </w:tblCellMar>
      </w:tblPr>
      <w:tr>
        <w:trPr>
          <w:trHeight w:val="223"/>
        </w:trPr>
        <w:tc>
          <w:tcPr>
            <w:tcW w:w="1760" w:type="dxa"/>
            <w:vAlign w:val="bottom"/>
          </w:tcPr>
          <w:p>
            <w:pPr>
              <w:spacing w:after="0"/>
              <w:rPr>
                <w:sz w:val="20"/>
                <w:szCs w:val="20"/>
                <w:color w:val="auto"/>
              </w:rPr>
            </w:pPr>
            <w:r>
              <w:rPr>
                <w:rFonts w:ascii="Times New Roman" w:cs="Times New Roman" w:eastAsia="Times New Roman" w:hAnsi="Times New Roman"/>
                <w:sz w:val="19"/>
                <w:szCs w:val="19"/>
                <w:i w:val="1"/>
                <w:iCs w:val="1"/>
                <w:color w:val="231F20"/>
              </w:rPr>
              <w:t>Description of</w:t>
            </w:r>
          </w:p>
        </w:tc>
        <w:tc>
          <w:tcPr>
            <w:tcW w:w="8160" w:type="dxa"/>
            <w:vAlign w:val="bottom"/>
          </w:tcPr>
          <w:p>
            <w:pPr>
              <w:ind w:left="200"/>
              <w:spacing w:after="0"/>
              <w:rPr>
                <w:sz w:val="20"/>
                <w:szCs w:val="20"/>
                <w:color w:val="auto"/>
              </w:rPr>
            </w:pPr>
            <w:r>
              <w:rPr>
                <w:rFonts w:ascii="Times New Roman" w:cs="Times New Roman" w:eastAsia="Times New Roman" w:hAnsi="Times New Roman"/>
                <w:sz w:val="19"/>
                <w:szCs w:val="19"/>
                <w:b w:val="1"/>
                <w:bCs w:val="1"/>
                <w:i w:val="1"/>
                <w:iCs w:val="1"/>
                <w:color w:val="231F20"/>
              </w:rPr>
              <w:t>Uncertain Tax Positions</w:t>
            </w:r>
          </w:p>
        </w:tc>
        <w:tc>
          <w:tcPr>
            <w:tcW w:w="0" w:type="dxa"/>
            <w:vAlign w:val="bottom"/>
          </w:tcPr>
          <w:p>
            <w:pPr>
              <w:spacing w:after="0"/>
              <w:rPr>
                <w:sz w:val="1"/>
                <w:szCs w:val="1"/>
                <w:color w:val="auto"/>
              </w:rPr>
            </w:pPr>
          </w:p>
        </w:tc>
      </w:tr>
      <w:tr>
        <w:trPr>
          <w:trHeight w:val="255"/>
        </w:trPr>
        <w:tc>
          <w:tcPr>
            <w:tcW w:w="1760" w:type="dxa"/>
            <w:vAlign w:val="bottom"/>
          </w:tcPr>
          <w:p>
            <w:pPr>
              <w:spacing w:after="0"/>
              <w:rPr>
                <w:sz w:val="20"/>
                <w:szCs w:val="20"/>
                <w:color w:val="auto"/>
              </w:rPr>
            </w:pPr>
            <w:r>
              <w:rPr>
                <w:rFonts w:ascii="Times New Roman" w:cs="Times New Roman" w:eastAsia="Times New Roman" w:hAnsi="Times New Roman"/>
                <w:sz w:val="19"/>
                <w:szCs w:val="19"/>
                <w:i w:val="1"/>
                <w:iCs w:val="1"/>
                <w:color w:val="231F20"/>
              </w:rPr>
              <w:t>the Matter</w:t>
            </w:r>
          </w:p>
        </w:tc>
        <w:tc>
          <w:tcPr>
            <w:tcW w:w="8160" w:type="dxa"/>
            <w:vAlign w:val="bottom"/>
            <w:vMerge w:val="restart"/>
          </w:tcPr>
          <w:p>
            <w:pPr>
              <w:ind w:left="200"/>
              <w:spacing w:after="0"/>
              <w:rPr>
                <w:sz w:val="20"/>
                <w:szCs w:val="20"/>
                <w:color w:val="auto"/>
              </w:rPr>
            </w:pPr>
            <w:r>
              <w:rPr>
                <w:rFonts w:ascii="Times New Roman" w:cs="Times New Roman" w:eastAsia="Times New Roman" w:hAnsi="Times New Roman"/>
                <w:sz w:val="19"/>
                <w:szCs w:val="19"/>
                <w:color w:val="231F20"/>
              </w:rPr>
              <w:t>As discussed in Note 10 to the consolidated financial statements, the Company received two notices</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8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760" w:type="dxa"/>
            <w:vAlign w:val="bottom"/>
          </w:tcPr>
          <w:p>
            <w:pPr>
              <w:spacing w:after="0"/>
              <w:rPr>
                <w:sz w:val="18"/>
                <w:szCs w:val="18"/>
                <w:color w:val="auto"/>
              </w:rPr>
            </w:pPr>
          </w:p>
        </w:tc>
        <w:tc>
          <w:tcPr>
            <w:tcW w:w="8160" w:type="dxa"/>
            <w:vAlign w:val="bottom"/>
          </w:tcPr>
          <w:p>
            <w:pPr>
              <w:ind w:left="200"/>
              <w:spacing w:after="0" w:line="217" w:lineRule="exact"/>
              <w:rPr>
                <w:sz w:val="20"/>
                <w:szCs w:val="20"/>
                <w:color w:val="auto"/>
              </w:rPr>
            </w:pPr>
            <w:r>
              <w:rPr>
                <w:rFonts w:ascii="Times New Roman" w:cs="Times New Roman" w:eastAsia="Times New Roman" w:hAnsi="Times New Roman"/>
                <w:sz w:val="19"/>
                <w:szCs w:val="19"/>
                <w:color w:val="231F20"/>
              </w:rPr>
              <w:t>of deficiency from the U.S. Internal Revenue Service (the “IRS”) regarding deemed dividend</w:t>
            </w:r>
          </w:p>
        </w:tc>
        <w:tc>
          <w:tcPr>
            <w:tcW w:w="0" w:type="dxa"/>
            <w:vAlign w:val="bottom"/>
          </w:tcPr>
          <w:p>
            <w:pPr>
              <w:spacing w:after="0"/>
              <w:rPr>
                <w:sz w:val="1"/>
                <w:szCs w:val="1"/>
                <w:color w:val="auto"/>
              </w:rPr>
            </w:pPr>
          </w:p>
        </w:tc>
      </w:tr>
      <w:tr>
        <w:trPr>
          <w:trHeight w:val="217"/>
        </w:trPr>
        <w:tc>
          <w:tcPr>
            <w:tcW w:w="1760" w:type="dxa"/>
            <w:vAlign w:val="bottom"/>
          </w:tcPr>
          <w:p>
            <w:pPr>
              <w:spacing w:after="0"/>
              <w:rPr>
                <w:sz w:val="18"/>
                <w:szCs w:val="18"/>
                <w:color w:val="auto"/>
              </w:rPr>
            </w:pPr>
          </w:p>
        </w:tc>
        <w:tc>
          <w:tcPr>
            <w:tcW w:w="8160" w:type="dxa"/>
            <w:vAlign w:val="bottom"/>
          </w:tcPr>
          <w:p>
            <w:pPr>
              <w:ind w:left="200"/>
              <w:spacing w:after="0" w:line="217" w:lineRule="exact"/>
              <w:rPr>
                <w:sz w:val="20"/>
                <w:szCs w:val="20"/>
                <w:color w:val="auto"/>
              </w:rPr>
            </w:pPr>
            <w:r>
              <w:rPr>
                <w:rFonts w:ascii="Times New Roman" w:cs="Times New Roman" w:eastAsia="Times New Roman" w:hAnsi="Times New Roman"/>
                <w:sz w:val="19"/>
                <w:szCs w:val="19"/>
                <w:color w:val="231F20"/>
              </w:rPr>
              <w:t>inclusions and associated withholding tax for fiscal year 2018. The IRS adjustments would result in a</w:t>
            </w:r>
          </w:p>
        </w:tc>
        <w:tc>
          <w:tcPr>
            <w:tcW w:w="0" w:type="dxa"/>
            <w:vAlign w:val="bottom"/>
          </w:tcPr>
          <w:p>
            <w:pPr>
              <w:spacing w:after="0"/>
              <w:rPr>
                <w:sz w:val="1"/>
                <w:szCs w:val="1"/>
                <w:color w:val="auto"/>
              </w:rPr>
            </w:pPr>
          </w:p>
        </w:tc>
      </w:tr>
      <w:tr>
        <w:trPr>
          <w:trHeight w:val="217"/>
        </w:trPr>
        <w:tc>
          <w:tcPr>
            <w:tcW w:w="1760" w:type="dxa"/>
            <w:vAlign w:val="bottom"/>
          </w:tcPr>
          <w:p>
            <w:pPr>
              <w:spacing w:after="0"/>
              <w:rPr>
                <w:sz w:val="18"/>
                <w:szCs w:val="18"/>
                <w:color w:val="auto"/>
              </w:rPr>
            </w:pPr>
          </w:p>
        </w:tc>
        <w:tc>
          <w:tcPr>
            <w:tcW w:w="8160" w:type="dxa"/>
            <w:vAlign w:val="bottom"/>
          </w:tcPr>
          <w:p>
            <w:pPr>
              <w:ind w:left="200"/>
              <w:spacing w:after="0" w:line="217" w:lineRule="exact"/>
              <w:rPr>
                <w:sz w:val="20"/>
                <w:szCs w:val="20"/>
                <w:color w:val="auto"/>
              </w:rPr>
            </w:pPr>
            <w:r>
              <w:rPr>
                <w:rFonts w:ascii="Times New Roman" w:cs="Times New Roman" w:eastAsia="Times New Roman" w:hAnsi="Times New Roman"/>
                <w:sz w:val="19"/>
                <w:szCs w:val="19"/>
                <w:color w:val="231F20"/>
              </w:rPr>
              <w:t>cumulative tax liability of approximately $50.0 million, excluding any interest and penalties, if</w:t>
            </w:r>
          </w:p>
        </w:tc>
        <w:tc>
          <w:tcPr>
            <w:tcW w:w="0" w:type="dxa"/>
            <w:vAlign w:val="bottom"/>
          </w:tcPr>
          <w:p>
            <w:pPr>
              <w:spacing w:after="0"/>
              <w:rPr>
                <w:sz w:val="1"/>
                <w:szCs w:val="1"/>
                <w:color w:val="auto"/>
              </w:rPr>
            </w:pPr>
          </w:p>
        </w:tc>
      </w:tr>
      <w:tr>
        <w:trPr>
          <w:trHeight w:val="217"/>
        </w:trPr>
        <w:tc>
          <w:tcPr>
            <w:tcW w:w="1760" w:type="dxa"/>
            <w:vAlign w:val="bottom"/>
          </w:tcPr>
          <w:p>
            <w:pPr>
              <w:spacing w:after="0"/>
              <w:rPr>
                <w:sz w:val="18"/>
                <w:szCs w:val="18"/>
                <w:color w:val="auto"/>
              </w:rPr>
            </w:pPr>
          </w:p>
        </w:tc>
        <w:tc>
          <w:tcPr>
            <w:tcW w:w="8160" w:type="dxa"/>
            <w:vAlign w:val="bottom"/>
          </w:tcPr>
          <w:p>
            <w:pPr>
              <w:ind w:left="200"/>
              <w:spacing w:after="0" w:line="217" w:lineRule="exact"/>
              <w:rPr>
                <w:sz w:val="20"/>
                <w:szCs w:val="20"/>
                <w:color w:val="auto"/>
              </w:rPr>
            </w:pPr>
            <w:r>
              <w:rPr>
                <w:rFonts w:ascii="Times New Roman" w:cs="Times New Roman" w:eastAsia="Times New Roman" w:hAnsi="Times New Roman"/>
                <w:sz w:val="19"/>
                <w:szCs w:val="19"/>
                <w:color w:val="231F20"/>
              </w:rPr>
              <w:t>ultimately assessed. The Company believes it is more-likely-than-not that they will be able to sustain</w:t>
            </w:r>
          </w:p>
        </w:tc>
        <w:tc>
          <w:tcPr>
            <w:tcW w:w="0" w:type="dxa"/>
            <w:vAlign w:val="bottom"/>
          </w:tcPr>
          <w:p>
            <w:pPr>
              <w:spacing w:after="0"/>
              <w:rPr>
                <w:sz w:val="1"/>
                <w:szCs w:val="1"/>
                <w:color w:val="auto"/>
              </w:rPr>
            </w:pPr>
          </w:p>
        </w:tc>
      </w:tr>
      <w:tr>
        <w:trPr>
          <w:trHeight w:val="217"/>
        </w:trPr>
        <w:tc>
          <w:tcPr>
            <w:tcW w:w="1760" w:type="dxa"/>
            <w:vAlign w:val="bottom"/>
          </w:tcPr>
          <w:p>
            <w:pPr>
              <w:spacing w:after="0"/>
              <w:rPr>
                <w:sz w:val="18"/>
                <w:szCs w:val="18"/>
                <w:color w:val="auto"/>
              </w:rPr>
            </w:pPr>
          </w:p>
        </w:tc>
        <w:tc>
          <w:tcPr>
            <w:tcW w:w="8160" w:type="dxa"/>
            <w:vAlign w:val="bottom"/>
          </w:tcPr>
          <w:p>
            <w:pPr>
              <w:ind w:left="200"/>
              <w:spacing w:after="0" w:line="217" w:lineRule="exact"/>
              <w:rPr>
                <w:sz w:val="20"/>
                <w:szCs w:val="20"/>
                <w:color w:val="auto"/>
              </w:rPr>
            </w:pPr>
            <w:r>
              <w:rPr>
                <w:rFonts w:ascii="Times New Roman" w:cs="Times New Roman" w:eastAsia="Times New Roman" w:hAnsi="Times New Roman"/>
                <w:sz w:val="19"/>
                <w:szCs w:val="19"/>
                <w:color w:val="231F20"/>
              </w:rPr>
              <w:t>the tax benefit recognized in the U.S. and has not recorded a liability for an uncertain tax position</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1"/>
                <w:szCs w:val="21"/>
                <w:color w:val="auto"/>
              </w:rPr>
            </w:pPr>
          </w:p>
        </w:tc>
        <w:tc>
          <w:tcPr>
            <w:tcW w:w="8160" w:type="dxa"/>
            <w:vAlign w:val="bottom"/>
          </w:tcPr>
          <w:p>
            <w:pPr>
              <w:ind w:left="200"/>
              <w:spacing w:after="0"/>
              <w:rPr>
                <w:sz w:val="20"/>
                <w:szCs w:val="20"/>
                <w:color w:val="auto"/>
              </w:rPr>
            </w:pPr>
            <w:r>
              <w:rPr>
                <w:rFonts w:ascii="Times New Roman" w:cs="Times New Roman" w:eastAsia="Times New Roman" w:hAnsi="Times New Roman"/>
                <w:sz w:val="19"/>
                <w:szCs w:val="19"/>
                <w:color w:val="231F20"/>
              </w:rPr>
              <w:t>related to this matter.</w:t>
            </w:r>
          </w:p>
        </w:tc>
        <w:tc>
          <w:tcPr>
            <w:tcW w:w="0" w:type="dxa"/>
            <w:vAlign w:val="bottom"/>
          </w:tcPr>
          <w:p>
            <w:pPr>
              <w:spacing w:after="0"/>
              <w:rPr>
                <w:sz w:val="1"/>
                <w:szCs w:val="1"/>
                <w:color w:val="auto"/>
              </w:rPr>
            </w:pPr>
          </w:p>
        </w:tc>
      </w:tr>
      <w:tr>
        <w:trPr>
          <w:trHeight w:val="421"/>
        </w:trPr>
        <w:tc>
          <w:tcPr>
            <w:tcW w:w="1760" w:type="dxa"/>
            <w:vAlign w:val="bottom"/>
          </w:tcPr>
          <w:p>
            <w:pPr>
              <w:spacing w:after="0"/>
              <w:rPr>
                <w:sz w:val="24"/>
                <w:szCs w:val="24"/>
                <w:color w:val="auto"/>
              </w:rPr>
            </w:pPr>
          </w:p>
        </w:tc>
        <w:tc>
          <w:tcPr>
            <w:tcW w:w="8160" w:type="dxa"/>
            <w:vAlign w:val="bottom"/>
          </w:tcPr>
          <w:p>
            <w:pPr>
              <w:ind w:left="200"/>
              <w:spacing w:after="0"/>
              <w:rPr>
                <w:sz w:val="20"/>
                <w:szCs w:val="20"/>
                <w:color w:val="auto"/>
              </w:rPr>
            </w:pPr>
            <w:r>
              <w:rPr>
                <w:rFonts w:ascii="Times New Roman" w:cs="Times New Roman" w:eastAsia="Times New Roman" w:hAnsi="Times New Roman"/>
                <w:sz w:val="19"/>
                <w:szCs w:val="19"/>
                <w:color w:val="231F20"/>
              </w:rPr>
              <w:t>Auditing management’s analysis of tax positions related to the lack of deemed dividend inclusions</w:t>
            </w:r>
          </w:p>
        </w:tc>
        <w:tc>
          <w:tcPr>
            <w:tcW w:w="0" w:type="dxa"/>
            <w:vAlign w:val="bottom"/>
          </w:tcPr>
          <w:p>
            <w:pPr>
              <w:spacing w:after="0"/>
              <w:rPr>
                <w:sz w:val="1"/>
                <w:szCs w:val="1"/>
                <w:color w:val="auto"/>
              </w:rPr>
            </w:pPr>
          </w:p>
        </w:tc>
      </w:tr>
      <w:tr>
        <w:trPr>
          <w:trHeight w:val="217"/>
        </w:trPr>
        <w:tc>
          <w:tcPr>
            <w:tcW w:w="1760" w:type="dxa"/>
            <w:vAlign w:val="bottom"/>
          </w:tcPr>
          <w:p>
            <w:pPr>
              <w:spacing w:after="0"/>
              <w:rPr>
                <w:sz w:val="18"/>
                <w:szCs w:val="18"/>
                <w:color w:val="auto"/>
              </w:rPr>
            </w:pPr>
          </w:p>
        </w:tc>
        <w:tc>
          <w:tcPr>
            <w:tcW w:w="8160" w:type="dxa"/>
            <w:vAlign w:val="bottom"/>
          </w:tcPr>
          <w:p>
            <w:pPr>
              <w:ind w:left="200"/>
              <w:spacing w:after="0" w:line="217" w:lineRule="exact"/>
              <w:rPr>
                <w:sz w:val="20"/>
                <w:szCs w:val="20"/>
                <w:color w:val="auto"/>
              </w:rPr>
            </w:pPr>
            <w:r>
              <w:rPr>
                <w:rFonts w:ascii="Times New Roman" w:cs="Times New Roman" w:eastAsia="Times New Roman" w:hAnsi="Times New Roman"/>
                <w:sz w:val="19"/>
                <w:szCs w:val="19"/>
                <w:color w:val="231F20"/>
              </w:rPr>
              <w:t>and associated withholding tax for fiscal year 2018 was challenging as the analysis is highly</w:t>
            </w:r>
          </w:p>
        </w:tc>
        <w:tc>
          <w:tcPr>
            <w:tcW w:w="0" w:type="dxa"/>
            <w:vAlign w:val="bottom"/>
          </w:tcPr>
          <w:p>
            <w:pPr>
              <w:spacing w:after="0"/>
              <w:rPr>
                <w:sz w:val="1"/>
                <w:szCs w:val="1"/>
                <w:color w:val="auto"/>
              </w:rPr>
            </w:pPr>
          </w:p>
        </w:tc>
      </w:tr>
      <w:tr>
        <w:trPr>
          <w:trHeight w:val="217"/>
        </w:trPr>
        <w:tc>
          <w:tcPr>
            <w:tcW w:w="1760" w:type="dxa"/>
            <w:vAlign w:val="bottom"/>
          </w:tcPr>
          <w:p>
            <w:pPr>
              <w:spacing w:after="0"/>
              <w:rPr>
                <w:sz w:val="18"/>
                <w:szCs w:val="18"/>
                <w:color w:val="auto"/>
              </w:rPr>
            </w:pPr>
          </w:p>
        </w:tc>
        <w:tc>
          <w:tcPr>
            <w:tcW w:w="8160" w:type="dxa"/>
            <w:vAlign w:val="bottom"/>
          </w:tcPr>
          <w:p>
            <w:pPr>
              <w:ind w:left="200"/>
              <w:spacing w:after="0" w:line="217" w:lineRule="exact"/>
              <w:rPr>
                <w:sz w:val="20"/>
                <w:szCs w:val="20"/>
                <w:color w:val="auto"/>
              </w:rPr>
            </w:pPr>
            <w:r>
              <w:rPr>
                <w:rFonts w:ascii="Times New Roman" w:cs="Times New Roman" w:eastAsia="Times New Roman" w:hAnsi="Times New Roman"/>
                <w:sz w:val="19"/>
                <w:szCs w:val="19"/>
                <w:color w:val="231F20"/>
              </w:rPr>
              <w:t>judgmental due to complex interpretations of tax laws and legal rulings. In addition, periodic</w:t>
            </w:r>
          </w:p>
        </w:tc>
        <w:tc>
          <w:tcPr>
            <w:tcW w:w="0" w:type="dxa"/>
            <w:vAlign w:val="bottom"/>
          </w:tcPr>
          <w:p>
            <w:pPr>
              <w:spacing w:after="0"/>
              <w:rPr>
                <w:sz w:val="1"/>
                <w:szCs w:val="1"/>
                <w:color w:val="auto"/>
              </w:rPr>
            </w:pPr>
          </w:p>
        </w:tc>
      </w:tr>
      <w:tr>
        <w:trPr>
          <w:trHeight w:val="217"/>
        </w:trPr>
        <w:tc>
          <w:tcPr>
            <w:tcW w:w="1760" w:type="dxa"/>
            <w:vAlign w:val="bottom"/>
          </w:tcPr>
          <w:p>
            <w:pPr>
              <w:spacing w:after="0"/>
              <w:rPr>
                <w:sz w:val="18"/>
                <w:szCs w:val="18"/>
                <w:color w:val="auto"/>
              </w:rPr>
            </w:pPr>
          </w:p>
        </w:tc>
        <w:tc>
          <w:tcPr>
            <w:tcW w:w="8160" w:type="dxa"/>
            <w:vAlign w:val="bottom"/>
          </w:tcPr>
          <w:p>
            <w:pPr>
              <w:ind w:left="200"/>
              <w:spacing w:after="0" w:line="217" w:lineRule="exact"/>
              <w:rPr>
                <w:sz w:val="20"/>
                <w:szCs w:val="20"/>
                <w:color w:val="auto"/>
              </w:rPr>
            </w:pPr>
            <w:r>
              <w:rPr>
                <w:rFonts w:ascii="Times New Roman" w:cs="Times New Roman" w:eastAsia="Times New Roman" w:hAnsi="Times New Roman"/>
                <w:sz w:val="19"/>
                <w:szCs w:val="19"/>
                <w:color w:val="231F20"/>
              </w:rPr>
              <w:t>reassessment is required to evaluate changes impacting these tax positions, including regulatory</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1"/>
                <w:szCs w:val="21"/>
                <w:color w:val="auto"/>
              </w:rPr>
            </w:pPr>
          </w:p>
        </w:tc>
        <w:tc>
          <w:tcPr>
            <w:tcW w:w="8160" w:type="dxa"/>
            <w:vAlign w:val="bottom"/>
          </w:tcPr>
          <w:p>
            <w:pPr>
              <w:ind w:left="200"/>
              <w:spacing w:after="0"/>
              <w:rPr>
                <w:sz w:val="20"/>
                <w:szCs w:val="20"/>
                <w:color w:val="auto"/>
              </w:rPr>
            </w:pPr>
            <w:r>
              <w:rPr>
                <w:rFonts w:ascii="Times New Roman" w:cs="Times New Roman" w:eastAsia="Times New Roman" w:hAnsi="Times New Roman"/>
                <w:sz w:val="19"/>
                <w:szCs w:val="19"/>
                <w:color w:val="231F20"/>
              </w:rPr>
              <w:t>changes, litigation and examination activity.</w:t>
            </w:r>
          </w:p>
        </w:tc>
        <w:tc>
          <w:tcPr>
            <w:tcW w:w="0" w:type="dxa"/>
            <w:vAlign w:val="bottom"/>
          </w:tcPr>
          <w:p>
            <w:pPr>
              <w:spacing w:after="0"/>
              <w:rPr>
                <w:sz w:val="1"/>
                <w:szCs w:val="1"/>
                <w:color w:val="auto"/>
              </w:rPr>
            </w:pPr>
          </w:p>
        </w:tc>
      </w:tr>
      <w:tr>
        <w:trPr>
          <w:trHeight w:val="597"/>
        </w:trPr>
        <w:tc>
          <w:tcPr>
            <w:tcW w:w="1760" w:type="dxa"/>
            <w:vAlign w:val="bottom"/>
          </w:tcPr>
          <w:p>
            <w:pPr>
              <w:spacing w:after="0"/>
              <w:rPr>
                <w:sz w:val="20"/>
                <w:szCs w:val="20"/>
                <w:color w:val="auto"/>
              </w:rPr>
            </w:pPr>
            <w:r>
              <w:rPr>
                <w:rFonts w:ascii="Times New Roman" w:cs="Times New Roman" w:eastAsia="Times New Roman" w:hAnsi="Times New Roman"/>
                <w:sz w:val="19"/>
                <w:szCs w:val="19"/>
                <w:i w:val="1"/>
                <w:iCs w:val="1"/>
                <w:color w:val="231F20"/>
              </w:rPr>
              <w:t>How We</w:t>
            </w:r>
          </w:p>
        </w:tc>
        <w:tc>
          <w:tcPr>
            <w:tcW w:w="8160" w:type="dxa"/>
            <w:vAlign w:val="bottom"/>
          </w:tcPr>
          <w:p>
            <w:pPr>
              <w:ind w:left="200"/>
              <w:spacing w:after="0"/>
              <w:rPr>
                <w:sz w:val="20"/>
                <w:szCs w:val="20"/>
                <w:color w:val="auto"/>
              </w:rPr>
            </w:pPr>
            <w:r>
              <w:rPr>
                <w:rFonts w:ascii="Times New Roman" w:cs="Times New Roman" w:eastAsia="Times New Roman" w:hAnsi="Times New Roman"/>
                <w:sz w:val="19"/>
                <w:szCs w:val="19"/>
                <w:color w:val="231F20"/>
              </w:rPr>
              <w:t>We obtained an understanding, evaluated the design and tested the operating effectiveness of controls</w:t>
            </w:r>
          </w:p>
        </w:tc>
        <w:tc>
          <w:tcPr>
            <w:tcW w:w="0" w:type="dxa"/>
            <w:vAlign w:val="bottom"/>
          </w:tcPr>
          <w:p>
            <w:pPr>
              <w:spacing w:after="0"/>
              <w:rPr>
                <w:sz w:val="1"/>
                <w:szCs w:val="1"/>
                <w:color w:val="auto"/>
              </w:rPr>
            </w:pPr>
          </w:p>
        </w:tc>
      </w:tr>
      <w:tr>
        <w:trPr>
          <w:trHeight w:val="217"/>
        </w:trPr>
        <w:tc>
          <w:tcPr>
            <w:tcW w:w="1760" w:type="dxa"/>
            <w:vAlign w:val="bottom"/>
          </w:tcPr>
          <w:p>
            <w:pPr>
              <w:spacing w:after="0" w:line="217" w:lineRule="exact"/>
              <w:rPr>
                <w:sz w:val="20"/>
                <w:szCs w:val="20"/>
                <w:color w:val="auto"/>
              </w:rPr>
            </w:pPr>
            <w:r>
              <w:rPr>
                <w:rFonts w:ascii="Times New Roman" w:cs="Times New Roman" w:eastAsia="Times New Roman" w:hAnsi="Times New Roman"/>
                <w:sz w:val="19"/>
                <w:szCs w:val="19"/>
                <w:i w:val="1"/>
                <w:iCs w:val="1"/>
                <w:color w:val="231F20"/>
              </w:rPr>
              <w:t>Addressed the</w:t>
            </w:r>
          </w:p>
        </w:tc>
        <w:tc>
          <w:tcPr>
            <w:tcW w:w="8160" w:type="dxa"/>
            <w:vAlign w:val="bottom"/>
          </w:tcPr>
          <w:p>
            <w:pPr>
              <w:ind w:left="200"/>
              <w:spacing w:after="0" w:line="217" w:lineRule="exact"/>
              <w:rPr>
                <w:sz w:val="20"/>
                <w:szCs w:val="20"/>
                <w:color w:val="auto"/>
              </w:rPr>
            </w:pPr>
            <w:r>
              <w:rPr>
                <w:rFonts w:ascii="Times New Roman" w:cs="Times New Roman" w:eastAsia="Times New Roman" w:hAnsi="Times New Roman"/>
                <w:sz w:val="19"/>
                <w:szCs w:val="19"/>
                <w:color w:val="231F20"/>
              </w:rPr>
              <w:t>over the Company’s accounting process for uncertain tax positions. For example, we tested controls</w:t>
            </w:r>
          </w:p>
        </w:tc>
        <w:tc>
          <w:tcPr>
            <w:tcW w:w="0" w:type="dxa"/>
            <w:vAlign w:val="bottom"/>
          </w:tcPr>
          <w:p>
            <w:pPr>
              <w:spacing w:after="0"/>
              <w:rPr>
                <w:sz w:val="1"/>
                <w:szCs w:val="1"/>
                <w:color w:val="auto"/>
              </w:rPr>
            </w:pPr>
          </w:p>
        </w:tc>
      </w:tr>
      <w:tr>
        <w:trPr>
          <w:trHeight w:val="219"/>
        </w:trPr>
        <w:tc>
          <w:tcPr>
            <w:tcW w:w="1760" w:type="dxa"/>
            <w:vAlign w:val="bottom"/>
          </w:tcPr>
          <w:p>
            <w:pPr>
              <w:spacing w:after="0"/>
              <w:rPr>
                <w:sz w:val="20"/>
                <w:szCs w:val="20"/>
                <w:color w:val="auto"/>
              </w:rPr>
            </w:pPr>
            <w:r>
              <w:rPr>
                <w:rFonts w:ascii="Times New Roman" w:cs="Times New Roman" w:eastAsia="Times New Roman" w:hAnsi="Times New Roman"/>
                <w:sz w:val="19"/>
                <w:szCs w:val="19"/>
                <w:i w:val="1"/>
                <w:iCs w:val="1"/>
                <w:color w:val="231F20"/>
              </w:rPr>
              <w:t>Matter in Our Audit</w:t>
            </w:r>
          </w:p>
        </w:tc>
        <w:tc>
          <w:tcPr>
            <w:tcW w:w="8160" w:type="dxa"/>
            <w:vAlign w:val="bottom"/>
          </w:tcPr>
          <w:p>
            <w:pPr>
              <w:ind w:left="200"/>
              <w:spacing w:after="0"/>
              <w:rPr>
                <w:sz w:val="20"/>
                <w:szCs w:val="20"/>
                <w:color w:val="auto"/>
              </w:rPr>
            </w:pPr>
            <w:r>
              <w:rPr>
                <w:rFonts w:ascii="Times New Roman" w:cs="Times New Roman" w:eastAsia="Times New Roman" w:hAnsi="Times New Roman"/>
                <w:sz w:val="19"/>
                <w:szCs w:val="19"/>
                <w:color w:val="231F20"/>
              </w:rPr>
              <w:t>over management’s identification of uncertain tax positions and its application of the recognition and</w:t>
            </w:r>
          </w:p>
        </w:tc>
        <w:tc>
          <w:tcPr>
            <w:tcW w:w="0" w:type="dxa"/>
            <w:vAlign w:val="bottom"/>
          </w:tcPr>
          <w:p>
            <w:pPr>
              <w:spacing w:after="0"/>
              <w:rPr>
                <w:sz w:val="1"/>
                <w:szCs w:val="1"/>
                <w:color w:val="auto"/>
              </w:rPr>
            </w:pPr>
          </w:p>
        </w:tc>
      </w:tr>
      <w:tr>
        <w:trPr>
          <w:trHeight w:val="217"/>
        </w:trPr>
        <w:tc>
          <w:tcPr>
            <w:tcW w:w="1760" w:type="dxa"/>
            <w:vAlign w:val="bottom"/>
          </w:tcPr>
          <w:p>
            <w:pPr>
              <w:spacing w:after="0"/>
              <w:rPr>
                <w:sz w:val="18"/>
                <w:szCs w:val="18"/>
                <w:color w:val="auto"/>
              </w:rPr>
            </w:pPr>
          </w:p>
        </w:tc>
        <w:tc>
          <w:tcPr>
            <w:tcW w:w="8160" w:type="dxa"/>
            <w:vAlign w:val="bottom"/>
          </w:tcPr>
          <w:p>
            <w:pPr>
              <w:ind w:left="200"/>
              <w:spacing w:after="0" w:line="217" w:lineRule="exact"/>
              <w:rPr>
                <w:sz w:val="20"/>
                <w:szCs w:val="20"/>
                <w:color w:val="auto"/>
              </w:rPr>
            </w:pPr>
            <w:r>
              <w:rPr>
                <w:rFonts w:ascii="Times New Roman" w:cs="Times New Roman" w:eastAsia="Times New Roman" w:hAnsi="Times New Roman"/>
                <w:sz w:val="19"/>
                <w:szCs w:val="19"/>
                <w:color w:val="231F20"/>
              </w:rPr>
              <w:t>measurement principles, including management’s review of the facts and circumstances, including</w:t>
            </w:r>
          </w:p>
        </w:tc>
        <w:tc>
          <w:tcPr>
            <w:tcW w:w="0" w:type="dxa"/>
            <w:vAlign w:val="bottom"/>
          </w:tcPr>
          <w:p>
            <w:pPr>
              <w:spacing w:after="0"/>
              <w:rPr>
                <w:sz w:val="1"/>
                <w:szCs w:val="1"/>
                <w:color w:val="auto"/>
              </w:rPr>
            </w:pPr>
          </w:p>
        </w:tc>
      </w:tr>
      <w:tr>
        <w:trPr>
          <w:trHeight w:val="217"/>
        </w:trPr>
        <w:tc>
          <w:tcPr>
            <w:tcW w:w="1760" w:type="dxa"/>
            <w:vAlign w:val="bottom"/>
          </w:tcPr>
          <w:p>
            <w:pPr>
              <w:spacing w:after="0"/>
              <w:rPr>
                <w:sz w:val="18"/>
                <w:szCs w:val="18"/>
                <w:color w:val="auto"/>
              </w:rPr>
            </w:pPr>
          </w:p>
        </w:tc>
        <w:tc>
          <w:tcPr>
            <w:tcW w:w="8160" w:type="dxa"/>
            <w:vAlign w:val="bottom"/>
          </w:tcPr>
          <w:p>
            <w:pPr>
              <w:ind w:left="200"/>
              <w:spacing w:after="0" w:line="217" w:lineRule="exact"/>
              <w:rPr>
                <w:sz w:val="20"/>
                <w:szCs w:val="20"/>
                <w:color w:val="auto"/>
              </w:rPr>
            </w:pPr>
            <w:r>
              <w:rPr>
                <w:rFonts w:ascii="Times New Roman" w:cs="Times New Roman" w:eastAsia="Times New Roman" w:hAnsi="Times New Roman"/>
                <w:sz w:val="19"/>
                <w:szCs w:val="19"/>
                <w:color w:val="231F20"/>
              </w:rPr>
              <w:t>current year developments, and the corresponding tax laws relied upon to conclude that it is currently</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1"/>
                <w:szCs w:val="21"/>
                <w:color w:val="auto"/>
              </w:rPr>
            </w:pPr>
          </w:p>
        </w:tc>
        <w:tc>
          <w:tcPr>
            <w:tcW w:w="8160" w:type="dxa"/>
            <w:vAlign w:val="bottom"/>
          </w:tcPr>
          <w:p>
            <w:pPr>
              <w:ind w:left="200"/>
              <w:spacing w:after="0"/>
              <w:rPr>
                <w:sz w:val="20"/>
                <w:szCs w:val="20"/>
                <w:color w:val="auto"/>
              </w:rPr>
            </w:pPr>
            <w:r>
              <w:rPr>
                <w:rFonts w:ascii="Times New Roman" w:cs="Times New Roman" w:eastAsia="Times New Roman" w:hAnsi="Times New Roman"/>
                <w:sz w:val="19"/>
                <w:szCs w:val="19"/>
                <w:color w:val="231F20"/>
              </w:rPr>
              <w:t>more-likely-than-not that they will realize the benefit recorded.</w:t>
            </w:r>
          </w:p>
        </w:tc>
        <w:tc>
          <w:tcPr>
            <w:tcW w:w="0" w:type="dxa"/>
            <w:vAlign w:val="bottom"/>
          </w:tcPr>
          <w:p>
            <w:pPr>
              <w:spacing w:after="0"/>
              <w:rPr>
                <w:sz w:val="1"/>
                <w:szCs w:val="1"/>
                <w:color w:val="auto"/>
              </w:rPr>
            </w:pPr>
          </w:p>
        </w:tc>
      </w:tr>
      <w:tr>
        <w:trPr>
          <w:trHeight w:val="421"/>
        </w:trPr>
        <w:tc>
          <w:tcPr>
            <w:tcW w:w="1760" w:type="dxa"/>
            <w:vAlign w:val="bottom"/>
          </w:tcPr>
          <w:p>
            <w:pPr>
              <w:spacing w:after="0"/>
              <w:rPr>
                <w:sz w:val="24"/>
                <w:szCs w:val="24"/>
                <w:color w:val="auto"/>
              </w:rPr>
            </w:pPr>
          </w:p>
        </w:tc>
        <w:tc>
          <w:tcPr>
            <w:tcW w:w="8160" w:type="dxa"/>
            <w:vAlign w:val="bottom"/>
          </w:tcPr>
          <w:p>
            <w:pPr>
              <w:ind w:left="200"/>
              <w:spacing w:after="0"/>
              <w:rPr>
                <w:sz w:val="20"/>
                <w:szCs w:val="20"/>
                <w:color w:val="auto"/>
              </w:rPr>
            </w:pPr>
            <w:r>
              <w:rPr>
                <w:rFonts w:ascii="Times New Roman" w:cs="Times New Roman" w:eastAsia="Times New Roman" w:hAnsi="Times New Roman"/>
                <w:sz w:val="19"/>
                <w:szCs w:val="19"/>
                <w:color w:val="231F20"/>
              </w:rPr>
              <w:t>Our audit procedures included, among others, assessing the Company's correspondence with the</w:t>
            </w:r>
          </w:p>
        </w:tc>
        <w:tc>
          <w:tcPr>
            <w:tcW w:w="0" w:type="dxa"/>
            <w:vAlign w:val="bottom"/>
          </w:tcPr>
          <w:p>
            <w:pPr>
              <w:spacing w:after="0"/>
              <w:rPr>
                <w:sz w:val="1"/>
                <w:szCs w:val="1"/>
                <w:color w:val="auto"/>
              </w:rPr>
            </w:pPr>
          </w:p>
        </w:tc>
      </w:tr>
      <w:tr>
        <w:trPr>
          <w:trHeight w:val="217"/>
        </w:trPr>
        <w:tc>
          <w:tcPr>
            <w:tcW w:w="1760" w:type="dxa"/>
            <w:vAlign w:val="bottom"/>
          </w:tcPr>
          <w:p>
            <w:pPr>
              <w:spacing w:after="0"/>
              <w:rPr>
                <w:sz w:val="18"/>
                <w:szCs w:val="18"/>
                <w:color w:val="auto"/>
              </w:rPr>
            </w:pPr>
          </w:p>
        </w:tc>
        <w:tc>
          <w:tcPr>
            <w:tcW w:w="8160" w:type="dxa"/>
            <w:vAlign w:val="bottom"/>
          </w:tcPr>
          <w:p>
            <w:pPr>
              <w:ind w:left="200"/>
              <w:spacing w:after="0" w:line="217" w:lineRule="exact"/>
              <w:rPr>
                <w:sz w:val="20"/>
                <w:szCs w:val="20"/>
                <w:color w:val="auto"/>
              </w:rPr>
            </w:pPr>
            <w:r>
              <w:rPr>
                <w:rFonts w:ascii="Times New Roman" w:cs="Times New Roman" w:eastAsia="Times New Roman" w:hAnsi="Times New Roman"/>
                <w:sz w:val="19"/>
                <w:szCs w:val="19"/>
                <w:color w:val="231F20"/>
              </w:rPr>
              <w:t>relevant tax authorities related to current year developments. With the assistance of our income tax</w:t>
            </w:r>
          </w:p>
        </w:tc>
        <w:tc>
          <w:tcPr>
            <w:tcW w:w="0" w:type="dxa"/>
            <w:vAlign w:val="bottom"/>
          </w:tcPr>
          <w:p>
            <w:pPr>
              <w:spacing w:after="0"/>
              <w:rPr>
                <w:sz w:val="1"/>
                <w:szCs w:val="1"/>
                <w:color w:val="auto"/>
              </w:rPr>
            </w:pPr>
          </w:p>
        </w:tc>
      </w:tr>
      <w:tr>
        <w:trPr>
          <w:trHeight w:val="217"/>
        </w:trPr>
        <w:tc>
          <w:tcPr>
            <w:tcW w:w="1760" w:type="dxa"/>
            <w:vAlign w:val="bottom"/>
          </w:tcPr>
          <w:p>
            <w:pPr>
              <w:spacing w:after="0"/>
              <w:rPr>
                <w:sz w:val="18"/>
                <w:szCs w:val="18"/>
                <w:color w:val="auto"/>
              </w:rPr>
            </w:pPr>
          </w:p>
        </w:tc>
        <w:tc>
          <w:tcPr>
            <w:tcW w:w="8160" w:type="dxa"/>
            <w:vAlign w:val="bottom"/>
          </w:tcPr>
          <w:p>
            <w:pPr>
              <w:ind w:left="200"/>
              <w:spacing w:after="0" w:line="217" w:lineRule="exact"/>
              <w:rPr>
                <w:sz w:val="20"/>
                <w:szCs w:val="20"/>
                <w:color w:val="auto"/>
              </w:rPr>
            </w:pPr>
            <w:r>
              <w:rPr>
                <w:rFonts w:ascii="Times New Roman" w:cs="Times New Roman" w:eastAsia="Times New Roman" w:hAnsi="Times New Roman"/>
                <w:sz w:val="19"/>
                <w:szCs w:val="19"/>
                <w:color w:val="231F20"/>
              </w:rPr>
              <w:t>professionals, we evaluated evidence of the status of the dispute with the IRS, including inquiries of</w:t>
            </w:r>
          </w:p>
        </w:tc>
        <w:tc>
          <w:tcPr>
            <w:tcW w:w="0" w:type="dxa"/>
            <w:vAlign w:val="bottom"/>
          </w:tcPr>
          <w:p>
            <w:pPr>
              <w:spacing w:after="0"/>
              <w:rPr>
                <w:sz w:val="1"/>
                <w:szCs w:val="1"/>
                <w:color w:val="auto"/>
              </w:rPr>
            </w:pPr>
          </w:p>
        </w:tc>
      </w:tr>
      <w:tr>
        <w:trPr>
          <w:trHeight w:val="217"/>
        </w:trPr>
        <w:tc>
          <w:tcPr>
            <w:tcW w:w="1760" w:type="dxa"/>
            <w:vAlign w:val="bottom"/>
          </w:tcPr>
          <w:p>
            <w:pPr>
              <w:spacing w:after="0"/>
              <w:rPr>
                <w:sz w:val="18"/>
                <w:szCs w:val="18"/>
                <w:color w:val="auto"/>
              </w:rPr>
            </w:pPr>
          </w:p>
        </w:tc>
        <w:tc>
          <w:tcPr>
            <w:tcW w:w="8160" w:type="dxa"/>
            <w:vAlign w:val="bottom"/>
          </w:tcPr>
          <w:p>
            <w:pPr>
              <w:ind w:left="200"/>
              <w:spacing w:after="0" w:line="217" w:lineRule="exact"/>
              <w:rPr>
                <w:sz w:val="20"/>
                <w:szCs w:val="20"/>
                <w:color w:val="auto"/>
              </w:rPr>
            </w:pPr>
            <w:r>
              <w:rPr>
                <w:rFonts w:ascii="Times New Roman" w:cs="Times New Roman" w:eastAsia="Times New Roman" w:hAnsi="Times New Roman"/>
                <w:sz w:val="19"/>
                <w:szCs w:val="19"/>
                <w:color w:val="231F20"/>
              </w:rPr>
              <w:t>and written representations from management and correspondence with external counsel engaged in</w:t>
            </w:r>
          </w:p>
        </w:tc>
        <w:tc>
          <w:tcPr>
            <w:tcW w:w="0" w:type="dxa"/>
            <w:vAlign w:val="bottom"/>
          </w:tcPr>
          <w:p>
            <w:pPr>
              <w:spacing w:after="0"/>
              <w:rPr>
                <w:sz w:val="1"/>
                <w:szCs w:val="1"/>
                <w:color w:val="auto"/>
              </w:rPr>
            </w:pPr>
          </w:p>
        </w:tc>
      </w:tr>
      <w:tr>
        <w:trPr>
          <w:trHeight w:val="217"/>
        </w:trPr>
        <w:tc>
          <w:tcPr>
            <w:tcW w:w="1760" w:type="dxa"/>
            <w:vAlign w:val="bottom"/>
          </w:tcPr>
          <w:p>
            <w:pPr>
              <w:spacing w:after="0"/>
              <w:rPr>
                <w:sz w:val="18"/>
                <w:szCs w:val="18"/>
                <w:color w:val="auto"/>
              </w:rPr>
            </w:pPr>
          </w:p>
        </w:tc>
        <w:tc>
          <w:tcPr>
            <w:tcW w:w="8160" w:type="dxa"/>
            <w:vAlign w:val="bottom"/>
          </w:tcPr>
          <w:p>
            <w:pPr>
              <w:ind w:left="200"/>
              <w:spacing w:after="0" w:line="217" w:lineRule="exact"/>
              <w:rPr>
                <w:sz w:val="20"/>
                <w:szCs w:val="20"/>
                <w:color w:val="auto"/>
              </w:rPr>
            </w:pPr>
            <w:r>
              <w:rPr>
                <w:rFonts w:ascii="Times New Roman" w:cs="Times New Roman" w:eastAsia="Times New Roman" w:hAnsi="Times New Roman"/>
                <w:sz w:val="19"/>
                <w:szCs w:val="19"/>
                <w:color w:val="231F20"/>
              </w:rPr>
              <w:t>the matter. We also evaluated the adequacy of the Company's disclosures included in Note 10 to the</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1"/>
                <w:szCs w:val="21"/>
                <w:color w:val="auto"/>
              </w:rPr>
            </w:pPr>
          </w:p>
        </w:tc>
        <w:tc>
          <w:tcPr>
            <w:tcW w:w="8160" w:type="dxa"/>
            <w:vAlign w:val="bottom"/>
          </w:tcPr>
          <w:p>
            <w:pPr>
              <w:ind w:left="200"/>
              <w:spacing w:after="0"/>
              <w:rPr>
                <w:sz w:val="20"/>
                <w:szCs w:val="20"/>
                <w:color w:val="auto"/>
              </w:rPr>
            </w:pPr>
            <w:r>
              <w:rPr>
                <w:rFonts w:ascii="Times New Roman" w:cs="Times New Roman" w:eastAsia="Times New Roman" w:hAnsi="Times New Roman"/>
                <w:sz w:val="19"/>
                <w:szCs w:val="19"/>
                <w:color w:val="231F20"/>
              </w:rPr>
              <w:t>consolidated financial statements in relation to the matter.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We have served as the Company’s auditor since 1989.</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/s/ Ernst &amp; Young LLP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Cleveland, Ohio</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May 29, 2026</w:t>
      </w:r>
    </w:p>
    <w:p>
      <w:pPr>
        <w:sectPr>
          <w:pgSz w:w="11880" w:h="15480" w:orient="portrait"/>
          <w:cols w:equalWidth="0" w:num="1">
            <w:col w:w="9980"/>
          </w:cols>
          <w:pgMar w:left="780" w:top="869"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9"/>
          <w:szCs w:val="19"/>
          <w:color w:val="231F20"/>
        </w:rPr>
        <w:t>53</w:t>
      </w:r>
    </w:p>
    <w:p>
      <w:pPr>
        <w:sectPr>
          <w:pgSz w:w="11880" w:h="15480" w:orient="portrait"/>
          <w:cols w:equalWidth="0" w:num="1">
            <w:col w:w="9980"/>
          </w:cols>
          <w:pgMar w:left="780" w:top="869" w:right="1120" w:bottom="0" w:gutter="0" w:footer="0" w:header="0"/>
          <w:type w:val="continuous"/>
        </w:sectPr>
      </w:pPr>
    </w:p>
    <w:bookmarkStart w:id="54" w:name="page55"/>
    <w:bookmarkEnd w:id="54"/>
    <w:p>
      <w:pPr>
        <w:jc w:val="center"/>
        <w:ind w:right="-79"/>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231F20"/>
        </w:rPr>
        <w:t>CONSOLIDATED BALANCE SHEETS</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231F20"/>
        </w:rPr>
        <w:t>(in millions, except par value)</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94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7"/>
                <w:szCs w:val="17"/>
                <w:color w:val="231F20"/>
              </w:rPr>
              <w:t>March 31,</w:t>
            </w:r>
          </w:p>
        </w:tc>
        <w:tc>
          <w:tcPr>
            <w:tcW w:w="360" w:type="dxa"/>
            <w:vAlign w:val="bottom"/>
            <w:tcBorders>
              <w:bottom w:val="single" w:sz="8" w:color="231F20"/>
            </w:tcBorders>
          </w:tcPr>
          <w:p>
            <w:pPr>
              <w:spacing w:after="0"/>
              <w:rPr>
                <w:sz w:val="20"/>
                <w:szCs w:val="20"/>
                <w:color w:val="auto"/>
              </w:rPr>
            </w:pPr>
          </w:p>
        </w:tc>
        <w:tc>
          <w:tcPr>
            <w:tcW w:w="1160" w:type="dxa"/>
            <w:vAlign w:val="bottom"/>
            <w:tcBorders>
              <w:bottom w:val="single" w:sz="8" w:color="231F20"/>
            </w:tcBorders>
          </w:tcPr>
          <w:p>
            <w:pPr>
              <w:jc w:val="right"/>
              <w:ind w:right="523"/>
              <w:spacing w:after="0"/>
              <w:rPr>
                <w:sz w:val="20"/>
                <w:szCs w:val="20"/>
                <w:color w:val="auto"/>
              </w:rPr>
            </w:pPr>
            <w:r>
              <w:rPr>
                <w:rFonts w:ascii="Times New Roman" w:cs="Times New Roman" w:eastAsia="Times New Roman" w:hAnsi="Times New Roman"/>
                <w:sz w:val="17"/>
                <w:szCs w:val="17"/>
                <w:color w:val="231F20"/>
              </w:rPr>
              <w:t>2026</w:t>
            </w:r>
          </w:p>
        </w:tc>
        <w:tc>
          <w:tcPr>
            <w:tcW w:w="360" w:type="dxa"/>
            <w:vAlign w:val="bottom"/>
            <w:tcBorders>
              <w:bottom w:val="single" w:sz="8" w:color="231F20"/>
            </w:tcBorders>
          </w:tcPr>
          <w:p>
            <w:pPr>
              <w:spacing w:after="0"/>
              <w:rPr>
                <w:sz w:val="20"/>
                <w:szCs w:val="20"/>
                <w:color w:val="auto"/>
              </w:rPr>
            </w:pPr>
          </w:p>
        </w:tc>
        <w:tc>
          <w:tcPr>
            <w:tcW w:w="1100" w:type="dxa"/>
            <w:vAlign w:val="bottom"/>
            <w:tcBorders>
              <w:bottom w:val="single" w:sz="8" w:color="231F20"/>
            </w:tcBorders>
          </w:tcPr>
          <w:p>
            <w:pPr>
              <w:jc w:val="right"/>
              <w:ind w:right="443"/>
              <w:spacing w:after="0"/>
              <w:rPr>
                <w:sz w:val="20"/>
                <w:szCs w:val="20"/>
                <w:color w:val="auto"/>
              </w:rPr>
            </w:pPr>
            <w:r>
              <w:rPr>
                <w:rFonts w:ascii="Times New Roman" w:cs="Times New Roman" w:eastAsia="Times New Roman" w:hAnsi="Times New Roman"/>
                <w:sz w:val="17"/>
                <w:szCs w:val="17"/>
                <w:color w:val="231F20"/>
              </w:rPr>
              <w:t>2025</w:t>
            </w:r>
          </w:p>
        </w:tc>
        <w:tc>
          <w:tcPr>
            <w:tcW w:w="0" w:type="dxa"/>
            <w:vAlign w:val="bottom"/>
          </w:tcPr>
          <w:p>
            <w:pPr>
              <w:spacing w:after="0"/>
              <w:rPr>
                <w:sz w:val="1"/>
                <w:szCs w:val="1"/>
                <w:color w:val="auto"/>
              </w:rPr>
            </w:pPr>
          </w:p>
        </w:tc>
      </w:tr>
      <w:tr>
        <w:trPr>
          <w:trHeight w:val="257"/>
        </w:trPr>
        <w:tc>
          <w:tcPr>
            <w:tcW w:w="6940" w:type="dxa"/>
            <w:vAlign w:val="bottom"/>
          </w:tcPr>
          <w:p>
            <w:pPr>
              <w:ind w:left="3180"/>
              <w:spacing w:after="0"/>
              <w:rPr>
                <w:sz w:val="20"/>
                <w:szCs w:val="20"/>
                <w:color w:val="auto"/>
              </w:rPr>
            </w:pPr>
            <w:r>
              <w:rPr>
                <w:rFonts w:ascii="Times New Roman" w:cs="Times New Roman" w:eastAsia="Times New Roman" w:hAnsi="Times New Roman"/>
                <w:sz w:val="19"/>
                <w:szCs w:val="19"/>
                <w:b w:val="1"/>
                <w:bCs w:val="1"/>
                <w:color w:val="231F20"/>
              </w:rPr>
              <w:t>Assets</w:t>
            </w: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Current assets:</w:t>
            </w: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694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Cash and cash equivalents</w:t>
            </w:r>
          </w:p>
        </w:tc>
        <w:tc>
          <w:tcPr>
            <w:tcW w:w="360" w:type="dxa"/>
            <w:vAlign w:val="bottom"/>
          </w:tcPr>
          <w:p>
            <w:pPr>
              <w:jc w:val="right"/>
              <w:ind w:right="103"/>
              <w:spacing w:after="0"/>
              <w:rPr>
                <w:sz w:val="20"/>
                <w:szCs w:val="20"/>
                <w:color w:val="auto"/>
              </w:rPr>
            </w:pPr>
            <w:r>
              <w:rPr>
                <w:rFonts w:ascii="Times New Roman" w:cs="Times New Roman" w:eastAsia="Times New Roman" w:hAnsi="Times New Roman"/>
                <w:sz w:val="19"/>
                <w:szCs w:val="19"/>
                <w:b w:val="1"/>
                <w:bCs w:val="1"/>
                <w:color w:val="231F20"/>
              </w:rPr>
              <w:t>$</w:t>
            </w:r>
          </w:p>
        </w:tc>
        <w:tc>
          <w:tcPr>
            <w:tcW w:w="11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439.6</w:t>
            </w:r>
          </w:p>
        </w:tc>
        <w:tc>
          <w:tcPr>
            <w:tcW w:w="36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171.7</w:t>
            </w:r>
          </w:p>
        </w:tc>
        <w:tc>
          <w:tcPr>
            <w:tcW w:w="0" w:type="dxa"/>
            <w:vAlign w:val="bottom"/>
          </w:tcPr>
          <w:p>
            <w:pPr>
              <w:spacing w:after="0"/>
              <w:rPr>
                <w:sz w:val="1"/>
                <w:szCs w:val="1"/>
                <w:color w:val="auto"/>
              </w:rPr>
            </w:pPr>
          </w:p>
        </w:tc>
      </w:tr>
      <w:tr>
        <w:trPr>
          <w:trHeight w:val="291"/>
        </w:trPr>
        <w:tc>
          <w:tcPr>
            <w:tcW w:w="694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Accounts receivable (net of allowances of $27.3 and $24.4, respectively)</w:t>
            </w:r>
          </w:p>
        </w:tc>
        <w:tc>
          <w:tcPr>
            <w:tcW w:w="360" w:type="dxa"/>
            <w:vAlign w:val="bottom"/>
          </w:tcPr>
          <w:p>
            <w:pPr>
              <w:spacing w:after="0"/>
              <w:rPr>
                <w:sz w:val="24"/>
                <w:szCs w:val="24"/>
                <w:color w:val="auto"/>
              </w:rPr>
            </w:pPr>
          </w:p>
        </w:tc>
        <w:tc>
          <w:tcPr>
            <w:tcW w:w="11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1,092.8</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1,044.0</w:t>
            </w:r>
          </w:p>
        </w:tc>
        <w:tc>
          <w:tcPr>
            <w:tcW w:w="0" w:type="dxa"/>
            <w:vAlign w:val="bottom"/>
          </w:tcPr>
          <w:p>
            <w:pPr>
              <w:spacing w:after="0"/>
              <w:rPr>
                <w:sz w:val="1"/>
                <w:szCs w:val="1"/>
                <w:color w:val="auto"/>
              </w:rPr>
            </w:pPr>
          </w:p>
        </w:tc>
      </w:tr>
      <w:tr>
        <w:trPr>
          <w:trHeight w:val="291"/>
        </w:trPr>
        <w:tc>
          <w:tcPr>
            <w:tcW w:w="694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Inventories, net</w:t>
            </w:r>
          </w:p>
        </w:tc>
        <w:tc>
          <w:tcPr>
            <w:tcW w:w="360" w:type="dxa"/>
            <w:vAlign w:val="bottom"/>
          </w:tcPr>
          <w:p>
            <w:pPr>
              <w:spacing w:after="0"/>
              <w:rPr>
                <w:sz w:val="24"/>
                <w:szCs w:val="24"/>
                <w:color w:val="auto"/>
              </w:rPr>
            </w:pPr>
          </w:p>
        </w:tc>
        <w:tc>
          <w:tcPr>
            <w:tcW w:w="11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631.8</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581.3</w:t>
            </w:r>
          </w:p>
        </w:tc>
        <w:tc>
          <w:tcPr>
            <w:tcW w:w="0" w:type="dxa"/>
            <w:vAlign w:val="bottom"/>
          </w:tcPr>
          <w:p>
            <w:pPr>
              <w:spacing w:after="0"/>
              <w:rPr>
                <w:sz w:val="1"/>
                <w:szCs w:val="1"/>
                <w:color w:val="auto"/>
              </w:rPr>
            </w:pPr>
          </w:p>
        </w:tc>
      </w:tr>
      <w:tr>
        <w:trPr>
          <w:trHeight w:val="294"/>
        </w:trPr>
        <w:tc>
          <w:tcPr>
            <w:tcW w:w="694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Prepaid expenses and other current assets</w:t>
            </w:r>
          </w:p>
        </w:tc>
        <w:tc>
          <w:tcPr>
            <w:tcW w:w="360" w:type="dxa"/>
            <w:vAlign w:val="bottom"/>
            <w:tcBorders>
              <w:bottom w:val="single" w:sz="8" w:color="231F20"/>
            </w:tcBorders>
          </w:tcPr>
          <w:p>
            <w:pPr>
              <w:spacing w:after="0"/>
              <w:rPr>
                <w:sz w:val="24"/>
                <w:szCs w:val="24"/>
                <w:color w:val="auto"/>
              </w:rPr>
            </w:pPr>
          </w:p>
        </w:tc>
        <w:tc>
          <w:tcPr>
            <w:tcW w:w="1160" w:type="dxa"/>
            <w:vAlign w:val="bottom"/>
            <w:tcBorders>
              <w:bottom w:val="single" w:sz="8" w:color="231F20"/>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230.4</w:t>
            </w:r>
          </w:p>
        </w:tc>
        <w:tc>
          <w:tcPr>
            <w:tcW w:w="360" w:type="dxa"/>
            <w:vAlign w:val="bottom"/>
            <w:tcBorders>
              <w:bottom w:val="single" w:sz="8" w:color="231F20"/>
            </w:tcBorders>
          </w:tcPr>
          <w:p>
            <w:pPr>
              <w:spacing w:after="0"/>
              <w:rPr>
                <w:sz w:val="24"/>
                <w:szCs w:val="24"/>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203.8</w:t>
            </w:r>
          </w:p>
        </w:tc>
        <w:tc>
          <w:tcPr>
            <w:tcW w:w="0" w:type="dxa"/>
            <w:vAlign w:val="bottom"/>
          </w:tcPr>
          <w:p>
            <w:pPr>
              <w:spacing w:after="0"/>
              <w:rPr>
                <w:sz w:val="1"/>
                <w:szCs w:val="1"/>
                <w:color w:val="auto"/>
              </w:rPr>
            </w:pPr>
          </w:p>
        </w:tc>
      </w:tr>
      <w:tr>
        <w:trPr>
          <w:trHeight w:val="269"/>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Total current assets</w:t>
            </w:r>
          </w:p>
        </w:tc>
        <w:tc>
          <w:tcPr>
            <w:tcW w:w="360" w:type="dxa"/>
            <w:vAlign w:val="bottom"/>
          </w:tcPr>
          <w:p>
            <w:pPr>
              <w:spacing w:after="0"/>
              <w:rPr>
                <w:sz w:val="23"/>
                <w:szCs w:val="23"/>
                <w:color w:val="auto"/>
              </w:rPr>
            </w:pPr>
          </w:p>
        </w:tc>
        <w:tc>
          <w:tcPr>
            <w:tcW w:w="11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2,394.6</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2,000.8</w:t>
            </w:r>
          </w:p>
        </w:tc>
        <w:tc>
          <w:tcPr>
            <w:tcW w:w="0" w:type="dxa"/>
            <w:vAlign w:val="bottom"/>
          </w:tcPr>
          <w:p>
            <w:pPr>
              <w:spacing w:after="0"/>
              <w:rPr>
                <w:sz w:val="1"/>
                <w:szCs w:val="1"/>
                <w:color w:val="auto"/>
              </w:rPr>
            </w:pPr>
          </w:p>
        </w:tc>
      </w:tr>
      <w:tr>
        <w:trPr>
          <w:trHeight w:val="291"/>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Property, plant, and equipment, net</w:t>
            </w:r>
          </w:p>
        </w:tc>
        <w:tc>
          <w:tcPr>
            <w:tcW w:w="360" w:type="dxa"/>
            <w:vAlign w:val="bottom"/>
          </w:tcPr>
          <w:p>
            <w:pPr>
              <w:spacing w:after="0"/>
              <w:rPr>
                <w:sz w:val="24"/>
                <w:szCs w:val="24"/>
                <w:color w:val="auto"/>
              </w:rPr>
            </w:pPr>
          </w:p>
        </w:tc>
        <w:tc>
          <w:tcPr>
            <w:tcW w:w="11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2,161.2</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1,956.5</w:t>
            </w:r>
          </w:p>
        </w:tc>
        <w:tc>
          <w:tcPr>
            <w:tcW w:w="0" w:type="dxa"/>
            <w:vAlign w:val="bottom"/>
          </w:tcPr>
          <w:p>
            <w:pPr>
              <w:spacing w:after="0"/>
              <w:rPr>
                <w:sz w:val="1"/>
                <w:szCs w:val="1"/>
                <w:color w:val="auto"/>
              </w:rPr>
            </w:pPr>
          </w:p>
        </w:tc>
      </w:tr>
      <w:tr>
        <w:trPr>
          <w:trHeight w:val="291"/>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Lease right-of-use assets, net</w:t>
            </w:r>
          </w:p>
        </w:tc>
        <w:tc>
          <w:tcPr>
            <w:tcW w:w="360" w:type="dxa"/>
            <w:vAlign w:val="bottom"/>
          </w:tcPr>
          <w:p>
            <w:pPr>
              <w:spacing w:after="0"/>
              <w:rPr>
                <w:sz w:val="24"/>
                <w:szCs w:val="24"/>
                <w:color w:val="auto"/>
              </w:rPr>
            </w:pPr>
          </w:p>
        </w:tc>
        <w:tc>
          <w:tcPr>
            <w:tcW w:w="11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155.2</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156.4</w:t>
            </w:r>
          </w:p>
        </w:tc>
        <w:tc>
          <w:tcPr>
            <w:tcW w:w="0" w:type="dxa"/>
            <w:vAlign w:val="bottom"/>
          </w:tcPr>
          <w:p>
            <w:pPr>
              <w:spacing w:after="0"/>
              <w:rPr>
                <w:sz w:val="1"/>
                <w:szCs w:val="1"/>
                <w:color w:val="auto"/>
              </w:rPr>
            </w:pPr>
          </w:p>
        </w:tc>
      </w:tr>
      <w:tr>
        <w:trPr>
          <w:trHeight w:val="291"/>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Goodwill</w:t>
            </w:r>
          </w:p>
        </w:tc>
        <w:tc>
          <w:tcPr>
            <w:tcW w:w="360" w:type="dxa"/>
            <w:vAlign w:val="bottom"/>
          </w:tcPr>
          <w:p>
            <w:pPr>
              <w:spacing w:after="0"/>
              <w:rPr>
                <w:sz w:val="24"/>
                <w:szCs w:val="24"/>
                <w:color w:val="auto"/>
              </w:rPr>
            </w:pPr>
          </w:p>
        </w:tc>
        <w:tc>
          <w:tcPr>
            <w:tcW w:w="11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4,194.8</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4,095.7</w:t>
            </w:r>
          </w:p>
        </w:tc>
        <w:tc>
          <w:tcPr>
            <w:tcW w:w="0" w:type="dxa"/>
            <w:vAlign w:val="bottom"/>
          </w:tcPr>
          <w:p>
            <w:pPr>
              <w:spacing w:after="0"/>
              <w:rPr>
                <w:sz w:val="1"/>
                <w:szCs w:val="1"/>
                <w:color w:val="auto"/>
              </w:rPr>
            </w:pPr>
          </w:p>
        </w:tc>
      </w:tr>
      <w:tr>
        <w:trPr>
          <w:trHeight w:val="291"/>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Intangibles, net</w:t>
            </w:r>
          </w:p>
        </w:tc>
        <w:tc>
          <w:tcPr>
            <w:tcW w:w="360" w:type="dxa"/>
            <w:vAlign w:val="bottom"/>
          </w:tcPr>
          <w:p>
            <w:pPr>
              <w:spacing w:after="0"/>
              <w:rPr>
                <w:sz w:val="24"/>
                <w:szCs w:val="24"/>
                <w:color w:val="auto"/>
              </w:rPr>
            </w:pPr>
          </w:p>
        </w:tc>
        <w:tc>
          <w:tcPr>
            <w:tcW w:w="11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1,620.0</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1,854.4</w:t>
            </w:r>
          </w:p>
        </w:tc>
        <w:tc>
          <w:tcPr>
            <w:tcW w:w="0" w:type="dxa"/>
            <w:vAlign w:val="bottom"/>
          </w:tcPr>
          <w:p>
            <w:pPr>
              <w:spacing w:after="0"/>
              <w:rPr>
                <w:sz w:val="1"/>
                <w:szCs w:val="1"/>
                <w:color w:val="auto"/>
              </w:rPr>
            </w:pPr>
          </w:p>
        </w:tc>
      </w:tr>
      <w:tr>
        <w:trPr>
          <w:trHeight w:val="294"/>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Other assets</w:t>
            </w:r>
          </w:p>
        </w:tc>
        <w:tc>
          <w:tcPr>
            <w:tcW w:w="360" w:type="dxa"/>
            <w:vAlign w:val="bottom"/>
            <w:tcBorders>
              <w:bottom w:val="single" w:sz="8" w:color="231F20"/>
            </w:tcBorders>
          </w:tcPr>
          <w:p>
            <w:pPr>
              <w:spacing w:after="0"/>
              <w:rPr>
                <w:sz w:val="24"/>
                <w:szCs w:val="24"/>
                <w:color w:val="auto"/>
              </w:rPr>
            </w:pPr>
          </w:p>
        </w:tc>
        <w:tc>
          <w:tcPr>
            <w:tcW w:w="1160" w:type="dxa"/>
            <w:vAlign w:val="bottom"/>
            <w:tcBorders>
              <w:bottom w:val="single" w:sz="8" w:color="231F20"/>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211.4</w:t>
            </w:r>
          </w:p>
        </w:tc>
        <w:tc>
          <w:tcPr>
            <w:tcW w:w="360" w:type="dxa"/>
            <w:vAlign w:val="bottom"/>
            <w:tcBorders>
              <w:bottom w:val="single" w:sz="8" w:color="231F20"/>
            </w:tcBorders>
          </w:tcPr>
          <w:p>
            <w:pPr>
              <w:spacing w:after="0"/>
              <w:rPr>
                <w:sz w:val="24"/>
                <w:szCs w:val="24"/>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83.0</w:t>
            </w:r>
          </w:p>
        </w:tc>
        <w:tc>
          <w:tcPr>
            <w:tcW w:w="0" w:type="dxa"/>
            <w:vAlign w:val="bottom"/>
          </w:tcPr>
          <w:p>
            <w:pPr>
              <w:spacing w:after="0"/>
              <w:rPr>
                <w:sz w:val="1"/>
                <w:szCs w:val="1"/>
                <w:color w:val="auto"/>
              </w:rPr>
            </w:pPr>
          </w:p>
        </w:tc>
      </w:tr>
      <w:tr>
        <w:trPr>
          <w:trHeight w:val="271"/>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Total assets</w:t>
            </w:r>
          </w:p>
        </w:tc>
        <w:tc>
          <w:tcPr>
            <w:tcW w:w="360" w:type="dxa"/>
            <w:vAlign w:val="bottom"/>
            <w:tcBorders>
              <w:bottom w:val="single" w:sz="8" w:color="231F20"/>
            </w:tcBorders>
          </w:tcPr>
          <w:p>
            <w:pPr>
              <w:jc w:val="right"/>
              <w:ind w:right="103"/>
              <w:spacing w:after="0"/>
              <w:rPr>
                <w:sz w:val="20"/>
                <w:szCs w:val="20"/>
                <w:color w:val="auto"/>
              </w:rPr>
            </w:pPr>
            <w:r>
              <w:rPr>
                <w:rFonts w:ascii="Times New Roman" w:cs="Times New Roman" w:eastAsia="Times New Roman" w:hAnsi="Times New Roman"/>
                <w:sz w:val="19"/>
                <w:szCs w:val="19"/>
                <w:b w:val="1"/>
                <w:bCs w:val="1"/>
                <w:color w:val="231F20"/>
              </w:rPr>
              <w:t>$</w:t>
            </w:r>
          </w:p>
        </w:tc>
        <w:tc>
          <w:tcPr>
            <w:tcW w:w="1160" w:type="dxa"/>
            <w:vAlign w:val="bottom"/>
            <w:tcBorders>
              <w:bottom w:val="single" w:sz="8" w:color="231F20"/>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10,737.2</w:t>
            </w:r>
          </w:p>
        </w:tc>
        <w:tc>
          <w:tcPr>
            <w:tcW w:w="360" w:type="dxa"/>
            <w:vAlign w:val="bottom"/>
            <w:tcBorders>
              <w:bottom w:val="single" w:sz="8" w:color="231F20"/>
            </w:tcBorders>
          </w:tcPr>
          <w:p>
            <w:pPr>
              <w:jc w:val="right"/>
              <w:ind w:right="103"/>
              <w:spacing w:after="0"/>
              <w:rPr>
                <w:sz w:val="20"/>
                <w:szCs w:val="20"/>
                <w:color w:val="auto"/>
              </w:rPr>
            </w:pPr>
            <w:r>
              <w:rPr>
                <w:rFonts w:ascii="Times New Roman" w:cs="Times New Roman" w:eastAsia="Times New Roman" w:hAnsi="Times New Roman"/>
                <w:sz w:val="19"/>
                <w:szCs w:val="19"/>
                <w:color w:val="231F20"/>
              </w:rPr>
              <w:t>$</w:t>
            </w: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10,146.8</w:t>
            </w:r>
          </w:p>
        </w:tc>
        <w:tc>
          <w:tcPr>
            <w:tcW w:w="0" w:type="dxa"/>
            <w:vAlign w:val="bottom"/>
          </w:tcPr>
          <w:p>
            <w:pPr>
              <w:spacing w:after="0"/>
              <w:rPr>
                <w:sz w:val="1"/>
                <w:szCs w:val="1"/>
                <w:color w:val="auto"/>
              </w:rPr>
            </w:pPr>
          </w:p>
        </w:tc>
      </w:tr>
      <w:tr>
        <w:trPr>
          <w:trHeight w:val="254"/>
        </w:trPr>
        <w:tc>
          <w:tcPr>
            <w:tcW w:w="6940" w:type="dxa"/>
            <w:vAlign w:val="bottom"/>
          </w:tcPr>
          <w:p>
            <w:pPr>
              <w:ind w:left="2560"/>
              <w:spacing w:after="0"/>
              <w:rPr>
                <w:sz w:val="20"/>
                <w:szCs w:val="20"/>
                <w:color w:val="auto"/>
              </w:rPr>
            </w:pPr>
            <w:r>
              <w:rPr>
                <w:rFonts w:ascii="Times New Roman" w:cs="Times New Roman" w:eastAsia="Times New Roman" w:hAnsi="Times New Roman"/>
                <w:sz w:val="19"/>
                <w:szCs w:val="19"/>
                <w:b w:val="1"/>
                <w:bCs w:val="1"/>
                <w:color w:val="231F20"/>
              </w:rPr>
              <w:t>Liabilities and equity</w:t>
            </w: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Current liabilities: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94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Accounts payable</w:t>
            </w:r>
          </w:p>
        </w:tc>
        <w:tc>
          <w:tcPr>
            <w:tcW w:w="360" w:type="dxa"/>
            <w:vAlign w:val="bottom"/>
          </w:tcPr>
          <w:p>
            <w:pPr>
              <w:jc w:val="right"/>
              <w:ind w:right="103"/>
              <w:spacing w:after="0"/>
              <w:rPr>
                <w:sz w:val="20"/>
                <w:szCs w:val="20"/>
                <w:color w:val="auto"/>
              </w:rPr>
            </w:pPr>
            <w:r>
              <w:rPr>
                <w:rFonts w:ascii="Times New Roman" w:cs="Times New Roman" w:eastAsia="Times New Roman" w:hAnsi="Times New Roman"/>
                <w:sz w:val="19"/>
                <w:szCs w:val="19"/>
                <w:b w:val="1"/>
                <w:bCs w:val="1"/>
                <w:color w:val="231F20"/>
              </w:rPr>
              <w:t>$</w:t>
            </w:r>
          </w:p>
        </w:tc>
        <w:tc>
          <w:tcPr>
            <w:tcW w:w="11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338.8</w:t>
            </w:r>
          </w:p>
        </w:tc>
        <w:tc>
          <w:tcPr>
            <w:tcW w:w="36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280.8</w:t>
            </w:r>
          </w:p>
        </w:tc>
        <w:tc>
          <w:tcPr>
            <w:tcW w:w="0" w:type="dxa"/>
            <w:vAlign w:val="bottom"/>
          </w:tcPr>
          <w:p>
            <w:pPr>
              <w:spacing w:after="0"/>
              <w:rPr>
                <w:sz w:val="1"/>
                <w:szCs w:val="1"/>
                <w:color w:val="auto"/>
              </w:rPr>
            </w:pPr>
          </w:p>
        </w:tc>
      </w:tr>
      <w:tr>
        <w:trPr>
          <w:trHeight w:val="291"/>
        </w:trPr>
        <w:tc>
          <w:tcPr>
            <w:tcW w:w="694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Accrued income taxes</w:t>
            </w:r>
          </w:p>
        </w:tc>
        <w:tc>
          <w:tcPr>
            <w:tcW w:w="360" w:type="dxa"/>
            <w:vAlign w:val="bottom"/>
          </w:tcPr>
          <w:p>
            <w:pPr>
              <w:spacing w:after="0"/>
              <w:rPr>
                <w:sz w:val="24"/>
                <w:szCs w:val="24"/>
                <w:color w:val="auto"/>
              </w:rPr>
            </w:pPr>
          </w:p>
        </w:tc>
        <w:tc>
          <w:tcPr>
            <w:tcW w:w="11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28.6</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21.5</w:t>
            </w:r>
          </w:p>
        </w:tc>
        <w:tc>
          <w:tcPr>
            <w:tcW w:w="0" w:type="dxa"/>
            <w:vAlign w:val="bottom"/>
          </w:tcPr>
          <w:p>
            <w:pPr>
              <w:spacing w:after="0"/>
              <w:rPr>
                <w:sz w:val="1"/>
                <w:szCs w:val="1"/>
                <w:color w:val="auto"/>
              </w:rPr>
            </w:pPr>
          </w:p>
        </w:tc>
      </w:tr>
      <w:tr>
        <w:trPr>
          <w:trHeight w:val="291"/>
        </w:trPr>
        <w:tc>
          <w:tcPr>
            <w:tcW w:w="694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Accrued payroll and other related liabilities</w:t>
            </w:r>
          </w:p>
        </w:tc>
        <w:tc>
          <w:tcPr>
            <w:tcW w:w="360" w:type="dxa"/>
            <w:vAlign w:val="bottom"/>
          </w:tcPr>
          <w:p>
            <w:pPr>
              <w:spacing w:after="0"/>
              <w:rPr>
                <w:sz w:val="24"/>
                <w:szCs w:val="24"/>
                <w:color w:val="auto"/>
              </w:rPr>
            </w:pPr>
          </w:p>
        </w:tc>
        <w:tc>
          <w:tcPr>
            <w:tcW w:w="11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221.1</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192.7</w:t>
            </w:r>
          </w:p>
        </w:tc>
        <w:tc>
          <w:tcPr>
            <w:tcW w:w="0" w:type="dxa"/>
            <w:vAlign w:val="bottom"/>
          </w:tcPr>
          <w:p>
            <w:pPr>
              <w:spacing w:after="0"/>
              <w:rPr>
                <w:sz w:val="1"/>
                <w:szCs w:val="1"/>
                <w:color w:val="auto"/>
              </w:rPr>
            </w:pPr>
          </w:p>
        </w:tc>
      </w:tr>
      <w:tr>
        <w:trPr>
          <w:trHeight w:val="291"/>
        </w:trPr>
        <w:tc>
          <w:tcPr>
            <w:tcW w:w="694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Short-term lease obligations</w:t>
            </w:r>
          </w:p>
        </w:tc>
        <w:tc>
          <w:tcPr>
            <w:tcW w:w="360" w:type="dxa"/>
            <w:vAlign w:val="bottom"/>
          </w:tcPr>
          <w:p>
            <w:pPr>
              <w:spacing w:after="0"/>
              <w:rPr>
                <w:sz w:val="24"/>
                <w:szCs w:val="24"/>
                <w:color w:val="auto"/>
              </w:rPr>
            </w:pPr>
          </w:p>
        </w:tc>
        <w:tc>
          <w:tcPr>
            <w:tcW w:w="11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35.8</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34.2</w:t>
            </w:r>
          </w:p>
        </w:tc>
        <w:tc>
          <w:tcPr>
            <w:tcW w:w="0" w:type="dxa"/>
            <w:vAlign w:val="bottom"/>
          </w:tcPr>
          <w:p>
            <w:pPr>
              <w:spacing w:after="0"/>
              <w:rPr>
                <w:sz w:val="1"/>
                <w:szCs w:val="1"/>
                <w:color w:val="auto"/>
              </w:rPr>
            </w:pPr>
          </w:p>
        </w:tc>
      </w:tr>
      <w:tr>
        <w:trPr>
          <w:trHeight w:val="291"/>
        </w:trPr>
        <w:tc>
          <w:tcPr>
            <w:tcW w:w="694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Short term indebtedness</w:t>
            </w:r>
          </w:p>
        </w:tc>
        <w:tc>
          <w:tcPr>
            <w:tcW w:w="360" w:type="dxa"/>
            <w:vAlign w:val="bottom"/>
          </w:tcPr>
          <w:p>
            <w:pPr>
              <w:spacing w:after="0"/>
              <w:rPr>
                <w:sz w:val="24"/>
                <w:szCs w:val="24"/>
                <w:color w:val="auto"/>
              </w:rPr>
            </w:pPr>
          </w:p>
        </w:tc>
        <w:tc>
          <w:tcPr>
            <w:tcW w:w="11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118.9</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125.0</w:t>
            </w:r>
          </w:p>
        </w:tc>
        <w:tc>
          <w:tcPr>
            <w:tcW w:w="0" w:type="dxa"/>
            <w:vAlign w:val="bottom"/>
          </w:tcPr>
          <w:p>
            <w:pPr>
              <w:spacing w:after="0"/>
              <w:rPr>
                <w:sz w:val="1"/>
                <w:szCs w:val="1"/>
                <w:color w:val="auto"/>
              </w:rPr>
            </w:pPr>
          </w:p>
        </w:tc>
      </w:tr>
      <w:tr>
        <w:trPr>
          <w:trHeight w:val="294"/>
        </w:trPr>
        <w:tc>
          <w:tcPr>
            <w:tcW w:w="694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Accrued expenses and other</w:t>
            </w:r>
          </w:p>
        </w:tc>
        <w:tc>
          <w:tcPr>
            <w:tcW w:w="360" w:type="dxa"/>
            <w:vAlign w:val="bottom"/>
            <w:tcBorders>
              <w:bottom w:val="single" w:sz="8" w:color="231F20"/>
            </w:tcBorders>
          </w:tcPr>
          <w:p>
            <w:pPr>
              <w:spacing w:after="0"/>
              <w:rPr>
                <w:sz w:val="24"/>
                <w:szCs w:val="24"/>
                <w:color w:val="auto"/>
              </w:rPr>
            </w:pPr>
          </w:p>
        </w:tc>
        <w:tc>
          <w:tcPr>
            <w:tcW w:w="1160" w:type="dxa"/>
            <w:vAlign w:val="bottom"/>
            <w:tcBorders>
              <w:bottom w:val="single" w:sz="8" w:color="231F20"/>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401.9</w:t>
            </w:r>
          </w:p>
        </w:tc>
        <w:tc>
          <w:tcPr>
            <w:tcW w:w="360" w:type="dxa"/>
            <w:vAlign w:val="bottom"/>
            <w:tcBorders>
              <w:bottom w:val="single" w:sz="8" w:color="231F20"/>
            </w:tcBorders>
          </w:tcPr>
          <w:p>
            <w:pPr>
              <w:spacing w:after="0"/>
              <w:rPr>
                <w:sz w:val="24"/>
                <w:szCs w:val="24"/>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368.1</w:t>
            </w:r>
          </w:p>
        </w:tc>
        <w:tc>
          <w:tcPr>
            <w:tcW w:w="0" w:type="dxa"/>
            <w:vAlign w:val="bottom"/>
          </w:tcPr>
          <w:p>
            <w:pPr>
              <w:spacing w:after="0"/>
              <w:rPr>
                <w:sz w:val="1"/>
                <w:szCs w:val="1"/>
                <w:color w:val="auto"/>
              </w:rPr>
            </w:pPr>
          </w:p>
        </w:tc>
      </w:tr>
      <w:tr>
        <w:trPr>
          <w:trHeight w:val="269"/>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Total current liabilities</w:t>
            </w:r>
          </w:p>
        </w:tc>
        <w:tc>
          <w:tcPr>
            <w:tcW w:w="360" w:type="dxa"/>
            <w:vAlign w:val="bottom"/>
          </w:tcPr>
          <w:p>
            <w:pPr>
              <w:spacing w:after="0"/>
              <w:rPr>
                <w:sz w:val="23"/>
                <w:szCs w:val="23"/>
                <w:color w:val="auto"/>
              </w:rPr>
            </w:pPr>
          </w:p>
        </w:tc>
        <w:tc>
          <w:tcPr>
            <w:tcW w:w="11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1,145.0</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1,022.2</w:t>
            </w:r>
          </w:p>
        </w:tc>
        <w:tc>
          <w:tcPr>
            <w:tcW w:w="0" w:type="dxa"/>
            <w:vAlign w:val="bottom"/>
          </w:tcPr>
          <w:p>
            <w:pPr>
              <w:spacing w:after="0"/>
              <w:rPr>
                <w:sz w:val="1"/>
                <w:szCs w:val="1"/>
                <w:color w:val="auto"/>
              </w:rPr>
            </w:pPr>
          </w:p>
        </w:tc>
      </w:tr>
      <w:tr>
        <w:trPr>
          <w:trHeight w:val="291"/>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Long-term indebtedness</w:t>
            </w:r>
          </w:p>
        </w:tc>
        <w:tc>
          <w:tcPr>
            <w:tcW w:w="360" w:type="dxa"/>
            <w:vAlign w:val="bottom"/>
          </w:tcPr>
          <w:p>
            <w:pPr>
              <w:spacing w:after="0"/>
              <w:rPr>
                <w:sz w:val="24"/>
                <w:szCs w:val="24"/>
                <w:color w:val="auto"/>
              </w:rPr>
            </w:pPr>
          </w:p>
        </w:tc>
        <w:tc>
          <w:tcPr>
            <w:tcW w:w="11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1,812.8</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1,918.7</w:t>
            </w:r>
          </w:p>
        </w:tc>
        <w:tc>
          <w:tcPr>
            <w:tcW w:w="0" w:type="dxa"/>
            <w:vAlign w:val="bottom"/>
          </w:tcPr>
          <w:p>
            <w:pPr>
              <w:spacing w:after="0"/>
              <w:rPr>
                <w:sz w:val="1"/>
                <w:szCs w:val="1"/>
                <w:color w:val="auto"/>
              </w:rPr>
            </w:pPr>
          </w:p>
        </w:tc>
      </w:tr>
      <w:tr>
        <w:trPr>
          <w:trHeight w:val="291"/>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Deferred income taxes, net</w:t>
            </w:r>
          </w:p>
        </w:tc>
        <w:tc>
          <w:tcPr>
            <w:tcW w:w="360" w:type="dxa"/>
            <w:vAlign w:val="bottom"/>
          </w:tcPr>
          <w:p>
            <w:pPr>
              <w:spacing w:after="0"/>
              <w:rPr>
                <w:sz w:val="24"/>
                <w:szCs w:val="24"/>
                <w:color w:val="auto"/>
              </w:rPr>
            </w:pPr>
          </w:p>
        </w:tc>
        <w:tc>
          <w:tcPr>
            <w:tcW w:w="11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390.7</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403.7</w:t>
            </w:r>
          </w:p>
        </w:tc>
        <w:tc>
          <w:tcPr>
            <w:tcW w:w="0" w:type="dxa"/>
            <w:vAlign w:val="bottom"/>
          </w:tcPr>
          <w:p>
            <w:pPr>
              <w:spacing w:after="0"/>
              <w:rPr>
                <w:sz w:val="1"/>
                <w:szCs w:val="1"/>
                <w:color w:val="auto"/>
              </w:rPr>
            </w:pPr>
          </w:p>
        </w:tc>
      </w:tr>
      <w:tr>
        <w:trPr>
          <w:trHeight w:val="291"/>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Long-term lease obligations</w:t>
            </w:r>
          </w:p>
        </w:tc>
        <w:tc>
          <w:tcPr>
            <w:tcW w:w="360" w:type="dxa"/>
            <w:vAlign w:val="bottom"/>
          </w:tcPr>
          <w:p>
            <w:pPr>
              <w:spacing w:after="0"/>
              <w:rPr>
                <w:sz w:val="24"/>
                <w:szCs w:val="24"/>
                <w:color w:val="auto"/>
              </w:rPr>
            </w:pPr>
          </w:p>
        </w:tc>
        <w:tc>
          <w:tcPr>
            <w:tcW w:w="11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119.6</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124.6</w:t>
            </w:r>
          </w:p>
        </w:tc>
        <w:tc>
          <w:tcPr>
            <w:tcW w:w="0" w:type="dxa"/>
            <w:vAlign w:val="bottom"/>
          </w:tcPr>
          <w:p>
            <w:pPr>
              <w:spacing w:after="0"/>
              <w:rPr>
                <w:sz w:val="1"/>
                <w:szCs w:val="1"/>
                <w:color w:val="auto"/>
              </w:rPr>
            </w:pPr>
          </w:p>
        </w:tc>
      </w:tr>
      <w:tr>
        <w:trPr>
          <w:trHeight w:val="294"/>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Other liabilities</w:t>
            </w:r>
          </w:p>
        </w:tc>
        <w:tc>
          <w:tcPr>
            <w:tcW w:w="360" w:type="dxa"/>
            <w:vAlign w:val="bottom"/>
            <w:tcBorders>
              <w:bottom w:val="single" w:sz="8" w:color="231F20"/>
            </w:tcBorders>
          </w:tcPr>
          <w:p>
            <w:pPr>
              <w:spacing w:after="0"/>
              <w:rPr>
                <w:sz w:val="24"/>
                <w:szCs w:val="24"/>
                <w:color w:val="auto"/>
              </w:rPr>
            </w:pPr>
          </w:p>
        </w:tc>
        <w:tc>
          <w:tcPr>
            <w:tcW w:w="1160" w:type="dxa"/>
            <w:vAlign w:val="bottom"/>
            <w:tcBorders>
              <w:bottom w:val="single" w:sz="8" w:color="231F20"/>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71.7</w:t>
            </w:r>
          </w:p>
        </w:tc>
        <w:tc>
          <w:tcPr>
            <w:tcW w:w="360" w:type="dxa"/>
            <w:vAlign w:val="bottom"/>
            <w:tcBorders>
              <w:bottom w:val="single" w:sz="8" w:color="231F20"/>
            </w:tcBorders>
          </w:tcPr>
          <w:p>
            <w:pPr>
              <w:spacing w:after="0"/>
              <w:rPr>
                <w:sz w:val="24"/>
                <w:szCs w:val="24"/>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61.9</w:t>
            </w:r>
          </w:p>
        </w:tc>
        <w:tc>
          <w:tcPr>
            <w:tcW w:w="0" w:type="dxa"/>
            <w:vAlign w:val="bottom"/>
          </w:tcPr>
          <w:p>
            <w:pPr>
              <w:spacing w:after="0"/>
              <w:rPr>
                <w:sz w:val="1"/>
                <w:szCs w:val="1"/>
                <w:color w:val="auto"/>
              </w:rPr>
            </w:pPr>
          </w:p>
        </w:tc>
      </w:tr>
      <w:tr>
        <w:trPr>
          <w:trHeight w:val="269"/>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Total liabilities</w:t>
            </w:r>
          </w:p>
        </w:tc>
        <w:tc>
          <w:tcPr>
            <w:tcW w:w="360" w:type="dxa"/>
            <w:vAlign w:val="bottom"/>
          </w:tcPr>
          <w:p>
            <w:pPr>
              <w:jc w:val="right"/>
              <w:ind w:right="103"/>
              <w:spacing w:after="0"/>
              <w:rPr>
                <w:sz w:val="20"/>
                <w:szCs w:val="20"/>
                <w:color w:val="auto"/>
              </w:rPr>
            </w:pPr>
            <w:r>
              <w:rPr>
                <w:rFonts w:ascii="Times New Roman" w:cs="Times New Roman" w:eastAsia="Times New Roman" w:hAnsi="Times New Roman"/>
                <w:sz w:val="19"/>
                <w:szCs w:val="19"/>
                <w:b w:val="1"/>
                <w:bCs w:val="1"/>
                <w:color w:val="231F20"/>
              </w:rPr>
              <w:t>$</w:t>
            </w:r>
          </w:p>
        </w:tc>
        <w:tc>
          <w:tcPr>
            <w:tcW w:w="11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3,540.0</w:t>
            </w:r>
          </w:p>
        </w:tc>
        <w:tc>
          <w:tcPr>
            <w:tcW w:w="36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3,531.1</w:t>
            </w:r>
          </w:p>
        </w:tc>
        <w:tc>
          <w:tcPr>
            <w:tcW w:w="0" w:type="dxa"/>
            <w:vAlign w:val="bottom"/>
          </w:tcPr>
          <w:p>
            <w:pPr>
              <w:spacing w:after="0"/>
              <w:rPr>
                <w:sz w:val="1"/>
                <w:szCs w:val="1"/>
                <w:color w:val="auto"/>
              </w:rPr>
            </w:pPr>
          </w:p>
        </w:tc>
      </w:tr>
      <w:tr>
        <w:trPr>
          <w:trHeight w:val="277"/>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Commitments and contingencies (see Note 12)</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940" w:type="dxa"/>
            <w:vAlign w:val="bottom"/>
          </w:tcPr>
          <w:p>
            <w:pPr>
              <w:ind w:left="60"/>
              <w:spacing w:after="0" w:line="214" w:lineRule="exact"/>
              <w:rPr>
                <w:sz w:val="20"/>
                <w:szCs w:val="20"/>
                <w:color w:val="auto"/>
              </w:rPr>
            </w:pPr>
            <w:r>
              <w:rPr>
                <w:rFonts w:ascii="Times New Roman" w:cs="Times New Roman" w:eastAsia="Times New Roman" w:hAnsi="Times New Roman"/>
                <w:sz w:val="19"/>
                <w:szCs w:val="19"/>
                <w:color w:val="231F20"/>
              </w:rPr>
              <w:t>Ordinary shares, with $0.001 par value; 500.0 shares authorized; 97.8 and 98.3</w:t>
            </w:r>
          </w:p>
        </w:tc>
        <w:tc>
          <w:tcPr>
            <w:tcW w:w="360" w:type="dxa"/>
            <w:vAlign w:val="bottom"/>
          </w:tcPr>
          <w:p>
            <w:pPr>
              <w:spacing w:after="0"/>
              <w:rPr>
                <w:sz w:val="18"/>
                <w:szCs w:val="18"/>
                <w:color w:val="auto"/>
              </w:rPr>
            </w:pPr>
          </w:p>
        </w:tc>
        <w:tc>
          <w:tcPr>
            <w:tcW w:w="1160" w:type="dxa"/>
            <w:vAlign w:val="bottom"/>
            <w:vMerge w:val="restart"/>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4,280.9</w:t>
            </w:r>
          </w:p>
        </w:tc>
        <w:tc>
          <w:tcPr>
            <w:tcW w:w="3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4,420.4</w:t>
            </w:r>
          </w:p>
        </w:tc>
        <w:tc>
          <w:tcPr>
            <w:tcW w:w="0" w:type="dxa"/>
            <w:vAlign w:val="bottom"/>
          </w:tcPr>
          <w:p>
            <w:pPr>
              <w:spacing w:after="0"/>
              <w:rPr>
                <w:sz w:val="1"/>
                <w:szCs w:val="1"/>
                <w:color w:val="auto"/>
              </w:rPr>
            </w:pPr>
          </w:p>
        </w:tc>
      </w:tr>
      <w:tr>
        <w:trPr>
          <w:trHeight w:val="253"/>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ordinary shares issued and outstanding, respectively</w:t>
            </w:r>
          </w:p>
        </w:tc>
        <w:tc>
          <w:tcPr>
            <w:tcW w:w="36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Retained earnings</w:t>
            </w:r>
          </w:p>
        </w:tc>
        <w:tc>
          <w:tcPr>
            <w:tcW w:w="360" w:type="dxa"/>
            <w:vAlign w:val="bottom"/>
          </w:tcPr>
          <w:p>
            <w:pPr>
              <w:spacing w:after="0"/>
              <w:rPr>
                <w:sz w:val="24"/>
                <w:szCs w:val="24"/>
                <w:color w:val="auto"/>
              </w:rPr>
            </w:pPr>
          </w:p>
        </w:tc>
        <w:tc>
          <w:tcPr>
            <w:tcW w:w="11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3,015.9</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2,475.3</w:t>
            </w:r>
          </w:p>
        </w:tc>
        <w:tc>
          <w:tcPr>
            <w:tcW w:w="0" w:type="dxa"/>
            <w:vAlign w:val="bottom"/>
          </w:tcPr>
          <w:p>
            <w:pPr>
              <w:spacing w:after="0"/>
              <w:rPr>
                <w:sz w:val="1"/>
                <w:szCs w:val="1"/>
                <w:color w:val="auto"/>
              </w:rPr>
            </w:pPr>
          </w:p>
        </w:tc>
      </w:tr>
      <w:tr>
        <w:trPr>
          <w:trHeight w:val="294"/>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Accumulated other comprehensive loss</w:t>
            </w:r>
          </w:p>
        </w:tc>
        <w:tc>
          <w:tcPr>
            <w:tcW w:w="360" w:type="dxa"/>
            <w:vAlign w:val="bottom"/>
            <w:tcBorders>
              <w:bottom w:val="single" w:sz="8" w:color="231F20"/>
            </w:tcBorders>
          </w:tcPr>
          <w:p>
            <w:pPr>
              <w:spacing w:after="0"/>
              <w:rPr>
                <w:sz w:val="24"/>
                <w:szCs w:val="24"/>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(113.1)</w:t>
            </w:r>
          </w:p>
        </w:tc>
        <w:tc>
          <w:tcPr>
            <w:tcW w:w="360" w:type="dxa"/>
            <w:vAlign w:val="bottom"/>
            <w:tcBorders>
              <w:bottom w:val="single" w:sz="8" w:color="231F20"/>
            </w:tcBorders>
          </w:tcPr>
          <w:p>
            <w:pPr>
              <w:spacing w:after="0"/>
              <w:rPr>
                <w:sz w:val="24"/>
                <w:szCs w:val="24"/>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(292.3)</w:t>
            </w:r>
          </w:p>
        </w:tc>
        <w:tc>
          <w:tcPr>
            <w:tcW w:w="0" w:type="dxa"/>
            <w:vAlign w:val="bottom"/>
          </w:tcPr>
          <w:p>
            <w:pPr>
              <w:spacing w:after="0"/>
              <w:rPr>
                <w:sz w:val="1"/>
                <w:szCs w:val="1"/>
                <w:color w:val="auto"/>
              </w:rPr>
            </w:pPr>
          </w:p>
        </w:tc>
      </w:tr>
      <w:tr>
        <w:trPr>
          <w:trHeight w:val="269"/>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Total shareholders’ equity</w:t>
            </w:r>
          </w:p>
        </w:tc>
        <w:tc>
          <w:tcPr>
            <w:tcW w:w="360" w:type="dxa"/>
            <w:vAlign w:val="bottom"/>
          </w:tcPr>
          <w:p>
            <w:pPr>
              <w:spacing w:after="0"/>
              <w:rPr>
                <w:sz w:val="23"/>
                <w:szCs w:val="23"/>
                <w:color w:val="auto"/>
              </w:rPr>
            </w:pPr>
          </w:p>
        </w:tc>
        <w:tc>
          <w:tcPr>
            <w:tcW w:w="11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7,183.6</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6,603.4</w:t>
            </w:r>
          </w:p>
        </w:tc>
        <w:tc>
          <w:tcPr>
            <w:tcW w:w="0" w:type="dxa"/>
            <w:vAlign w:val="bottom"/>
          </w:tcPr>
          <w:p>
            <w:pPr>
              <w:spacing w:after="0"/>
              <w:rPr>
                <w:sz w:val="1"/>
                <w:szCs w:val="1"/>
                <w:color w:val="auto"/>
              </w:rPr>
            </w:pPr>
          </w:p>
        </w:tc>
      </w:tr>
      <w:tr>
        <w:trPr>
          <w:trHeight w:val="294"/>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Noncontrolling interests</w:t>
            </w:r>
          </w:p>
        </w:tc>
        <w:tc>
          <w:tcPr>
            <w:tcW w:w="360" w:type="dxa"/>
            <w:vAlign w:val="bottom"/>
            <w:tcBorders>
              <w:bottom w:val="single" w:sz="8" w:color="231F20"/>
            </w:tcBorders>
          </w:tcPr>
          <w:p>
            <w:pPr>
              <w:spacing w:after="0"/>
              <w:rPr>
                <w:sz w:val="24"/>
                <w:szCs w:val="24"/>
                <w:color w:val="auto"/>
              </w:rPr>
            </w:pPr>
          </w:p>
        </w:tc>
        <w:tc>
          <w:tcPr>
            <w:tcW w:w="1160" w:type="dxa"/>
            <w:vAlign w:val="bottom"/>
            <w:tcBorders>
              <w:bottom w:val="single" w:sz="8" w:color="231F20"/>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13.6</w:t>
            </w:r>
          </w:p>
        </w:tc>
        <w:tc>
          <w:tcPr>
            <w:tcW w:w="360" w:type="dxa"/>
            <w:vAlign w:val="bottom"/>
            <w:tcBorders>
              <w:bottom w:val="single" w:sz="8" w:color="231F20"/>
            </w:tcBorders>
          </w:tcPr>
          <w:p>
            <w:pPr>
              <w:spacing w:after="0"/>
              <w:rPr>
                <w:sz w:val="24"/>
                <w:szCs w:val="24"/>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12.4</w:t>
            </w:r>
          </w:p>
        </w:tc>
        <w:tc>
          <w:tcPr>
            <w:tcW w:w="0" w:type="dxa"/>
            <w:vAlign w:val="bottom"/>
          </w:tcPr>
          <w:p>
            <w:pPr>
              <w:spacing w:after="0"/>
              <w:rPr>
                <w:sz w:val="1"/>
                <w:szCs w:val="1"/>
                <w:color w:val="auto"/>
              </w:rPr>
            </w:pPr>
          </w:p>
        </w:tc>
      </w:tr>
      <w:tr>
        <w:trPr>
          <w:trHeight w:val="271"/>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Total equity</w:t>
            </w:r>
          </w:p>
        </w:tc>
        <w:tc>
          <w:tcPr>
            <w:tcW w:w="360" w:type="dxa"/>
            <w:vAlign w:val="bottom"/>
            <w:tcBorders>
              <w:bottom w:val="single" w:sz="8" w:color="231F20"/>
            </w:tcBorders>
          </w:tcPr>
          <w:p>
            <w:pPr>
              <w:spacing w:after="0"/>
              <w:rPr>
                <w:sz w:val="23"/>
                <w:szCs w:val="23"/>
                <w:color w:val="auto"/>
              </w:rPr>
            </w:pPr>
          </w:p>
        </w:tc>
        <w:tc>
          <w:tcPr>
            <w:tcW w:w="1160" w:type="dxa"/>
            <w:vAlign w:val="bottom"/>
            <w:tcBorders>
              <w:bottom w:val="single" w:sz="8" w:color="231F20"/>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7,197.2</w:t>
            </w:r>
          </w:p>
        </w:tc>
        <w:tc>
          <w:tcPr>
            <w:tcW w:w="360" w:type="dxa"/>
            <w:vAlign w:val="bottom"/>
            <w:tcBorders>
              <w:bottom w:val="single" w:sz="8" w:color="231F20"/>
            </w:tcBorders>
          </w:tcPr>
          <w:p>
            <w:pPr>
              <w:spacing w:after="0"/>
              <w:rPr>
                <w:sz w:val="23"/>
                <w:szCs w:val="23"/>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6,615.8</w:t>
            </w:r>
          </w:p>
        </w:tc>
        <w:tc>
          <w:tcPr>
            <w:tcW w:w="0" w:type="dxa"/>
            <w:vAlign w:val="bottom"/>
          </w:tcPr>
          <w:p>
            <w:pPr>
              <w:spacing w:after="0"/>
              <w:rPr>
                <w:sz w:val="1"/>
                <w:szCs w:val="1"/>
                <w:color w:val="auto"/>
              </w:rPr>
            </w:pPr>
          </w:p>
        </w:tc>
      </w:tr>
      <w:tr>
        <w:trPr>
          <w:trHeight w:val="281"/>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Total liabilities and equity</w:t>
            </w:r>
          </w:p>
        </w:tc>
        <w:tc>
          <w:tcPr>
            <w:tcW w:w="360" w:type="dxa"/>
            <w:vAlign w:val="bottom"/>
            <w:tcBorders>
              <w:bottom w:val="single" w:sz="8" w:color="231F20"/>
            </w:tcBorders>
          </w:tcPr>
          <w:p>
            <w:pPr>
              <w:jc w:val="right"/>
              <w:ind w:right="103"/>
              <w:spacing w:after="0"/>
              <w:rPr>
                <w:sz w:val="20"/>
                <w:szCs w:val="20"/>
                <w:color w:val="auto"/>
              </w:rPr>
            </w:pPr>
            <w:r>
              <w:rPr>
                <w:rFonts w:ascii="Times New Roman" w:cs="Times New Roman" w:eastAsia="Times New Roman" w:hAnsi="Times New Roman"/>
                <w:sz w:val="19"/>
                <w:szCs w:val="19"/>
                <w:b w:val="1"/>
                <w:bCs w:val="1"/>
                <w:color w:val="231F20"/>
              </w:rPr>
              <w:t>$</w:t>
            </w:r>
          </w:p>
        </w:tc>
        <w:tc>
          <w:tcPr>
            <w:tcW w:w="1160" w:type="dxa"/>
            <w:vAlign w:val="bottom"/>
            <w:tcBorders>
              <w:bottom w:val="single" w:sz="8" w:color="231F20"/>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10,737.2</w:t>
            </w:r>
          </w:p>
        </w:tc>
        <w:tc>
          <w:tcPr>
            <w:tcW w:w="360" w:type="dxa"/>
            <w:vAlign w:val="bottom"/>
            <w:tcBorders>
              <w:bottom w:val="single" w:sz="8" w:color="231F20"/>
            </w:tcBorders>
          </w:tcPr>
          <w:p>
            <w:pPr>
              <w:jc w:val="right"/>
              <w:ind w:right="103"/>
              <w:spacing w:after="0"/>
              <w:rPr>
                <w:sz w:val="20"/>
                <w:szCs w:val="20"/>
                <w:color w:val="auto"/>
              </w:rPr>
            </w:pPr>
            <w:r>
              <w:rPr>
                <w:rFonts w:ascii="Times New Roman" w:cs="Times New Roman" w:eastAsia="Times New Roman" w:hAnsi="Times New Roman"/>
                <w:sz w:val="19"/>
                <w:szCs w:val="19"/>
                <w:color w:val="231F20"/>
              </w:rPr>
              <w:t>$</w:t>
            </w: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10,146.8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See notes to consolidated financial statements.</w:t>
      </w:r>
    </w:p>
    <w:p>
      <w:pPr>
        <w:sectPr>
          <w:pgSz w:w="11880" w:h="15480" w:orient="portrait"/>
          <w:cols w:equalWidth="0" w:num="1">
            <w:col w:w="9920"/>
          </w:cols>
          <w:pgMar w:left="960" w:top="81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54</w:t>
      </w:r>
    </w:p>
    <w:p>
      <w:pPr>
        <w:sectPr>
          <w:pgSz w:w="11880" w:h="15480" w:orient="portrait"/>
          <w:cols w:equalWidth="0" w:num="1">
            <w:col w:w="9920"/>
          </w:cols>
          <w:pgMar w:left="960" w:top="818" w:right="1000" w:bottom="0" w:gutter="0" w:footer="0" w:header="0"/>
          <w:type w:val="continuous"/>
        </w:sectPr>
      </w:pPr>
    </w:p>
    <w:bookmarkStart w:id="55" w:name="page56"/>
    <w:bookmarkEnd w:id="55"/>
    <w:p>
      <w:pPr>
        <w:jc w:val="center"/>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31F20"/>
        </w:rPr>
        <w:t>CONSOLIDATED STATEMENTS OF INCOME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31F20"/>
        </w:rPr>
        <w:t>(in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0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7"/>
                <w:szCs w:val="17"/>
                <w:color w:val="231F20"/>
              </w:rPr>
              <w:t>Years Ended March 31,</w:t>
            </w:r>
          </w:p>
        </w:tc>
        <w:tc>
          <w:tcPr>
            <w:tcW w:w="28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tcPr>
          <w:p>
            <w:pPr>
              <w:jc w:val="right"/>
              <w:ind w:right="345"/>
              <w:spacing w:after="0"/>
              <w:rPr>
                <w:sz w:val="20"/>
                <w:szCs w:val="20"/>
                <w:color w:val="auto"/>
              </w:rPr>
            </w:pPr>
            <w:r>
              <w:rPr>
                <w:rFonts w:ascii="Times New Roman" w:cs="Times New Roman" w:eastAsia="Times New Roman" w:hAnsi="Times New Roman"/>
                <w:sz w:val="17"/>
                <w:szCs w:val="17"/>
                <w:color w:val="231F20"/>
              </w:rPr>
              <w:t>2026</w:t>
            </w:r>
          </w:p>
        </w:tc>
        <w:tc>
          <w:tcPr>
            <w:tcW w:w="36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ind w:right="385"/>
              <w:spacing w:after="0"/>
              <w:rPr>
                <w:sz w:val="20"/>
                <w:szCs w:val="20"/>
                <w:color w:val="auto"/>
              </w:rPr>
            </w:pPr>
            <w:r>
              <w:rPr>
                <w:rFonts w:ascii="Times New Roman" w:cs="Times New Roman" w:eastAsia="Times New Roman" w:hAnsi="Times New Roman"/>
                <w:sz w:val="17"/>
                <w:szCs w:val="17"/>
                <w:color w:val="231F20"/>
              </w:rPr>
              <w:t>2025</w:t>
            </w:r>
          </w:p>
        </w:tc>
        <w:tc>
          <w:tcPr>
            <w:tcW w:w="38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ind w:right="405"/>
              <w:spacing w:after="0"/>
              <w:rPr>
                <w:sz w:val="20"/>
                <w:szCs w:val="20"/>
                <w:color w:val="auto"/>
              </w:rPr>
            </w:pPr>
            <w:r>
              <w:rPr>
                <w:rFonts w:ascii="Times New Roman" w:cs="Times New Roman" w:eastAsia="Times New Roman" w:hAnsi="Times New Roman"/>
                <w:sz w:val="17"/>
                <w:szCs w:val="17"/>
                <w:color w:val="231F20"/>
              </w:rPr>
              <w:t>2024</w:t>
            </w:r>
          </w:p>
        </w:tc>
      </w:tr>
      <w:tr>
        <w:trPr>
          <w:trHeight w:val="257"/>
        </w:trPr>
        <w:tc>
          <w:tcPr>
            <w:tcW w:w="600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Revenues:</w:t>
            </w: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88"/>
        </w:trPr>
        <w:tc>
          <w:tcPr>
            <w:tcW w:w="600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Product</w:t>
            </w: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w:t>
            </w: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231F20"/>
              </w:rPr>
              <w:t>3,060.1</w:t>
            </w:r>
          </w:p>
        </w:tc>
        <w:tc>
          <w:tcPr>
            <w:tcW w:w="36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231F20"/>
              </w:rPr>
              <w:t>2,871.6</w:t>
            </w:r>
          </w:p>
        </w:tc>
        <w:tc>
          <w:tcPr>
            <w:tcW w:w="38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2,764.0</w:t>
            </w:r>
          </w:p>
        </w:tc>
      </w:tr>
      <w:tr>
        <w:trPr>
          <w:trHeight w:val="294"/>
        </w:trPr>
        <w:tc>
          <w:tcPr>
            <w:tcW w:w="600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Service</w:t>
            </w:r>
          </w:p>
        </w:tc>
        <w:tc>
          <w:tcPr>
            <w:tcW w:w="28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19"/>
                <w:szCs w:val="19"/>
                <w:b w:val="1"/>
                <w:bCs w:val="1"/>
                <w:color w:val="231F20"/>
              </w:rPr>
              <w:t>2,875.8</w:t>
            </w:r>
          </w:p>
        </w:tc>
        <w:tc>
          <w:tcPr>
            <w:tcW w:w="36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19"/>
                <w:szCs w:val="19"/>
                <w:color w:val="231F20"/>
              </w:rPr>
              <w:t>2,587.9</w:t>
            </w:r>
          </w:p>
        </w:tc>
        <w:tc>
          <w:tcPr>
            <w:tcW w:w="38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2,374.7</w:t>
            </w:r>
          </w:p>
        </w:tc>
      </w:tr>
      <w:tr>
        <w:trPr>
          <w:trHeight w:val="269"/>
        </w:trPr>
        <w:tc>
          <w:tcPr>
            <w:tcW w:w="600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Total revenues</w:t>
            </w:r>
          </w:p>
        </w:tc>
        <w:tc>
          <w:tcPr>
            <w:tcW w:w="280" w:type="dxa"/>
            <w:vAlign w:val="bottom"/>
          </w:tcPr>
          <w:p>
            <w:pPr>
              <w:spacing w:after="0"/>
              <w:rPr>
                <w:sz w:val="23"/>
                <w:szCs w:val="23"/>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231F20"/>
              </w:rPr>
              <w:t>5,935.9</w:t>
            </w:r>
          </w:p>
        </w:tc>
        <w:tc>
          <w:tcPr>
            <w:tcW w:w="360" w:type="dxa"/>
            <w:vAlign w:val="bottom"/>
          </w:tcPr>
          <w:p>
            <w:pPr>
              <w:spacing w:after="0"/>
              <w:rPr>
                <w:sz w:val="23"/>
                <w:szCs w:val="23"/>
                <w:color w:val="auto"/>
              </w:rPr>
            </w:pP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231F20"/>
              </w:rPr>
              <w:t>5,459.5</w:t>
            </w: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5,138.7</w:t>
            </w:r>
          </w:p>
        </w:tc>
      </w:tr>
      <w:tr>
        <w:trPr>
          <w:trHeight w:val="277"/>
        </w:trPr>
        <w:tc>
          <w:tcPr>
            <w:tcW w:w="600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Cost of revenues: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-909320</wp:posOffset>
            </wp:positionV>
            <wp:extent cx="253873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extLst>
                    </a:blip>
                    <a:srcRect/>
                    <a:stretch>
                      <a:fillRect/>
                    </a:stretch>
                  </pic:blipFill>
                  <pic:spPr bwMode="auto">
                    <a:xfrm>
                      <a:off x="0" y="0"/>
                      <a:ext cx="2538730" cy="25400"/>
                    </a:xfrm>
                    <a:prstGeom prst="rect">
                      <a:avLst/>
                    </a:prstGeom>
                    <a:noFill/>
                  </pic:spPr>
                </pic:pic>
              </a:graphicData>
            </a:graphic>
          </wp:anchor>
        </w:drawing>
      </w:r>
    </w:p>
    <w:p>
      <w:pPr>
        <w:sectPr>
          <w:pgSz w:w="11880" w:h="15480" w:orient="portrait"/>
          <w:cols w:equalWidth="0" w:num="1">
            <w:col w:w="9960"/>
          </w:cols>
          <w:pgMar w:left="960" w:top="818" w:right="960" w:bottom="0" w:gutter="0" w:footer="0" w:header="0"/>
        </w:sectPr>
      </w:pPr>
    </w:p>
    <w:p>
      <w:pPr>
        <w:spacing w:after="0" w:line="3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231F20"/>
        </w:rPr>
        <w:t>Product</w:t>
      </w:r>
    </w:p>
    <w:p>
      <w:pPr>
        <w:spacing w:after="0" w:line="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231F20"/>
        </w:rPr>
        <w:t>Service</w:t>
      </w:r>
    </w:p>
    <w:p>
      <w:pPr>
        <w:spacing w:after="0" w:line="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231F20"/>
        </w:rPr>
        <w:t>Total cost of revenues</w:t>
      </w:r>
    </w:p>
    <w:p>
      <w:pPr>
        <w:spacing w:after="0" w:line="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231F20"/>
        </w:rPr>
        <w:t>Gross profit</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231F20"/>
        </w:rPr>
        <w:t>Operating expenses:</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231F20"/>
        </w:rPr>
        <w:t>Selling, general, and administrative</w:t>
      </w:r>
    </w:p>
    <w:p>
      <w:pPr>
        <w:spacing w:after="0" w:line="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231F20"/>
        </w:rPr>
        <w:t>Research and development</w:t>
      </w:r>
    </w:p>
    <w:p>
      <w:pPr>
        <w:spacing w:after="0" w:line="3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231F20"/>
        </w:rPr>
        <w:t>Illinois EO litigation settlement</w:t>
      </w:r>
    </w:p>
    <w:p>
      <w:pPr>
        <w:spacing w:after="0" w:line="10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231F20"/>
        </w:rPr>
        <w:t>Restructuring expense</w:t>
      </w:r>
    </w:p>
    <w:p>
      <w:pPr>
        <w:spacing w:after="0" w:line="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231F20"/>
        </w:rPr>
        <w:t>Total operating expenses</w:t>
      </w:r>
    </w:p>
    <w:p>
      <w:pPr>
        <w:spacing w:after="0" w:line="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231F20"/>
        </w:rPr>
        <w:t>Income from operations</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231F20"/>
        </w:rPr>
        <w:t>Non-operating expenses, net: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1520" w:type="dxa"/>
            <w:vAlign w:val="bottom"/>
          </w:tcPr>
          <w:p>
            <w:pPr>
              <w:jc w:val="right"/>
              <w:ind w:right="303"/>
              <w:spacing w:after="0"/>
              <w:rPr>
                <w:sz w:val="20"/>
                <w:szCs w:val="20"/>
                <w:color w:val="auto"/>
              </w:rPr>
            </w:pPr>
            <w:r>
              <w:rPr>
                <w:rFonts w:ascii="Times New Roman" w:cs="Times New Roman" w:eastAsia="Times New Roman" w:hAnsi="Times New Roman"/>
                <w:sz w:val="19"/>
                <w:szCs w:val="19"/>
                <w:b w:val="1"/>
                <w:bCs w:val="1"/>
                <w:color w:val="231F20"/>
              </w:rPr>
              <w:t>1,625.5</w:t>
            </w:r>
          </w:p>
        </w:tc>
        <w:tc>
          <w:tcPr>
            <w:tcW w:w="1360" w:type="dxa"/>
            <w:vAlign w:val="bottom"/>
          </w:tcPr>
          <w:p>
            <w:pPr>
              <w:jc w:val="right"/>
              <w:ind w:right="303"/>
              <w:spacing w:after="0"/>
              <w:rPr>
                <w:sz w:val="20"/>
                <w:szCs w:val="20"/>
                <w:color w:val="auto"/>
              </w:rPr>
            </w:pPr>
            <w:r>
              <w:rPr>
                <w:rFonts w:ascii="Times New Roman" w:cs="Times New Roman" w:eastAsia="Times New Roman" w:hAnsi="Times New Roman"/>
                <w:sz w:val="19"/>
                <w:szCs w:val="19"/>
                <w:color w:val="231F20"/>
              </w:rPr>
              <w:t>1,514.3</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1,516.1</w:t>
            </w:r>
          </w:p>
        </w:tc>
      </w:tr>
      <w:tr>
        <w:trPr>
          <w:trHeight w:val="294"/>
        </w:trPr>
        <w:tc>
          <w:tcPr>
            <w:tcW w:w="1520" w:type="dxa"/>
            <w:vAlign w:val="bottom"/>
            <w:tcBorders>
              <w:bottom w:val="single" w:sz="8" w:color="231F20"/>
            </w:tcBorders>
          </w:tcPr>
          <w:p>
            <w:pPr>
              <w:jc w:val="right"/>
              <w:ind w:right="303"/>
              <w:spacing w:after="0"/>
              <w:rPr>
                <w:sz w:val="20"/>
                <w:szCs w:val="20"/>
                <w:color w:val="auto"/>
              </w:rPr>
            </w:pPr>
            <w:r>
              <w:rPr>
                <w:rFonts w:ascii="Times New Roman" w:cs="Times New Roman" w:eastAsia="Times New Roman" w:hAnsi="Times New Roman"/>
                <w:sz w:val="19"/>
                <w:szCs w:val="19"/>
                <w:b w:val="1"/>
                <w:bCs w:val="1"/>
                <w:color w:val="231F20"/>
              </w:rPr>
              <w:t>1,683.9</w:t>
            </w:r>
          </w:p>
        </w:tc>
        <w:tc>
          <w:tcPr>
            <w:tcW w:w="1360" w:type="dxa"/>
            <w:vAlign w:val="bottom"/>
            <w:tcBorders>
              <w:bottom w:val="single" w:sz="8" w:color="231F20"/>
            </w:tcBorders>
          </w:tcPr>
          <w:p>
            <w:pPr>
              <w:jc w:val="right"/>
              <w:ind w:right="303"/>
              <w:spacing w:after="0"/>
              <w:rPr>
                <w:sz w:val="20"/>
                <w:szCs w:val="20"/>
                <w:color w:val="auto"/>
              </w:rPr>
            </w:pPr>
            <w:r>
              <w:rPr>
                <w:rFonts w:ascii="Times New Roman" w:cs="Times New Roman" w:eastAsia="Times New Roman" w:hAnsi="Times New Roman"/>
                <w:sz w:val="19"/>
                <w:szCs w:val="19"/>
                <w:color w:val="231F20"/>
              </w:rPr>
              <w:t>1,542.5</w:t>
            </w: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1,404.5</w:t>
            </w:r>
          </w:p>
        </w:tc>
      </w:tr>
      <w:tr>
        <w:trPr>
          <w:trHeight w:val="271"/>
        </w:trPr>
        <w:tc>
          <w:tcPr>
            <w:tcW w:w="1520" w:type="dxa"/>
            <w:vAlign w:val="bottom"/>
            <w:tcBorders>
              <w:bottom w:val="single" w:sz="8" w:color="231F20"/>
            </w:tcBorders>
          </w:tcPr>
          <w:p>
            <w:pPr>
              <w:jc w:val="right"/>
              <w:ind w:right="303"/>
              <w:spacing w:after="0"/>
              <w:rPr>
                <w:sz w:val="20"/>
                <w:szCs w:val="20"/>
                <w:color w:val="auto"/>
              </w:rPr>
            </w:pPr>
            <w:r>
              <w:rPr>
                <w:rFonts w:ascii="Times New Roman" w:cs="Times New Roman" w:eastAsia="Times New Roman" w:hAnsi="Times New Roman"/>
                <w:sz w:val="19"/>
                <w:szCs w:val="19"/>
                <w:b w:val="1"/>
                <w:bCs w:val="1"/>
                <w:color w:val="231F20"/>
              </w:rPr>
              <w:t>3,309.4</w:t>
            </w:r>
          </w:p>
        </w:tc>
        <w:tc>
          <w:tcPr>
            <w:tcW w:w="1360" w:type="dxa"/>
            <w:vAlign w:val="bottom"/>
            <w:tcBorders>
              <w:bottom w:val="single" w:sz="8" w:color="231F20"/>
            </w:tcBorders>
          </w:tcPr>
          <w:p>
            <w:pPr>
              <w:jc w:val="right"/>
              <w:ind w:right="303"/>
              <w:spacing w:after="0"/>
              <w:rPr>
                <w:sz w:val="20"/>
                <w:szCs w:val="20"/>
                <w:color w:val="auto"/>
              </w:rPr>
            </w:pPr>
            <w:r>
              <w:rPr>
                <w:rFonts w:ascii="Times New Roman" w:cs="Times New Roman" w:eastAsia="Times New Roman" w:hAnsi="Times New Roman"/>
                <w:sz w:val="19"/>
                <w:szCs w:val="19"/>
                <w:color w:val="231F20"/>
              </w:rPr>
              <w:t>3,056.8</w:t>
            </w: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2,920.5</w:t>
            </w:r>
          </w:p>
        </w:tc>
      </w:tr>
      <w:tr>
        <w:trPr>
          <w:trHeight w:val="269"/>
        </w:trPr>
        <w:tc>
          <w:tcPr>
            <w:tcW w:w="1520" w:type="dxa"/>
            <w:vAlign w:val="bottom"/>
          </w:tcPr>
          <w:p>
            <w:pPr>
              <w:jc w:val="right"/>
              <w:ind w:right="303"/>
              <w:spacing w:after="0"/>
              <w:rPr>
                <w:sz w:val="20"/>
                <w:szCs w:val="20"/>
                <w:color w:val="auto"/>
              </w:rPr>
            </w:pPr>
            <w:r>
              <w:rPr>
                <w:rFonts w:ascii="Times New Roman" w:cs="Times New Roman" w:eastAsia="Times New Roman" w:hAnsi="Times New Roman"/>
                <w:sz w:val="19"/>
                <w:szCs w:val="19"/>
                <w:b w:val="1"/>
                <w:bCs w:val="1"/>
                <w:color w:val="231F20"/>
              </w:rPr>
              <w:t>2,626.5</w:t>
            </w:r>
          </w:p>
        </w:tc>
        <w:tc>
          <w:tcPr>
            <w:tcW w:w="1360" w:type="dxa"/>
            <w:vAlign w:val="bottom"/>
          </w:tcPr>
          <w:p>
            <w:pPr>
              <w:jc w:val="right"/>
              <w:ind w:right="303"/>
              <w:spacing w:after="0"/>
              <w:rPr>
                <w:sz w:val="20"/>
                <w:szCs w:val="20"/>
                <w:color w:val="auto"/>
              </w:rPr>
            </w:pPr>
            <w:r>
              <w:rPr>
                <w:rFonts w:ascii="Times New Roman" w:cs="Times New Roman" w:eastAsia="Times New Roman" w:hAnsi="Times New Roman"/>
                <w:sz w:val="19"/>
                <w:szCs w:val="19"/>
                <w:color w:val="231F20"/>
              </w:rPr>
              <w:t>2,402.8</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2,218.2</w:t>
            </w:r>
          </w:p>
        </w:tc>
      </w:tr>
      <w:tr>
        <w:trPr>
          <w:trHeight w:val="568"/>
        </w:trPr>
        <w:tc>
          <w:tcPr>
            <w:tcW w:w="1520" w:type="dxa"/>
            <w:vAlign w:val="bottom"/>
          </w:tcPr>
          <w:p>
            <w:pPr>
              <w:jc w:val="right"/>
              <w:ind w:right="303"/>
              <w:spacing w:after="0"/>
              <w:rPr>
                <w:sz w:val="20"/>
                <w:szCs w:val="20"/>
                <w:color w:val="auto"/>
              </w:rPr>
            </w:pPr>
            <w:r>
              <w:rPr>
                <w:rFonts w:ascii="Times New Roman" w:cs="Times New Roman" w:eastAsia="Times New Roman" w:hAnsi="Times New Roman"/>
                <w:sz w:val="19"/>
                <w:szCs w:val="19"/>
                <w:b w:val="1"/>
                <w:bCs w:val="1"/>
                <w:color w:val="231F20"/>
              </w:rPr>
              <w:t>1,407.7</w:t>
            </w:r>
          </w:p>
        </w:tc>
        <w:tc>
          <w:tcPr>
            <w:tcW w:w="1360" w:type="dxa"/>
            <w:vAlign w:val="bottom"/>
          </w:tcPr>
          <w:p>
            <w:pPr>
              <w:jc w:val="right"/>
              <w:ind w:right="303"/>
              <w:spacing w:after="0"/>
              <w:rPr>
                <w:sz w:val="20"/>
                <w:szCs w:val="20"/>
                <w:color w:val="auto"/>
              </w:rPr>
            </w:pPr>
            <w:r>
              <w:rPr>
                <w:rFonts w:ascii="Times New Roman" w:cs="Times New Roman" w:eastAsia="Times New Roman" w:hAnsi="Times New Roman"/>
                <w:sz w:val="19"/>
                <w:szCs w:val="19"/>
                <w:color w:val="231F20"/>
              </w:rPr>
              <w:t>1,334.3</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1,252.3</w:t>
            </w:r>
          </w:p>
        </w:tc>
      </w:tr>
      <w:tr>
        <w:trPr>
          <w:trHeight w:val="291"/>
        </w:trPr>
        <w:tc>
          <w:tcPr>
            <w:tcW w:w="1520" w:type="dxa"/>
            <w:vAlign w:val="bottom"/>
          </w:tcPr>
          <w:p>
            <w:pPr>
              <w:jc w:val="right"/>
              <w:ind w:right="303"/>
              <w:spacing w:after="0"/>
              <w:rPr>
                <w:sz w:val="20"/>
                <w:szCs w:val="20"/>
                <w:color w:val="auto"/>
              </w:rPr>
            </w:pPr>
            <w:r>
              <w:rPr>
                <w:rFonts w:ascii="Times New Roman" w:cs="Times New Roman" w:eastAsia="Times New Roman" w:hAnsi="Times New Roman"/>
                <w:sz w:val="19"/>
                <w:szCs w:val="19"/>
                <w:b w:val="1"/>
                <w:bCs w:val="1"/>
                <w:color w:val="231F20"/>
              </w:rPr>
              <w:t>112.9</w:t>
            </w:r>
          </w:p>
        </w:tc>
        <w:tc>
          <w:tcPr>
            <w:tcW w:w="1360" w:type="dxa"/>
            <w:vAlign w:val="bottom"/>
          </w:tcPr>
          <w:p>
            <w:pPr>
              <w:jc w:val="right"/>
              <w:ind w:right="303"/>
              <w:spacing w:after="0"/>
              <w:rPr>
                <w:sz w:val="20"/>
                <w:szCs w:val="20"/>
                <w:color w:val="auto"/>
              </w:rPr>
            </w:pPr>
            <w:r>
              <w:rPr>
                <w:rFonts w:ascii="Times New Roman" w:cs="Times New Roman" w:eastAsia="Times New Roman" w:hAnsi="Times New Roman"/>
                <w:sz w:val="19"/>
                <w:szCs w:val="19"/>
                <w:color w:val="231F20"/>
              </w:rPr>
              <w:t>107.6</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103.7</w:t>
            </w:r>
          </w:p>
        </w:tc>
      </w:tr>
      <w:tr>
        <w:trPr>
          <w:trHeight w:val="291"/>
        </w:trPr>
        <w:tc>
          <w:tcPr>
            <w:tcW w:w="1520" w:type="dxa"/>
            <w:vAlign w:val="bottom"/>
          </w:tcPr>
          <w:p>
            <w:pPr>
              <w:jc w:val="right"/>
              <w:ind w:right="303"/>
              <w:spacing w:after="0"/>
              <w:rPr>
                <w:sz w:val="20"/>
                <w:szCs w:val="20"/>
                <w:color w:val="auto"/>
              </w:rPr>
            </w:pPr>
            <w:r>
              <w:rPr>
                <w:rFonts w:ascii="Times New Roman" w:cs="Times New Roman" w:eastAsia="Times New Roman" w:hAnsi="Times New Roman"/>
                <w:sz w:val="19"/>
                <w:szCs w:val="19"/>
                <w:b w:val="1"/>
                <w:bCs w:val="1"/>
                <w:color w:val="231F20"/>
              </w:rPr>
              <w:t>—</w:t>
            </w:r>
          </w:p>
        </w:tc>
        <w:tc>
          <w:tcPr>
            <w:tcW w:w="1360" w:type="dxa"/>
            <w:vAlign w:val="bottom"/>
          </w:tcPr>
          <w:p>
            <w:pPr>
              <w:jc w:val="right"/>
              <w:ind w:right="303"/>
              <w:spacing w:after="0"/>
              <w:rPr>
                <w:sz w:val="20"/>
                <w:szCs w:val="20"/>
                <w:color w:val="auto"/>
              </w:rPr>
            </w:pPr>
            <w:r>
              <w:rPr>
                <w:rFonts w:ascii="Times New Roman" w:cs="Times New Roman" w:eastAsia="Times New Roman" w:hAnsi="Times New Roman"/>
                <w:sz w:val="19"/>
                <w:szCs w:val="19"/>
                <w:color w:val="231F20"/>
              </w:rPr>
              <w:t>48.2</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r>
      <w:tr>
        <w:trPr>
          <w:trHeight w:val="294"/>
        </w:trPr>
        <w:tc>
          <w:tcPr>
            <w:tcW w:w="1520" w:type="dxa"/>
            <w:vAlign w:val="bottom"/>
            <w:tcBorders>
              <w:bottom w:val="single" w:sz="8" w:color="231F20"/>
            </w:tcBorders>
          </w:tcPr>
          <w:p>
            <w:pPr>
              <w:jc w:val="right"/>
              <w:ind w:right="303"/>
              <w:spacing w:after="0"/>
              <w:rPr>
                <w:sz w:val="20"/>
                <w:szCs w:val="20"/>
                <w:color w:val="auto"/>
              </w:rPr>
            </w:pPr>
            <w:r>
              <w:rPr>
                <w:rFonts w:ascii="Times New Roman" w:cs="Times New Roman" w:eastAsia="Times New Roman" w:hAnsi="Times New Roman"/>
                <w:sz w:val="19"/>
                <w:szCs w:val="19"/>
                <w:b w:val="1"/>
                <w:bCs w:val="1"/>
                <w:color w:val="231F20"/>
              </w:rPr>
              <w:t>4.1</w:t>
            </w:r>
          </w:p>
        </w:tc>
        <w:tc>
          <w:tcPr>
            <w:tcW w:w="1360" w:type="dxa"/>
            <w:vAlign w:val="bottom"/>
            <w:tcBorders>
              <w:bottom w:val="single" w:sz="8" w:color="231F20"/>
            </w:tcBorders>
          </w:tcPr>
          <w:p>
            <w:pPr>
              <w:jc w:val="right"/>
              <w:ind w:right="303"/>
              <w:spacing w:after="0"/>
              <w:rPr>
                <w:sz w:val="20"/>
                <w:szCs w:val="20"/>
                <w:color w:val="auto"/>
              </w:rPr>
            </w:pPr>
            <w:r>
              <w:rPr>
                <w:rFonts w:ascii="Times New Roman" w:cs="Times New Roman" w:eastAsia="Times New Roman" w:hAnsi="Times New Roman"/>
                <w:sz w:val="19"/>
                <w:szCs w:val="19"/>
                <w:color w:val="231F20"/>
              </w:rPr>
              <w:t>46.0</w:t>
            </w: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26.0</w:t>
            </w:r>
          </w:p>
        </w:tc>
      </w:tr>
      <w:tr>
        <w:trPr>
          <w:trHeight w:val="271"/>
        </w:trPr>
        <w:tc>
          <w:tcPr>
            <w:tcW w:w="1520" w:type="dxa"/>
            <w:vAlign w:val="bottom"/>
            <w:tcBorders>
              <w:bottom w:val="single" w:sz="8" w:color="231F20"/>
            </w:tcBorders>
          </w:tcPr>
          <w:p>
            <w:pPr>
              <w:jc w:val="right"/>
              <w:ind w:right="303"/>
              <w:spacing w:after="0"/>
              <w:rPr>
                <w:sz w:val="20"/>
                <w:szCs w:val="20"/>
                <w:color w:val="auto"/>
              </w:rPr>
            </w:pPr>
            <w:r>
              <w:rPr>
                <w:rFonts w:ascii="Times New Roman" w:cs="Times New Roman" w:eastAsia="Times New Roman" w:hAnsi="Times New Roman"/>
                <w:sz w:val="19"/>
                <w:szCs w:val="19"/>
                <w:b w:val="1"/>
                <w:bCs w:val="1"/>
                <w:color w:val="231F20"/>
              </w:rPr>
              <w:t>1,524.7</w:t>
            </w:r>
          </w:p>
        </w:tc>
        <w:tc>
          <w:tcPr>
            <w:tcW w:w="1360" w:type="dxa"/>
            <w:vAlign w:val="bottom"/>
            <w:tcBorders>
              <w:bottom w:val="single" w:sz="8" w:color="231F20"/>
            </w:tcBorders>
          </w:tcPr>
          <w:p>
            <w:pPr>
              <w:jc w:val="right"/>
              <w:ind w:right="303"/>
              <w:spacing w:after="0"/>
              <w:rPr>
                <w:sz w:val="20"/>
                <w:szCs w:val="20"/>
                <w:color w:val="auto"/>
              </w:rPr>
            </w:pPr>
            <w:r>
              <w:rPr>
                <w:rFonts w:ascii="Times New Roman" w:cs="Times New Roman" w:eastAsia="Times New Roman" w:hAnsi="Times New Roman"/>
                <w:sz w:val="19"/>
                <w:szCs w:val="19"/>
                <w:color w:val="231F20"/>
              </w:rPr>
              <w:t>1,536.1</w:t>
            </w: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1,382.0</w:t>
            </w:r>
          </w:p>
        </w:tc>
      </w:tr>
      <w:tr>
        <w:trPr>
          <w:trHeight w:val="269"/>
        </w:trPr>
        <w:tc>
          <w:tcPr>
            <w:tcW w:w="1520" w:type="dxa"/>
            <w:vAlign w:val="bottom"/>
          </w:tcPr>
          <w:p>
            <w:pPr>
              <w:jc w:val="right"/>
              <w:ind w:right="303"/>
              <w:spacing w:after="0"/>
              <w:rPr>
                <w:sz w:val="20"/>
                <w:szCs w:val="20"/>
                <w:color w:val="auto"/>
              </w:rPr>
            </w:pPr>
            <w:r>
              <w:rPr>
                <w:rFonts w:ascii="Times New Roman" w:cs="Times New Roman" w:eastAsia="Times New Roman" w:hAnsi="Times New Roman"/>
                <w:sz w:val="19"/>
                <w:szCs w:val="19"/>
                <w:b w:val="1"/>
                <w:bCs w:val="1"/>
                <w:color w:val="231F20"/>
              </w:rPr>
              <w:t>1,101.8</w:t>
            </w:r>
          </w:p>
        </w:tc>
        <w:tc>
          <w:tcPr>
            <w:tcW w:w="1360" w:type="dxa"/>
            <w:vAlign w:val="bottom"/>
          </w:tcPr>
          <w:p>
            <w:pPr>
              <w:jc w:val="right"/>
              <w:ind w:right="303"/>
              <w:spacing w:after="0"/>
              <w:rPr>
                <w:sz w:val="20"/>
                <w:szCs w:val="20"/>
                <w:color w:val="auto"/>
              </w:rPr>
            </w:pPr>
            <w:r>
              <w:rPr>
                <w:rFonts w:ascii="Times New Roman" w:cs="Times New Roman" w:eastAsia="Times New Roman" w:hAnsi="Times New Roman"/>
                <w:sz w:val="19"/>
                <w:szCs w:val="19"/>
                <w:color w:val="231F20"/>
              </w:rPr>
              <w:t>866.6</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836.1</w:t>
            </w:r>
          </w:p>
        </w:tc>
      </w:tr>
    </w:tbl>
    <w:p>
      <w:pPr>
        <w:spacing w:after="0" w:line="311" w:lineRule="exact"/>
        <w:rPr>
          <w:sz w:val="20"/>
          <w:szCs w:val="20"/>
          <w:color w:val="auto"/>
        </w:rPr>
      </w:pPr>
    </w:p>
    <w:p>
      <w:pPr>
        <w:sectPr>
          <w:pgSz w:w="11880" w:h="15480" w:orient="portrait"/>
          <w:cols w:equalWidth="0" w:num="2">
            <w:col w:w="5280" w:space="720"/>
            <w:col w:w="3960"/>
          </w:cols>
          <w:pgMar w:left="960" w:top="818" w:right="960" w:bottom="0" w:gutter="0" w:footer="0" w:header="0"/>
          <w:type w:val="continuous"/>
        </w:sectPr>
      </w:pPr>
    </w:p>
    <w:p>
      <w:pPr>
        <w:spacing w:after="0" w:line="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231F20"/>
        </w:rPr>
        <w:t>Interest expense</w:t>
      </w:r>
    </w:p>
    <w:p>
      <w:pPr>
        <w:spacing w:after="0" w:line="3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231F20"/>
        </w:rPr>
        <w:t>Interest and miscellaneous income</w:t>
      </w:r>
    </w:p>
    <w:p>
      <w:pPr>
        <w:spacing w:after="0" w:line="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231F20"/>
        </w:rPr>
        <w:t>Other expense (income), net</w:t>
      </w:r>
    </w:p>
    <w:p>
      <w:pPr>
        <w:spacing w:after="0" w:line="1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231F20"/>
        </w:rPr>
        <w:t>Total non-operating expenses, net</w:t>
      </w:r>
    </w:p>
    <w:p>
      <w:pPr>
        <w:spacing w:after="0" w:line="73" w:lineRule="exact"/>
        <w:rPr>
          <w:sz w:val="20"/>
          <w:szCs w:val="20"/>
          <w:color w:val="auto"/>
        </w:rPr>
      </w:pPr>
    </w:p>
    <w:p>
      <w:pPr>
        <w:ind w:left="60" w:right="120"/>
        <w:spacing w:after="0" w:line="319" w:lineRule="auto"/>
        <w:rPr>
          <w:sz w:val="20"/>
          <w:szCs w:val="20"/>
          <w:color w:val="auto"/>
        </w:rPr>
      </w:pPr>
      <w:r>
        <w:rPr>
          <w:rFonts w:ascii="Times New Roman" w:cs="Times New Roman" w:eastAsia="Times New Roman" w:hAnsi="Times New Roman"/>
          <w:sz w:val="19"/>
          <w:szCs w:val="19"/>
          <w:b w:val="1"/>
          <w:bCs w:val="1"/>
          <w:color w:val="231F20"/>
        </w:rPr>
        <w:t xml:space="preserve">Income from continuing operations before income tax expense </w:t>
      </w:r>
      <w:r>
        <w:rPr>
          <w:rFonts w:ascii="Times New Roman" w:cs="Times New Roman" w:eastAsia="Times New Roman" w:hAnsi="Times New Roman"/>
          <w:sz w:val="19"/>
          <w:szCs w:val="19"/>
          <w:color w:val="231F20"/>
        </w:rPr>
        <w:t>Income tax expense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231F20"/>
        </w:rPr>
        <w:t>Income from continuing operations, net of income tax</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231F20"/>
        </w:rPr>
        <w:t>Income (loss) from discontinued operations, net of income tax</w:t>
      </w:r>
    </w:p>
    <w:p>
      <w:pPr>
        <w:spacing w:after="0" w:line="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231F20"/>
        </w:rPr>
        <w:t>Net income</w:t>
      </w:r>
    </w:p>
    <w:p>
      <w:pPr>
        <w:spacing w:after="0" w:line="73" w:lineRule="exact"/>
        <w:rPr>
          <w:sz w:val="20"/>
          <w:szCs w:val="20"/>
          <w:color w:val="auto"/>
        </w:rPr>
      </w:pPr>
    </w:p>
    <w:p>
      <w:pPr>
        <w:ind w:left="60" w:right="600"/>
        <w:spacing w:after="0" w:line="361" w:lineRule="auto"/>
        <w:rPr>
          <w:sz w:val="20"/>
          <w:szCs w:val="20"/>
          <w:color w:val="auto"/>
        </w:rPr>
      </w:pPr>
      <w:r>
        <w:rPr>
          <w:rFonts w:ascii="Times New Roman" w:cs="Times New Roman" w:eastAsia="Times New Roman" w:hAnsi="Times New Roman"/>
          <w:sz w:val="19"/>
          <w:szCs w:val="19"/>
          <w:b w:val="1"/>
          <w:bCs w:val="1"/>
          <w:color w:val="231F20"/>
        </w:rPr>
        <w:t>Less: Net income attributable to noncontrolling interests Net income attributable to shareholders</w:t>
      </w:r>
    </w:p>
    <w:p>
      <w:pPr>
        <w:spacing w:after="0" w:line="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231F20"/>
        </w:rPr>
        <w:t>Net income (loss) per share attributable to shareholders - Basic: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340" w:type="dxa"/>
            <w:vAlign w:val="bottom"/>
          </w:tcPr>
          <w:p>
            <w:pPr>
              <w:spacing w:after="0"/>
              <w:rPr>
                <w:sz w:val="22"/>
                <w:szCs w:val="22"/>
                <w:color w:val="auto"/>
              </w:rPr>
            </w:pP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60.7</w:t>
            </w:r>
          </w:p>
        </w:tc>
        <w:tc>
          <w:tcPr>
            <w:tcW w:w="480" w:type="dxa"/>
            <w:vAlign w:val="bottom"/>
          </w:tcPr>
          <w:p>
            <w:pPr>
              <w:spacing w:after="0"/>
              <w:rPr>
                <w:sz w:val="22"/>
                <w:szCs w:val="22"/>
                <w:color w:val="auto"/>
              </w:rPr>
            </w:pPr>
          </w:p>
        </w:tc>
        <w:tc>
          <w:tcPr>
            <w:tcW w:w="88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231F20"/>
              </w:rPr>
              <w:t>86.3</w:t>
            </w: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144.4</w:t>
            </w:r>
          </w:p>
        </w:tc>
      </w:tr>
      <w:tr>
        <w:trPr>
          <w:trHeight w:val="291"/>
        </w:trPr>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(9.8)</w:t>
            </w: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(8.4)</w:t>
            </w: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(11.0)</w:t>
            </w:r>
          </w:p>
        </w:tc>
      </w:tr>
      <w:tr>
        <w:trPr>
          <w:trHeight w:val="294"/>
        </w:trPr>
        <w:tc>
          <w:tcPr>
            <w:tcW w:w="34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3.5</w:t>
            </w:r>
          </w:p>
        </w:tc>
        <w:tc>
          <w:tcPr>
            <w:tcW w:w="48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(7.4)</w:t>
            </w:r>
          </w:p>
        </w:tc>
        <w:tc>
          <w:tcPr>
            <w:tcW w:w="46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w:t>
            </w:r>
          </w:p>
        </w:tc>
      </w:tr>
      <w:tr>
        <w:trPr>
          <w:trHeight w:val="269"/>
        </w:trPr>
        <w:tc>
          <w:tcPr>
            <w:tcW w:w="340" w:type="dxa"/>
            <w:vAlign w:val="bottom"/>
          </w:tcPr>
          <w:p>
            <w:pPr>
              <w:spacing w:after="0"/>
              <w:rPr>
                <w:sz w:val="23"/>
                <w:szCs w:val="23"/>
                <w:color w:val="auto"/>
              </w:rPr>
            </w:pP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54.4</w:t>
            </w:r>
          </w:p>
        </w:tc>
        <w:tc>
          <w:tcPr>
            <w:tcW w:w="480" w:type="dxa"/>
            <w:vAlign w:val="bottom"/>
          </w:tcPr>
          <w:p>
            <w:pPr>
              <w:spacing w:after="0"/>
              <w:rPr>
                <w:sz w:val="23"/>
                <w:szCs w:val="23"/>
                <w:color w:val="auto"/>
              </w:rPr>
            </w:pPr>
          </w:p>
        </w:tc>
        <w:tc>
          <w:tcPr>
            <w:tcW w:w="88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231F20"/>
              </w:rPr>
              <w:t>70.4</w:t>
            </w: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133.3</w:t>
            </w:r>
          </w:p>
        </w:tc>
      </w:tr>
      <w:tr>
        <w:trPr>
          <w:trHeight w:val="291"/>
        </w:trPr>
        <w:tc>
          <w:tcPr>
            <w:tcW w:w="340" w:type="dxa"/>
            <w:vAlign w:val="bottom"/>
          </w:tcPr>
          <w:p>
            <w:pPr>
              <w:spacing w:after="0"/>
              <w:rPr>
                <w:sz w:val="24"/>
                <w:szCs w:val="24"/>
                <w:color w:val="auto"/>
              </w:rPr>
            </w:pP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1,047.3</w:t>
            </w:r>
          </w:p>
        </w:tc>
        <w:tc>
          <w:tcPr>
            <w:tcW w:w="480" w:type="dxa"/>
            <w:vAlign w:val="bottom"/>
          </w:tcPr>
          <w:p>
            <w:pPr>
              <w:spacing w:after="0"/>
              <w:rPr>
                <w:sz w:val="24"/>
                <w:szCs w:val="24"/>
                <w:color w:val="auto"/>
              </w:rPr>
            </w:pPr>
          </w:p>
        </w:tc>
        <w:tc>
          <w:tcPr>
            <w:tcW w:w="88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231F20"/>
              </w:rPr>
              <w:t>796.2</w:t>
            </w: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702.8</w:t>
            </w:r>
          </w:p>
        </w:tc>
      </w:tr>
      <w:tr>
        <w:trPr>
          <w:trHeight w:val="294"/>
        </w:trPr>
        <w:tc>
          <w:tcPr>
            <w:tcW w:w="34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262.2</w:t>
            </w:r>
          </w:p>
        </w:tc>
        <w:tc>
          <w:tcPr>
            <w:tcW w:w="48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ind w:right="43"/>
              <w:spacing w:after="0"/>
              <w:rPr>
                <w:sz w:val="20"/>
                <w:szCs w:val="20"/>
                <w:color w:val="auto"/>
              </w:rPr>
            </w:pPr>
            <w:r>
              <w:rPr>
                <w:rFonts w:ascii="Times New Roman" w:cs="Times New Roman" w:eastAsia="Times New Roman" w:hAnsi="Times New Roman"/>
                <w:sz w:val="19"/>
                <w:szCs w:val="19"/>
                <w:color w:val="231F20"/>
              </w:rPr>
              <w:t>184.7</w:t>
            </w:r>
          </w:p>
        </w:tc>
        <w:tc>
          <w:tcPr>
            <w:tcW w:w="46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149.5</w:t>
            </w:r>
          </w:p>
        </w:tc>
      </w:tr>
      <w:tr>
        <w:trPr>
          <w:trHeight w:val="269"/>
        </w:trPr>
        <w:tc>
          <w:tcPr>
            <w:tcW w:w="340" w:type="dxa"/>
            <w:vAlign w:val="bottom"/>
          </w:tcPr>
          <w:p>
            <w:pPr>
              <w:spacing w:after="0"/>
              <w:rPr>
                <w:sz w:val="23"/>
                <w:szCs w:val="23"/>
                <w:color w:val="auto"/>
              </w:rPr>
            </w:pP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785.1</w:t>
            </w:r>
          </w:p>
        </w:tc>
        <w:tc>
          <w:tcPr>
            <w:tcW w:w="480" w:type="dxa"/>
            <w:vAlign w:val="bottom"/>
          </w:tcPr>
          <w:p>
            <w:pPr>
              <w:spacing w:after="0"/>
              <w:rPr>
                <w:sz w:val="23"/>
                <w:szCs w:val="23"/>
                <w:color w:val="auto"/>
              </w:rPr>
            </w:pPr>
          </w:p>
        </w:tc>
        <w:tc>
          <w:tcPr>
            <w:tcW w:w="88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231F20"/>
              </w:rPr>
              <w:t>611.6</w:t>
            </w: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553.3</w:t>
            </w:r>
          </w:p>
        </w:tc>
      </w:tr>
      <w:tr>
        <w:trPr>
          <w:trHeight w:val="279"/>
        </w:trPr>
        <w:tc>
          <w:tcPr>
            <w:tcW w:w="34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w:t>
            </w:r>
          </w:p>
        </w:tc>
        <w:tc>
          <w:tcPr>
            <w:tcW w:w="48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ind w:right="43"/>
              <w:spacing w:after="0"/>
              <w:rPr>
                <w:sz w:val="20"/>
                <w:szCs w:val="20"/>
                <w:color w:val="auto"/>
              </w:rPr>
            </w:pPr>
            <w:r>
              <w:rPr>
                <w:rFonts w:ascii="Times New Roman" w:cs="Times New Roman" w:eastAsia="Times New Roman" w:hAnsi="Times New Roman"/>
                <w:sz w:val="19"/>
                <w:szCs w:val="19"/>
                <w:color w:val="231F20"/>
              </w:rPr>
              <w:t>4.5</w:t>
            </w:r>
          </w:p>
        </w:tc>
        <w:tc>
          <w:tcPr>
            <w:tcW w:w="46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(173.2)</w:t>
            </w:r>
          </w:p>
        </w:tc>
      </w:tr>
      <w:tr>
        <w:trPr>
          <w:trHeight w:val="269"/>
        </w:trPr>
        <w:tc>
          <w:tcPr>
            <w:tcW w:w="340" w:type="dxa"/>
            <w:vAlign w:val="bottom"/>
          </w:tcPr>
          <w:p>
            <w:pPr>
              <w:spacing w:after="0"/>
              <w:rPr>
                <w:sz w:val="23"/>
                <w:szCs w:val="23"/>
                <w:color w:val="auto"/>
              </w:rPr>
            </w:pP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785.1</w:t>
            </w:r>
          </w:p>
        </w:tc>
        <w:tc>
          <w:tcPr>
            <w:tcW w:w="480" w:type="dxa"/>
            <w:vAlign w:val="bottom"/>
          </w:tcPr>
          <w:p>
            <w:pPr>
              <w:spacing w:after="0"/>
              <w:rPr>
                <w:sz w:val="23"/>
                <w:szCs w:val="23"/>
                <w:color w:val="auto"/>
              </w:rPr>
            </w:pPr>
          </w:p>
        </w:tc>
        <w:tc>
          <w:tcPr>
            <w:tcW w:w="88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231F20"/>
              </w:rPr>
              <w:t>616.1</w:t>
            </w: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380.1</w:t>
            </w:r>
          </w:p>
        </w:tc>
      </w:tr>
      <w:tr>
        <w:trPr>
          <w:trHeight w:val="294"/>
        </w:trPr>
        <w:tc>
          <w:tcPr>
            <w:tcW w:w="34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2.8</w:t>
            </w:r>
          </w:p>
        </w:tc>
        <w:tc>
          <w:tcPr>
            <w:tcW w:w="48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ind w:right="43"/>
              <w:spacing w:after="0"/>
              <w:rPr>
                <w:sz w:val="20"/>
                <w:szCs w:val="20"/>
                <w:color w:val="auto"/>
              </w:rPr>
            </w:pPr>
            <w:r>
              <w:rPr>
                <w:rFonts w:ascii="Times New Roman" w:cs="Times New Roman" w:eastAsia="Times New Roman" w:hAnsi="Times New Roman"/>
                <w:sz w:val="19"/>
                <w:szCs w:val="19"/>
                <w:color w:val="231F20"/>
              </w:rPr>
              <w:t>1.4</w:t>
            </w:r>
          </w:p>
        </w:tc>
        <w:tc>
          <w:tcPr>
            <w:tcW w:w="46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1.8</w:t>
            </w:r>
          </w:p>
        </w:tc>
      </w:tr>
      <w:tr>
        <w:trPr>
          <w:trHeight w:val="281"/>
        </w:trPr>
        <w:tc>
          <w:tcPr>
            <w:tcW w:w="340" w:type="dxa"/>
            <w:vAlign w:val="bottom"/>
            <w:tcBorders>
              <w:bottom w:val="single" w:sz="8" w:color="231F20"/>
            </w:tcBorders>
          </w:tcPr>
          <w:p>
            <w:pPr>
              <w:jc w:val="right"/>
              <w:ind w:right="103"/>
              <w:spacing w:after="0"/>
              <w:rPr>
                <w:sz w:val="20"/>
                <w:szCs w:val="20"/>
                <w:color w:val="auto"/>
              </w:rPr>
            </w:pPr>
            <w:r>
              <w:rPr>
                <w:rFonts w:ascii="Times New Roman" w:cs="Times New Roman" w:eastAsia="Times New Roman" w:hAnsi="Times New Roman"/>
                <w:sz w:val="19"/>
                <w:szCs w:val="19"/>
                <w:b w:val="1"/>
                <w:bCs w:val="1"/>
                <w:color w:val="231F20"/>
              </w:rPr>
              <w:t>$</w:t>
            </w:r>
          </w:p>
        </w:tc>
        <w:tc>
          <w:tcPr>
            <w:tcW w:w="920" w:type="dxa"/>
            <w:vAlign w:val="bottom"/>
            <w:tcBorders>
              <w:bottom w:val="single" w:sz="8" w:color="231F20"/>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782.3</w:t>
            </w:r>
          </w:p>
        </w:tc>
        <w:tc>
          <w:tcPr>
            <w:tcW w:w="480" w:type="dxa"/>
            <w:vAlign w:val="bottom"/>
            <w:tcBorders>
              <w:bottom w:val="single" w:sz="8" w:color="231F20"/>
            </w:tcBorders>
          </w:tcPr>
          <w:p>
            <w:pPr>
              <w:jc w:val="right"/>
              <w:ind w:right="223"/>
              <w:spacing w:after="0"/>
              <w:rPr>
                <w:sz w:val="20"/>
                <w:szCs w:val="20"/>
                <w:color w:val="auto"/>
              </w:rPr>
            </w:pPr>
            <w:r>
              <w:rPr>
                <w:rFonts w:ascii="Times New Roman" w:cs="Times New Roman" w:eastAsia="Times New Roman" w:hAnsi="Times New Roman"/>
                <w:sz w:val="19"/>
                <w:szCs w:val="19"/>
                <w:color w:val="231F20"/>
              </w:rPr>
              <w:t>$</w:t>
            </w:r>
          </w:p>
        </w:tc>
        <w:tc>
          <w:tcPr>
            <w:tcW w:w="880" w:type="dxa"/>
            <w:vAlign w:val="bottom"/>
            <w:tcBorders>
              <w:bottom w:val="single" w:sz="8" w:color="231F20"/>
            </w:tcBorders>
          </w:tcPr>
          <w:p>
            <w:pPr>
              <w:jc w:val="right"/>
              <w:ind w:right="43"/>
              <w:spacing w:after="0"/>
              <w:rPr>
                <w:sz w:val="20"/>
                <w:szCs w:val="20"/>
                <w:color w:val="auto"/>
              </w:rPr>
            </w:pPr>
            <w:r>
              <w:rPr>
                <w:rFonts w:ascii="Times New Roman" w:cs="Times New Roman" w:eastAsia="Times New Roman" w:hAnsi="Times New Roman"/>
                <w:sz w:val="19"/>
                <w:szCs w:val="19"/>
                <w:color w:val="231F20"/>
              </w:rPr>
              <w:t>614.6</w:t>
            </w:r>
          </w:p>
        </w:tc>
        <w:tc>
          <w:tcPr>
            <w:tcW w:w="460" w:type="dxa"/>
            <w:vAlign w:val="bottom"/>
            <w:tcBorders>
              <w:bottom w:val="single" w:sz="8" w:color="231F20"/>
            </w:tcBorders>
          </w:tcPr>
          <w:p>
            <w:pPr>
              <w:jc w:val="right"/>
              <w:ind w:right="203"/>
              <w:spacing w:after="0"/>
              <w:rPr>
                <w:sz w:val="20"/>
                <w:szCs w:val="20"/>
                <w:color w:val="auto"/>
              </w:rPr>
            </w:pPr>
            <w:r>
              <w:rPr>
                <w:rFonts w:ascii="Times New Roman" w:cs="Times New Roman" w:eastAsia="Times New Roman" w:hAnsi="Times New Roman"/>
                <w:sz w:val="19"/>
                <w:szCs w:val="19"/>
                <w:color w:val="231F20"/>
              </w:rPr>
              <w:t>$</w:t>
            </w: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378.2</w:t>
            </w:r>
          </w:p>
        </w:tc>
      </w:tr>
    </w:tbl>
    <w:p>
      <w:pPr>
        <w:spacing w:after="0" w:line="439" w:lineRule="exact"/>
        <w:rPr>
          <w:sz w:val="20"/>
          <w:szCs w:val="20"/>
          <w:color w:val="auto"/>
        </w:rPr>
      </w:pPr>
    </w:p>
    <w:p>
      <w:pPr>
        <w:sectPr>
          <w:pgSz w:w="11880" w:h="15480" w:orient="portrait"/>
          <w:cols w:equalWidth="0" w:num="2">
            <w:col w:w="5320" w:space="680"/>
            <w:col w:w="3960"/>
          </w:cols>
          <w:pgMar w:left="960" w:top="818" w:right="960" w:bottom="0" w:gutter="0" w:footer="0" w:header="0"/>
          <w:type w:val="continuous"/>
        </w:sectPr>
      </w:pPr>
    </w:p>
    <w:tbl>
      <w:tblPr>
        <w:tblLayout w:type="fixed"/>
        <w:tblInd w:w="60" w:type="dxa"/>
        <w:tblCellMar>
          <w:top w:w="0" w:type="dxa"/>
          <w:left w:w="0" w:type="dxa"/>
          <w:bottom w:w="0" w:type="dxa"/>
          <w:right w:w="0" w:type="dxa"/>
        </w:tblCellMar>
      </w:tblPr>
      <w:tr>
        <w:trPr>
          <w:trHeight w:val="257"/>
        </w:trPr>
        <w:tc>
          <w:tcPr>
            <w:tcW w:w="5940" w:type="dxa"/>
            <w:vAlign w:val="bottom"/>
          </w:tcPr>
          <w:p>
            <w:pPr>
              <w:ind w:left="480"/>
              <w:spacing w:after="0"/>
              <w:rPr>
                <w:sz w:val="20"/>
                <w:szCs w:val="20"/>
                <w:color w:val="auto"/>
              </w:rPr>
            </w:pPr>
            <w:r>
              <w:rPr>
                <w:rFonts w:ascii="Times New Roman" w:cs="Times New Roman" w:eastAsia="Times New Roman" w:hAnsi="Times New Roman"/>
                <w:sz w:val="19"/>
                <w:szCs w:val="19"/>
                <w:color w:val="231F20"/>
              </w:rPr>
              <w:t>Continuing Operations</w:t>
            </w:r>
          </w:p>
        </w:tc>
        <w:tc>
          <w:tcPr>
            <w:tcW w:w="460" w:type="dxa"/>
            <w:vAlign w:val="bottom"/>
          </w:tcPr>
          <w:p>
            <w:pPr>
              <w:jc w:val="right"/>
              <w:ind w:right="223"/>
              <w:spacing w:after="0"/>
              <w:rPr>
                <w:sz w:val="20"/>
                <w:szCs w:val="20"/>
                <w:color w:val="auto"/>
              </w:rPr>
            </w:pPr>
            <w:r>
              <w:rPr>
                <w:rFonts w:ascii="Times New Roman" w:cs="Times New Roman" w:eastAsia="Times New Roman" w:hAnsi="Times New Roman"/>
                <w:sz w:val="19"/>
                <w:szCs w:val="19"/>
                <w:b w:val="1"/>
                <w:bCs w:val="1"/>
                <w:color w:val="231F20"/>
              </w:rPr>
              <w:t>$</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9"/>
                <w:szCs w:val="19"/>
                <w:b w:val="1"/>
                <w:bCs w:val="1"/>
                <w:color w:val="231F20"/>
              </w:rPr>
              <w:t>7.97</w:t>
            </w:r>
          </w:p>
        </w:tc>
        <w:tc>
          <w:tcPr>
            <w:tcW w:w="560" w:type="dxa"/>
            <w:vAlign w:val="bottom"/>
          </w:tcPr>
          <w:p>
            <w:pPr>
              <w:jc w:val="right"/>
              <w:ind w:right="263"/>
              <w:spacing w:after="0"/>
              <w:rPr>
                <w:sz w:val="20"/>
                <w:szCs w:val="20"/>
                <w:color w:val="auto"/>
              </w:rPr>
            </w:pPr>
            <w:r>
              <w:rPr>
                <w:rFonts w:ascii="Times New Roman" w:cs="Times New Roman" w:eastAsia="Times New Roman" w:hAnsi="Times New Roman"/>
                <w:sz w:val="19"/>
                <w:szCs w:val="19"/>
                <w:color w:val="231F20"/>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231F20"/>
              </w:rPr>
              <w:t>6.19</w:t>
            </w:r>
          </w:p>
        </w:tc>
        <w:tc>
          <w:tcPr>
            <w:tcW w:w="540" w:type="dxa"/>
            <w:vAlign w:val="bottom"/>
          </w:tcPr>
          <w:p>
            <w:pPr>
              <w:jc w:val="right"/>
              <w:ind w:right="243"/>
              <w:spacing w:after="0"/>
              <w:rPr>
                <w:sz w:val="20"/>
                <w:szCs w:val="20"/>
                <w:color w:val="auto"/>
              </w:rPr>
            </w:pPr>
            <w:r>
              <w:rPr>
                <w:rFonts w:ascii="Times New Roman" w:cs="Times New Roman" w:eastAsia="Times New Roman" w:hAnsi="Times New Roman"/>
                <w:sz w:val="19"/>
                <w:szCs w:val="19"/>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5.58</w:t>
            </w:r>
          </w:p>
        </w:tc>
      </w:tr>
      <w:tr>
        <w:trPr>
          <w:trHeight w:val="294"/>
        </w:trPr>
        <w:tc>
          <w:tcPr>
            <w:tcW w:w="5940" w:type="dxa"/>
            <w:vAlign w:val="bottom"/>
          </w:tcPr>
          <w:p>
            <w:pPr>
              <w:ind w:left="480"/>
              <w:spacing w:after="0"/>
              <w:rPr>
                <w:sz w:val="20"/>
                <w:szCs w:val="20"/>
                <w:color w:val="auto"/>
              </w:rPr>
            </w:pPr>
            <w:r>
              <w:rPr>
                <w:rFonts w:ascii="Times New Roman" w:cs="Times New Roman" w:eastAsia="Times New Roman" w:hAnsi="Times New Roman"/>
                <w:sz w:val="19"/>
                <w:szCs w:val="19"/>
                <w:color w:val="231F20"/>
              </w:rPr>
              <w:t>Discontinued Operations</w:t>
            </w:r>
          </w:p>
        </w:tc>
        <w:tc>
          <w:tcPr>
            <w:tcW w:w="460" w:type="dxa"/>
            <w:vAlign w:val="bottom"/>
            <w:tcBorders>
              <w:bottom w:val="single" w:sz="8" w:color="231F20"/>
            </w:tcBorders>
          </w:tcPr>
          <w:p>
            <w:pPr>
              <w:jc w:val="right"/>
              <w:ind w:right="223"/>
              <w:spacing w:after="0"/>
              <w:rPr>
                <w:sz w:val="20"/>
                <w:szCs w:val="20"/>
                <w:color w:val="auto"/>
              </w:rPr>
            </w:pPr>
            <w:r>
              <w:rPr>
                <w:rFonts w:ascii="Times New Roman" w:cs="Times New Roman" w:eastAsia="Times New Roman" w:hAnsi="Times New Roman"/>
                <w:sz w:val="19"/>
                <w:szCs w:val="19"/>
                <w:b w:val="1"/>
                <w:bCs w:val="1"/>
                <w:color w:val="231F20"/>
              </w:rPr>
              <w:t>$</w:t>
            </w:r>
          </w:p>
        </w:tc>
        <w:tc>
          <w:tcPr>
            <w:tcW w:w="76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19"/>
                <w:szCs w:val="19"/>
                <w:b w:val="1"/>
                <w:bCs w:val="1"/>
                <w:color w:val="231F20"/>
              </w:rPr>
              <w:t>—</w:t>
            </w:r>
          </w:p>
        </w:tc>
        <w:tc>
          <w:tcPr>
            <w:tcW w:w="560" w:type="dxa"/>
            <w:vAlign w:val="bottom"/>
            <w:tcBorders>
              <w:bottom w:val="single" w:sz="8" w:color="231F20"/>
            </w:tcBorders>
          </w:tcPr>
          <w:p>
            <w:pPr>
              <w:jc w:val="right"/>
              <w:ind w:right="263"/>
              <w:spacing w:after="0"/>
              <w:rPr>
                <w:sz w:val="20"/>
                <w:szCs w:val="20"/>
                <w:color w:val="auto"/>
              </w:rPr>
            </w:pPr>
            <w:r>
              <w:rPr>
                <w:rFonts w:ascii="Times New Roman" w:cs="Times New Roman" w:eastAsia="Times New Roman" w:hAnsi="Times New Roman"/>
                <w:sz w:val="19"/>
                <w:szCs w:val="19"/>
                <w:color w:val="231F20"/>
              </w:rPr>
              <w:t>$</w:t>
            </w:r>
          </w:p>
        </w:tc>
        <w:tc>
          <w:tcPr>
            <w:tcW w:w="80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19"/>
                <w:szCs w:val="19"/>
                <w:color w:val="231F20"/>
              </w:rPr>
              <w:t>0.05</w:t>
            </w:r>
          </w:p>
        </w:tc>
        <w:tc>
          <w:tcPr>
            <w:tcW w:w="540" w:type="dxa"/>
            <w:vAlign w:val="bottom"/>
            <w:tcBorders>
              <w:bottom w:val="single" w:sz="8" w:color="231F20"/>
            </w:tcBorders>
          </w:tcPr>
          <w:p>
            <w:pPr>
              <w:jc w:val="right"/>
              <w:ind w:right="243"/>
              <w:spacing w:after="0"/>
              <w:rPr>
                <w:sz w:val="20"/>
                <w:szCs w:val="20"/>
                <w:color w:val="auto"/>
              </w:rPr>
            </w:pPr>
            <w:r>
              <w:rPr>
                <w:rFonts w:ascii="Times New Roman" w:cs="Times New Roman" w:eastAsia="Times New Roman" w:hAnsi="Times New Roman"/>
                <w:sz w:val="19"/>
                <w:szCs w:val="19"/>
                <w:color w:val="231F20"/>
              </w:rPr>
              <w:t>$</w:t>
            </w: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(1.75)</w:t>
            </w:r>
          </w:p>
        </w:tc>
      </w:tr>
      <w:tr>
        <w:trPr>
          <w:trHeight w:val="269"/>
        </w:trPr>
        <w:tc>
          <w:tcPr>
            <w:tcW w:w="5940" w:type="dxa"/>
            <w:vAlign w:val="bottom"/>
          </w:tcPr>
          <w:p>
            <w:pPr>
              <w:ind w:left="480"/>
              <w:spacing w:after="0"/>
              <w:rPr>
                <w:sz w:val="20"/>
                <w:szCs w:val="20"/>
                <w:color w:val="auto"/>
              </w:rPr>
            </w:pPr>
            <w:r>
              <w:rPr>
                <w:rFonts w:ascii="Times New Roman" w:cs="Times New Roman" w:eastAsia="Times New Roman" w:hAnsi="Times New Roman"/>
                <w:sz w:val="19"/>
                <w:szCs w:val="19"/>
                <w:color w:val="231F20"/>
              </w:rPr>
              <w:t>Total</w:t>
            </w:r>
          </w:p>
        </w:tc>
        <w:tc>
          <w:tcPr>
            <w:tcW w:w="460" w:type="dxa"/>
            <w:vAlign w:val="bottom"/>
          </w:tcPr>
          <w:p>
            <w:pPr>
              <w:jc w:val="right"/>
              <w:ind w:right="223"/>
              <w:spacing w:after="0"/>
              <w:rPr>
                <w:sz w:val="20"/>
                <w:szCs w:val="20"/>
                <w:color w:val="auto"/>
              </w:rPr>
            </w:pPr>
            <w:r>
              <w:rPr>
                <w:rFonts w:ascii="Times New Roman" w:cs="Times New Roman" w:eastAsia="Times New Roman" w:hAnsi="Times New Roman"/>
                <w:sz w:val="19"/>
                <w:szCs w:val="19"/>
                <w:b w:val="1"/>
                <w:bCs w:val="1"/>
                <w:color w:val="231F20"/>
              </w:rPr>
              <w:t>$</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9"/>
                <w:szCs w:val="19"/>
                <w:b w:val="1"/>
                <w:bCs w:val="1"/>
                <w:color w:val="231F20"/>
              </w:rPr>
              <w:t>7.97</w:t>
            </w:r>
          </w:p>
        </w:tc>
        <w:tc>
          <w:tcPr>
            <w:tcW w:w="560" w:type="dxa"/>
            <w:vAlign w:val="bottom"/>
          </w:tcPr>
          <w:p>
            <w:pPr>
              <w:jc w:val="right"/>
              <w:ind w:right="263"/>
              <w:spacing w:after="0"/>
              <w:rPr>
                <w:sz w:val="20"/>
                <w:szCs w:val="20"/>
                <w:color w:val="auto"/>
              </w:rPr>
            </w:pPr>
            <w:r>
              <w:rPr>
                <w:rFonts w:ascii="Times New Roman" w:cs="Times New Roman" w:eastAsia="Times New Roman" w:hAnsi="Times New Roman"/>
                <w:sz w:val="19"/>
                <w:szCs w:val="19"/>
                <w:color w:val="231F20"/>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231F20"/>
              </w:rPr>
              <w:t>6.24</w:t>
            </w:r>
          </w:p>
        </w:tc>
        <w:tc>
          <w:tcPr>
            <w:tcW w:w="540" w:type="dxa"/>
            <w:vAlign w:val="bottom"/>
          </w:tcPr>
          <w:p>
            <w:pPr>
              <w:jc w:val="right"/>
              <w:ind w:right="243"/>
              <w:spacing w:after="0"/>
              <w:rPr>
                <w:sz w:val="20"/>
                <w:szCs w:val="20"/>
                <w:color w:val="auto"/>
              </w:rPr>
            </w:pPr>
            <w:r>
              <w:rPr>
                <w:rFonts w:ascii="Times New Roman" w:cs="Times New Roman" w:eastAsia="Times New Roman" w:hAnsi="Times New Roman"/>
                <w:sz w:val="19"/>
                <w:szCs w:val="19"/>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3.83</w:t>
            </w:r>
          </w:p>
        </w:tc>
      </w:tr>
      <w:tr>
        <w:trPr>
          <w:trHeight w:val="393"/>
        </w:trPr>
        <w:tc>
          <w:tcPr>
            <w:tcW w:w="5940" w:type="dxa"/>
            <w:vAlign w:val="bottom"/>
          </w:tcPr>
          <w:p>
            <w:pPr>
              <w:spacing w:after="0"/>
              <w:rPr>
                <w:sz w:val="20"/>
                <w:szCs w:val="20"/>
                <w:color w:val="auto"/>
              </w:rPr>
            </w:pPr>
            <w:r>
              <w:rPr>
                <w:rFonts w:ascii="Times New Roman" w:cs="Times New Roman" w:eastAsia="Times New Roman" w:hAnsi="Times New Roman"/>
                <w:sz w:val="19"/>
                <w:szCs w:val="19"/>
                <w:b w:val="1"/>
                <w:bCs w:val="1"/>
                <w:color w:val="231F20"/>
              </w:rPr>
              <w:t>Net income (loss) per share attributable to shareholders - Diluted:</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7"/>
        </w:trPr>
        <w:tc>
          <w:tcPr>
            <w:tcW w:w="5940" w:type="dxa"/>
            <w:vAlign w:val="bottom"/>
          </w:tcPr>
          <w:p>
            <w:pPr>
              <w:ind w:left="480"/>
              <w:spacing w:after="0"/>
              <w:rPr>
                <w:sz w:val="20"/>
                <w:szCs w:val="20"/>
                <w:color w:val="auto"/>
              </w:rPr>
            </w:pPr>
            <w:r>
              <w:rPr>
                <w:rFonts w:ascii="Times New Roman" w:cs="Times New Roman" w:eastAsia="Times New Roman" w:hAnsi="Times New Roman"/>
                <w:sz w:val="19"/>
                <w:szCs w:val="19"/>
                <w:color w:val="231F20"/>
              </w:rPr>
              <w:t>Continuing Operations</w:t>
            </w:r>
          </w:p>
        </w:tc>
        <w:tc>
          <w:tcPr>
            <w:tcW w:w="460" w:type="dxa"/>
            <w:vAlign w:val="bottom"/>
          </w:tcPr>
          <w:p>
            <w:pPr>
              <w:jc w:val="right"/>
              <w:ind w:right="223"/>
              <w:spacing w:after="0"/>
              <w:rPr>
                <w:sz w:val="20"/>
                <w:szCs w:val="20"/>
                <w:color w:val="auto"/>
              </w:rPr>
            </w:pPr>
            <w:r>
              <w:rPr>
                <w:rFonts w:ascii="Times New Roman" w:cs="Times New Roman" w:eastAsia="Times New Roman" w:hAnsi="Times New Roman"/>
                <w:sz w:val="19"/>
                <w:szCs w:val="19"/>
                <w:b w:val="1"/>
                <w:bCs w:val="1"/>
                <w:color w:val="231F20"/>
              </w:rPr>
              <w:t>$</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9"/>
                <w:szCs w:val="19"/>
                <w:b w:val="1"/>
                <w:bCs w:val="1"/>
                <w:color w:val="231F20"/>
              </w:rPr>
              <w:t>7.93</w:t>
            </w:r>
          </w:p>
        </w:tc>
        <w:tc>
          <w:tcPr>
            <w:tcW w:w="560" w:type="dxa"/>
            <w:vAlign w:val="bottom"/>
          </w:tcPr>
          <w:p>
            <w:pPr>
              <w:jc w:val="right"/>
              <w:ind w:right="263"/>
              <w:spacing w:after="0"/>
              <w:rPr>
                <w:sz w:val="20"/>
                <w:szCs w:val="20"/>
                <w:color w:val="auto"/>
              </w:rPr>
            </w:pPr>
            <w:r>
              <w:rPr>
                <w:rFonts w:ascii="Times New Roman" w:cs="Times New Roman" w:eastAsia="Times New Roman" w:hAnsi="Times New Roman"/>
                <w:sz w:val="19"/>
                <w:szCs w:val="19"/>
                <w:color w:val="231F20"/>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231F20"/>
              </w:rPr>
              <w:t>6.16</w:t>
            </w:r>
          </w:p>
        </w:tc>
        <w:tc>
          <w:tcPr>
            <w:tcW w:w="540" w:type="dxa"/>
            <w:vAlign w:val="bottom"/>
          </w:tcPr>
          <w:p>
            <w:pPr>
              <w:jc w:val="right"/>
              <w:ind w:right="243"/>
              <w:spacing w:after="0"/>
              <w:rPr>
                <w:sz w:val="20"/>
                <w:szCs w:val="20"/>
                <w:color w:val="auto"/>
              </w:rPr>
            </w:pPr>
            <w:r>
              <w:rPr>
                <w:rFonts w:ascii="Times New Roman" w:cs="Times New Roman" w:eastAsia="Times New Roman" w:hAnsi="Times New Roman"/>
                <w:sz w:val="19"/>
                <w:szCs w:val="19"/>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5.55</w:t>
            </w:r>
          </w:p>
        </w:tc>
      </w:tr>
      <w:tr>
        <w:trPr>
          <w:trHeight w:val="279"/>
        </w:trPr>
        <w:tc>
          <w:tcPr>
            <w:tcW w:w="5940" w:type="dxa"/>
            <w:vAlign w:val="bottom"/>
          </w:tcPr>
          <w:p>
            <w:pPr>
              <w:ind w:left="480"/>
              <w:spacing w:after="0"/>
              <w:rPr>
                <w:sz w:val="20"/>
                <w:szCs w:val="20"/>
                <w:color w:val="auto"/>
              </w:rPr>
            </w:pPr>
            <w:r>
              <w:rPr>
                <w:rFonts w:ascii="Times New Roman" w:cs="Times New Roman" w:eastAsia="Times New Roman" w:hAnsi="Times New Roman"/>
                <w:sz w:val="19"/>
                <w:szCs w:val="19"/>
                <w:color w:val="231F20"/>
              </w:rPr>
              <w:t>Discontinued Operations</w:t>
            </w:r>
          </w:p>
        </w:tc>
        <w:tc>
          <w:tcPr>
            <w:tcW w:w="460" w:type="dxa"/>
            <w:vAlign w:val="bottom"/>
            <w:tcBorders>
              <w:bottom w:val="single" w:sz="8" w:color="231F20"/>
            </w:tcBorders>
          </w:tcPr>
          <w:p>
            <w:pPr>
              <w:jc w:val="right"/>
              <w:ind w:right="223"/>
              <w:spacing w:after="0"/>
              <w:rPr>
                <w:sz w:val="20"/>
                <w:szCs w:val="20"/>
                <w:color w:val="auto"/>
              </w:rPr>
            </w:pPr>
            <w:r>
              <w:rPr>
                <w:rFonts w:ascii="Times New Roman" w:cs="Times New Roman" w:eastAsia="Times New Roman" w:hAnsi="Times New Roman"/>
                <w:sz w:val="19"/>
                <w:szCs w:val="19"/>
                <w:b w:val="1"/>
                <w:bCs w:val="1"/>
                <w:color w:val="231F20"/>
              </w:rPr>
              <w:t>$</w:t>
            </w:r>
          </w:p>
        </w:tc>
        <w:tc>
          <w:tcPr>
            <w:tcW w:w="76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19"/>
                <w:szCs w:val="19"/>
                <w:b w:val="1"/>
                <w:bCs w:val="1"/>
                <w:color w:val="231F20"/>
              </w:rPr>
              <w:t>—</w:t>
            </w:r>
          </w:p>
        </w:tc>
        <w:tc>
          <w:tcPr>
            <w:tcW w:w="560" w:type="dxa"/>
            <w:vAlign w:val="bottom"/>
            <w:tcBorders>
              <w:bottom w:val="single" w:sz="8" w:color="231F20"/>
            </w:tcBorders>
          </w:tcPr>
          <w:p>
            <w:pPr>
              <w:jc w:val="right"/>
              <w:ind w:right="263"/>
              <w:spacing w:after="0"/>
              <w:rPr>
                <w:sz w:val="20"/>
                <w:szCs w:val="20"/>
                <w:color w:val="auto"/>
              </w:rPr>
            </w:pPr>
            <w:r>
              <w:rPr>
                <w:rFonts w:ascii="Times New Roman" w:cs="Times New Roman" w:eastAsia="Times New Roman" w:hAnsi="Times New Roman"/>
                <w:sz w:val="19"/>
                <w:szCs w:val="19"/>
                <w:color w:val="231F20"/>
              </w:rPr>
              <w:t>$</w:t>
            </w:r>
          </w:p>
        </w:tc>
        <w:tc>
          <w:tcPr>
            <w:tcW w:w="80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19"/>
                <w:szCs w:val="19"/>
                <w:color w:val="231F20"/>
              </w:rPr>
              <w:t>0.05</w:t>
            </w:r>
          </w:p>
        </w:tc>
        <w:tc>
          <w:tcPr>
            <w:tcW w:w="540" w:type="dxa"/>
            <w:vAlign w:val="bottom"/>
            <w:tcBorders>
              <w:bottom w:val="single" w:sz="8" w:color="231F20"/>
            </w:tcBorders>
          </w:tcPr>
          <w:p>
            <w:pPr>
              <w:jc w:val="right"/>
              <w:ind w:right="243"/>
              <w:spacing w:after="0"/>
              <w:rPr>
                <w:sz w:val="20"/>
                <w:szCs w:val="20"/>
                <w:color w:val="auto"/>
              </w:rPr>
            </w:pPr>
            <w:r>
              <w:rPr>
                <w:rFonts w:ascii="Times New Roman" w:cs="Times New Roman" w:eastAsia="Times New Roman" w:hAnsi="Times New Roman"/>
                <w:sz w:val="19"/>
                <w:szCs w:val="19"/>
                <w:color w:val="231F20"/>
              </w:rPr>
              <w:t>$</w:t>
            </w: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(1.74)</w:t>
            </w:r>
          </w:p>
        </w:tc>
      </w:tr>
      <w:tr>
        <w:trPr>
          <w:trHeight w:val="257"/>
        </w:trPr>
        <w:tc>
          <w:tcPr>
            <w:tcW w:w="5940" w:type="dxa"/>
            <w:vAlign w:val="bottom"/>
          </w:tcPr>
          <w:p>
            <w:pPr>
              <w:ind w:left="480"/>
              <w:spacing w:after="0"/>
              <w:rPr>
                <w:sz w:val="20"/>
                <w:szCs w:val="20"/>
                <w:color w:val="auto"/>
              </w:rPr>
            </w:pPr>
            <w:r>
              <w:rPr>
                <w:rFonts w:ascii="Times New Roman" w:cs="Times New Roman" w:eastAsia="Times New Roman" w:hAnsi="Times New Roman"/>
                <w:sz w:val="19"/>
                <w:szCs w:val="19"/>
                <w:color w:val="231F20"/>
              </w:rPr>
              <w:t>Total</w:t>
            </w:r>
          </w:p>
        </w:tc>
        <w:tc>
          <w:tcPr>
            <w:tcW w:w="460" w:type="dxa"/>
            <w:vAlign w:val="bottom"/>
          </w:tcPr>
          <w:p>
            <w:pPr>
              <w:jc w:val="right"/>
              <w:ind w:right="223"/>
              <w:spacing w:after="0"/>
              <w:rPr>
                <w:sz w:val="20"/>
                <w:szCs w:val="20"/>
                <w:color w:val="auto"/>
              </w:rPr>
            </w:pPr>
            <w:r>
              <w:rPr>
                <w:rFonts w:ascii="Times New Roman" w:cs="Times New Roman" w:eastAsia="Times New Roman" w:hAnsi="Times New Roman"/>
                <w:sz w:val="19"/>
                <w:szCs w:val="19"/>
                <w:b w:val="1"/>
                <w:bCs w:val="1"/>
                <w:color w:val="231F20"/>
              </w:rPr>
              <w:t>$</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9"/>
                <w:szCs w:val="19"/>
                <w:b w:val="1"/>
                <w:bCs w:val="1"/>
                <w:color w:val="231F20"/>
              </w:rPr>
              <w:t>7.93</w:t>
            </w:r>
          </w:p>
        </w:tc>
        <w:tc>
          <w:tcPr>
            <w:tcW w:w="560" w:type="dxa"/>
            <w:vAlign w:val="bottom"/>
          </w:tcPr>
          <w:p>
            <w:pPr>
              <w:jc w:val="right"/>
              <w:ind w:right="263"/>
              <w:spacing w:after="0"/>
              <w:rPr>
                <w:sz w:val="20"/>
                <w:szCs w:val="20"/>
                <w:color w:val="auto"/>
              </w:rPr>
            </w:pPr>
            <w:r>
              <w:rPr>
                <w:rFonts w:ascii="Times New Roman" w:cs="Times New Roman" w:eastAsia="Times New Roman" w:hAnsi="Times New Roman"/>
                <w:sz w:val="19"/>
                <w:szCs w:val="19"/>
                <w:color w:val="231F20"/>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231F20"/>
              </w:rPr>
              <w:t>6.20</w:t>
            </w:r>
          </w:p>
        </w:tc>
        <w:tc>
          <w:tcPr>
            <w:tcW w:w="540" w:type="dxa"/>
            <w:vAlign w:val="bottom"/>
          </w:tcPr>
          <w:p>
            <w:pPr>
              <w:jc w:val="right"/>
              <w:ind w:right="243"/>
              <w:spacing w:after="0"/>
              <w:rPr>
                <w:sz w:val="20"/>
                <w:szCs w:val="20"/>
                <w:color w:val="auto"/>
              </w:rPr>
            </w:pPr>
            <w:r>
              <w:rPr>
                <w:rFonts w:ascii="Times New Roman" w:cs="Times New Roman" w:eastAsia="Times New Roman" w:hAnsi="Times New Roman"/>
                <w:sz w:val="19"/>
                <w:szCs w:val="19"/>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3.81</w:t>
            </w:r>
          </w:p>
        </w:tc>
      </w:tr>
      <w:tr>
        <w:trPr>
          <w:trHeight w:val="402"/>
        </w:trPr>
        <w:tc>
          <w:tcPr>
            <w:tcW w:w="5940" w:type="dxa"/>
            <w:vAlign w:val="bottom"/>
          </w:tcPr>
          <w:p>
            <w:pPr>
              <w:spacing w:after="0"/>
              <w:rPr>
                <w:sz w:val="20"/>
                <w:szCs w:val="20"/>
                <w:color w:val="auto"/>
              </w:rPr>
            </w:pPr>
            <w:r>
              <w:rPr>
                <w:rFonts w:ascii="Times New Roman" w:cs="Times New Roman" w:eastAsia="Times New Roman" w:hAnsi="Times New Roman"/>
                <w:sz w:val="19"/>
                <w:szCs w:val="19"/>
                <w:b w:val="1"/>
                <w:bCs w:val="1"/>
                <w:color w:val="231F20"/>
              </w:rPr>
              <w:t>Cash dividends declared per ordinary share outstanding</w:t>
            </w:r>
          </w:p>
        </w:tc>
        <w:tc>
          <w:tcPr>
            <w:tcW w:w="460" w:type="dxa"/>
            <w:vAlign w:val="bottom"/>
            <w:tcBorders>
              <w:bottom w:val="single" w:sz="8" w:color="231F20"/>
            </w:tcBorders>
          </w:tcPr>
          <w:p>
            <w:pPr>
              <w:jc w:val="right"/>
              <w:ind w:right="223"/>
              <w:spacing w:after="0"/>
              <w:rPr>
                <w:sz w:val="20"/>
                <w:szCs w:val="20"/>
                <w:color w:val="auto"/>
              </w:rPr>
            </w:pPr>
            <w:r>
              <w:rPr>
                <w:rFonts w:ascii="Times New Roman" w:cs="Times New Roman" w:eastAsia="Times New Roman" w:hAnsi="Times New Roman"/>
                <w:sz w:val="19"/>
                <w:szCs w:val="19"/>
                <w:b w:val="1"/>
                <w:bCs w:val="1"/>
                <w:color w:val="231F20"/>
              </w:rPr>
              <w:t>$</w:t>
            </w:r>
          </w:p>
        </w:tc>
        <w:tc>
          <w:tcPr>
            <w:tcW w:w="76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19"/>
                <w:szCs w:val="19"/>
                <w:b w:val="1"/>
                <w:bCs w:val="1"/>
                <w:color w:val="231F20"/>
              </w:rPr>
              <w:t>2.46</w:t>
            </w:r>
          </w:p>
        </w:tc>
        <w:tc>
          <w:tcPr>
            <w:tcW w:w="560" w:type="dxa"/>
            <w:vAlign w:val="bottom"/>
            <w:tcBorders>
              <w:bottom w:val="single" w:sz="8" w:color="231F20"/>
            </w:tcBorders>
          </w:tcPr>
          <w:p>
            <w:pPr>
              <w:jc w:val="right"/>
              <w:ind w:right="263"/>
              <w:spacing w:after="0"/>
              <w:rPr>
                <w:sz w:val="20"/>
                <w:szCs w:val="20"/>
                <w:color w:val="auto"/>
              </w:rPr>
            </w:pPr>
            <w:r>
              <w:rPr>
                <w:rFonts w:ascii="Times New Roman" w:cs="Times New Roman" w:eastAsia="Times New Roman" w:hAnsi="Times New Roman"/>
                <w:sz w:val="19"/>
                <w:szCs w:val="19"/>
                <w:color w:val="231F20"/>
              </w:rPr>
              <w:t>$</w:t>
            </w:r>
          </w:p>
        </w:tc>
        <w:tc>
          <w:tcPr>
            <w:tcW w:w="80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19"/>
                <w:szCs w:val="19"/>
                <w:color w:val="231F20"/>
              </w:rPr>
              <w:t>2.23</w:t>
            </w:r>
          </w:p>
        </w:tc>
        <w:tc>
          <w:tcPr>
            <w:tcW w:w="540" w:type="dxa"/>
            <w:vAlign w:val="bottom"/>
            <w:tcBorders>
              <w:bottom w:val="single" w:sz="8" w:color="231F20"/>
            </w:tcBorders>
          </w:tcPr>
          <w:p>
            <w:pPr>
              <w:jc w:val="right"/>
              <w:ind w:right="243"/>
              <w:spacing w:after="0"/>
              <w:rPr>
                <w:sz w:val="20"/>
                <w:szCs w:val="20"/>
                <w:color w:val="auto"/>
              </w:rPr>
            </w:pPr>
            <w:r>
              <w:rPr>
                <w:rFonts w:ascii="Times New Roman" w:cs="Times New Roman" w:eastAsia="Times New Roman" w:hAnsi="Times New Roman"/>
                <w:sz w:val="19"/>
                <w:szCs w:val="19"/>
                <w:color w:val="231F20"/>
              </w:rPr>
              <w:t>$</w:t>
            </w: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2.03</w:t>
            </w: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See notes to consolidated financial statements.</w:t>
      </w:r>
    </w:p>
    <w:p>
      <w:pPr>
        <w:sectPr>
          <w:pgSz w:w="11880" w:h="15480" w:orient="portrait"/>
          <w:cols w:equalWidth="0" w:num="1">
            <w:col w:w="9960"/>
          </w:cols>
          <w:pgMar w:left="960" w:top="818" w:right="960" w:bottom="0" w:gutter="0" w:footer="0" w:header="0"/>
          <w:type w:val="continuous"/>
        </w:sect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55</w:t>
      </w:r>
    </w:p>
    <w:p>
      <w:pPr>
        <w:sectPr>
          <w:pgSz w:w="11880" w:h="15480" w:orient="portrait"/>
          <w:cols w:equalWidth="0" w:num="1">
            <w:col w:w="9960"/>
          </w:cols>
          <w:pgMar w:left="960" w:top="818" w:right="960" w:bottom="0"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31F20"/>
        </w:rPr>
        <w:t>CONSOLIDATED STATEMENTS OF COMPREHENSIVE INCOME (LOSS)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31F20"/>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0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7"/>
                <w:szCs w:val="17"/>
                <w:color w:val="231F20"/>
              </w:rPr>
              <w:t>Years Ended March 31,</w:t>
            </w:r>
          </w:p>
        </w:tc>
        <w:tc>
          <w:tcPr>
            <w:tcW w:w="28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ind w:right="384"/>
              <w:spacing w:after="0"/>
              <w:rPr>
                <w:sz w:val="20"/>
                <w:szCs w:val="20"/>
                <w:color w:val="auto"/>
              </w:rPr>
            </w:pPr>
            <w:r>
              <w:rPr>
                <w:rFonts w:ascii="Times New Roman" w:cs="Times New Roman" w:eastAsia="Times New Roman" w:hAnsi="Times New Roman"/>
                <w:sz w:val="17"/>
                <w:szCs w:val="17"/>
                <w:color w:val="231F20"/>
              </w:rPr>
              <w:t>2026</w:t>
            </w:r>
          </w:p>
        </w:tc>
        <w:tc>
          <w:tcPr>
            <w:tcW w:w="32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ind w:right="384"/>
              <w:spacing w:after="0"/>
              <w:rPr>
                <w:sz w:val="20"/>
                <w:szCs w:val="20"/>
                <w:color w:val="auto"/>
              </w:rPr>
            </w:pPr>
            <w:r>
              <w:rPr>
                <w:rFonts w:ascii="Times New Roman" w:cs="Times New Roman" w:eastAsia="Times New Roman" w:hAnsi="Times New Roman"/>
                <w:sz w:val="17"/>
                <w:szCs w:val="17"/>
                <w:color w:val="231F20"/>
              </w:rPr>
              <w:t>2025</w:t>
            </w:r>
          </w:p>
        </w:tc>
        <w:tc>
          <w:tcPr>
            <w:tcW w:w="38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ind w:right="404"/>
              <w:spacing w:after="0"/>
              <w:rPr>
                <w:sz w:val="20"/>
                <w:szCs w:val="20"/>
                <w:color w:val="auto"/>
              </w:rPr>
            </w:pPr>
            <w:r>
              <w:rPr>
                <w:rFonts w:ascii="Times New Roman" w:cs="Times New Roman" w:eastAsia="Times New Roman" w:hAnsi="Times New Roman"/>
                <w:sz w:val="17"/>
                <w:szCs w:val="17"/>
                <w:color w:val="231F20"/>
              </w:rPr>
              <w:t>2024</w:t>
            </w:r>
          </w:p>
        </w:tc>
      </w:tr>
      <w:tr>
        <w:trPr>
          <w:trHeight w:val="269"/>
        </w:trPr>
        <w:tc>
          <w:tcPr>
            <w:tcW w:w="600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Net income</w:t>
            </w: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w:t>
            </w: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9"/>
                <w:szCs w:val="19"/>
                <w:b w:val="1"/>
                <w:bCs w:val="1"/>
                <w:color w:val="231F20"/>
              </w:rPr>
              <w:t>785.1</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231F20"/>
              </w:rPr>
              <w:t>616.1</w:t>
            </w:r>
          </w:p>
        </w:tc>
        <w:tc>
          <w:tcPr>
            <w:tcW w:w="38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380.1</w:t>
            </w:r>
          </w:p>
        </w:tc>
      </w:tr>
      <w:tr>
        <w:trPr>
          <w:trHeight w:val="294"/>
        </w:trPr>
        <w:tc>
          <w:tcPr>
            <w:tcW w:w="6000" w:type="dxa"/>
            <w:vAlign w:val="bottom"/>
          </w:tcPr>
          <w:p>
            <w:pPr>
              <w:ind w:left="200"/>
              <w:spacing w:after="0"/>
              <w:rPr>
                <w:sz w:val="20"/>
                <w:szCs w:val="20"/>
                <w:color w:val="auto"/>
              </w:rPr>
            </w:pPr>
            <w:r>
              <w:rPr>
                <w:rFonts w:ascii="Times New Roman" w:cs="Times New Roman" w:eastAsia="Times New Roman" w:hAnsi="Times New Roman"/>
                <w:sz w:val="19"/>
                <w:szCs w:val="19"/>
                <w:color w:val="231F20"/>
              </w:rPr>
              <w:t>Less: Net income attributable to noncontrolling interests</w:t>
            </w:r>
          </w:p>
        </w:tc>
        <w:tc>
          <w:tcPr>
            <w:tcW w:w="28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ind w:right="44"/>
              <w:spacing w:after="0"/>
              <w:rPr>
                <w:sz w:val="20"/>
                <w:szCs w:val="20"/>
                <w:color w:val="auto"/>
              </w:rPr>
            </w:pPr>
            <w:r>
              <w:rPr>
                <w:rFonts w:ascii="Times New Roman" w:cs="Times New Roman" w:eastAsia="Times New Roman" w:hAnsi="Times New Roman"/>
                <w:sz w:val="19"/>
                <w:szCs w:val="19"/>
                <w:b w:val="1"/>
                <w:bCs w:val="1"/>
                <w:color w:val="231F20"/>
              </w:rPr>
              <w:t>2.8</w:t>
            </w:r>
          </w:p>
        </w:tc>
        <w:tc>
          <w:tcPr>
            <w:tcW w:w="32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ind w:right="4"/>
              <w:spacing w:after="0"/>
              <w:rPr>
                <w:sz w:val="20"/>
                <w:szCs w:val="20"/>
                <w:color w:val="auto"/>
              </w:rPr>
            </w:pPr>
            <w:r>
              <w:rPr>
                <w:rFonts w:ascii="Times New Roman" w:cs="Times New Roman" w:eastAsia="Times New Roman" w:hAnsi="Times New Roman"/>
                <w:sz w:val="19"/>
                <w:szCs w:val="19"/>
                <w:color w:val="231F20"/>
              </w:rPr>
              <w:t>1.4</w:t>
            </w:r>
          </w:p>
        </w:tc>
        <w:tc>
          <w:tcPr>
            <w:tcW w:w="38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1.8</w:t>
            </w:r>
          </w:p>
        </w:tc>
      </w:tr>
      <w:tr>
        <w:trPr>
          <w:trHeight w:val="271"/>
        </w:trPr>
        <w:tc>
          <w:tcPr>
            <w:tcW w:w="600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Net income attributable to shareholders</w:t>
            </w:r>
          </w:p>
        </w:tc>
        <w:tc>
          <w:tcPr>
            <w:tcW w:w="280" w:type="dxa"/>
            <w:vAlign w:val="bottom"/>
            <w:tcBorders>
              <w:bottom w:val="single" w:sz="8" w:color="231F20"/>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w:t>
            </w:r>
          </w:p>
        </w:tc>
        <w:tc>
          <w:tcPr>
            <w:tcW w:w="980" w:type="dxa"/>
            <w:vAlign w:val="bottom"/>
            <w:tcBorders>
              <w:bottom w:val="single" w:sz="8" w:color="231F20"/>
            </w:tcBorders>
          </w:tcPr>
          <w:p>
            <w:pPr>
              <w:jc w:val="right"/>
              <w:ind w:right="44"/>
              <w:spacing w:after="0"/>
              <w:rPr>
                <w:sz w:val="20"/>
                <w:szCs w:val="20"/>
                <w:color w:val="auto"/>
              </w:rPr>
            </w:pPr>
            <w:r>
              <w:rPr>
                <w:rFonts w:ascii="Times New Roman" w:cs="Times New Roman" w:eastAsia="Times New Roman" w:hAnsi="Times New Roman"/>
                <w:sz w:val="19"/>
                <w:szCs w:val="19"/>
                <w:b w:val="1"/>
                <w:bCs w:val="1"/>
                <w:color w:val="231F20"/>
              </w:rPr>
              <w:t>782.3</w:t>
            </w:r>
          </w:p>
        </w:tc>
        <w:tc>
          <w:tcPr>
            <w:tcW w:w="320" w:type="dxa"/>
            <w:vAlign w:val="bottom"/>
            <w:tcBorders>
              <w:bottom w:val="single" w:sz="8" w:color="231F20"/>
            </w:tcBorders>
          </w:tcPr>
          <w:p>
            <w:pPr>
              <w:jc w:val="right"/>
              <w:ind w:right="63"/>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Borders>
              <w:bottom w:val="single" w:sz="8" w:color="231F20"/>
            </w:tcBorders>
          </w:tcPr>
          <w:p>
            <w:pPr>
              <w:jc w:val="right"/>
              <w:ind w:right="4"/>
              <w:spacing w:after="0"/>
              <w:rPr>
                <w:sz w:val="20"/>
                <w:szCs w:val="20"/>
                <w:color w:val="auto"/>
              </w:rPr>
            </w:pPr>
            <w:r>
              <w:rPr>
                <w:rFonts w:ascii="Times New Roman" w:cs="Times New Roman" w:eastAsia="Times New Roman" w:hAnsi="Times New Roman"/>
                <w:sz w:val="19"/>
                <w:szCs w:val="19"/>
                <w:color w:val="231F20"/>
              </w:rPr>
              <w:t>614.6</w:t>
            </w:r>
          </w:p>
        </w:tc>
        <w:tc>
          <w:tcPr>
            <w:tcW w:w="380" w:type="dxa"/>
            <w:vAlign w:val="bottom"/>
            <w:tcBorders>
              <w:bottom w:val="single" w:sz="8" w:color="231F20"/>
            </w:tcBorders>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378.2</w:t>
            </w:r>
          </w:p>
        </w:tc>
      </w:tr>
      <w:tr>
        <w:trPr>
          <w:trHeight w:val="402"/>
        </w:trPr>
        <w:tc>
          <w:tcPr>
            <w:tcW w:w="600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Other comprehensive income (loss)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88"/>
        </w:trPr>
        <w:tc>
          <w:tcPr>
            <w:tcW w:w="600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Defined benefit plan changes</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(0.6)</w:t>
            </w:r>
          </w:p>
        </w:tc>
        <w:tc>
          <w:tcPr>
            <w:tcW w:w="32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231F20"/>
              </w:rPr>
              <w:t>0.1</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(0.7)</w:t>
            </w:r>
          </w:p>
        </w:tc>
      </w:tr>
      <w:tr>
        <w:trPr>
          <w:trHeight w:val="279"/>
        </w:trPr>
        <w:tc>
          <w:tcPr>
            <w:tcW w:w="600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Change in cumulative foreign currency translation adjustment</w:t>
            </w:r>
          </w:p>
        </w:tc>
        <w:tc>
          <w:tcPr>
            <w:tcW w:w="28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ind w:right="44"/>
              <w:spacing w:after="0"/>
              <w:rPr>
                <w:sz w:val="20"/>
                <w:szCs w:val="20"/>
                <w:color w:val="auto"/>
              </w:rPr>
            </w:pPr>
            <w:r>
              <w:rPr>
                <w:rFonts w:ascii="Times New Roman" w:cs="Times New Roman" w:eastAsia="Times New Roman" w:hAnsi="Times New Roman"/>
                <w:sz w:val="19"/>
                <w:szCs w:val="19"/>
                <w:b w:val="1"/>
                <w:bCs w:val="1"/>
                <w:color w:val="231F20"/>
              </w:rPr>
              <w:t>179.7</w:t>
            </w:r>
          </w:p>
        </w:tc>
        <w:tc>
          <w:tcPr>
            <w:tcW w:w="32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ind w:right="4"/>
              <w:spacing w:after="0"/>
              <w:rPr>
                <w:sz w:val="20"/>
                <w:szCs w:val="20"/>
                <w:color w:val="auto"/>
              </w:rPr>
            </w:pPr>
            <w:r>
              <w:rPr>
                <w:rFonts w:ascii="Times New Roman" w:cs="Times New Roman" w:eastAsia="Times New Roman" w:hAnsi="Times New Roman"/>
                <w:sz w:val="19"/>
                <w:szCs w:val="19"/>
                <w:color w:val="231F20"/>
              </w:rPr>
              <w:t>36.2</w:t>
            </w:r>
          </w:p>
        </w:tc>
        <w:tc>
          <w:tcPr>
            <w:tcW w:w="38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(7.2)</w:t>
            </w:r>
          </w:p>
        </w:tc>
      </w:tr>
      <w:tr>
        <w:trPr>
          <w:trHeight w:val="257"/>
        </w:trPr>
        <w:tc>
          <w:tcPr>
            <w:tcW w:w="600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Total other comprehensive income (loss) attributable to shareholders</w:t>
            </w:r>
          </w:p>
        </w:tc>
        <w:tc>
          <w:tcPr>
            <w:tcW w:w="28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right"/>
              <w:ind w:right="44"/>
              <w:spacing w:after="0"/>
              <w:rPr>
                <w:sz w:val="20"/>
                <w:szCs w:val="20"/>
                <w:color w:val="auto"/>
              </w:rPr>
            </w:pPr>
            <w:r>
              <w:rPr>
                <w:rFonts w:ascii="Times New Roman" w:cs="Times New Roman" w:eastAsia="Times New Roman" w:hAnsi="Times New Roman"/>
                <w:sz w:val="19"/>
                <w:szCs w:val="19"/>
                <w:b w:val="1"/>
                <w:bCs w:val="1"/>
                <w:color w:val="231F20"/>
              </w:rPr>
              <w:t>179.2</w:t>
            </w:r>
          </w:p>
        </w:tc>
        <w:tc>
          <w:tcPr>
            <w:tcW w:w="32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tcPr>
          <w:p>
            <w:pPr>
              <w:jc w:val="right"/>
              <w:ind w:right="4"/>
              <w:spacing w:after="0"/>
              <w:rPr>
                <w:sz w:val="20"/>
                <w:szCs w:val="20"/>
                <w:color w:val="auto"/>
              </w:rPr>
            </w:pPr>
            <w:r>
              <w:rPr>
                <w:rFonts w:ascii="Times New Roman" w:cs="Times New Roman" w:eastAsia="Times New Roman" w:hAnsi="Times New Roman"/>
                <w:sz w:val="19"/>
                <w:szCs w:val="19"/>
                <w:color w:val="231F20"/>
              </w:rPr>
              <w:t>36.3</w:t>
            </w:r>
          </w:p>
        </w:tc>
        <w:tc>
          <w:tcPr>
            <w:tcW w:w="38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(7.9)</w:t>
            </w:r>
          </w:p>
        </w:tc>
      </w:tr>
      <w:tr>
        <w:trPr>
          <w:trHeight w:val="280"/>
        </w:trPr>
        <w:tc>
          <w:tcPr>
            <w:tcW w:w="600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Comprehensive income attributable to shareholders</w:t>
            </w:r>
          </w:p>
        </w:tc>
        <w:tc>
          <w:tcPr>
            <w:tcW w:w="280" w:type="dxa"/>
            <w:vAlign w:val="bottom"/>
            <w:tcBorders>
              <w:bottom w:val="single" w:sz="8" w:color="231F20"/>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w:t>
            </w:r>
          </w:p>
        </w:tc>
        <w:tc>
          <w:tcPr>
            <w:tcW w:w="980" w:type="dxa"/>
            <w:vAlign w:val="bottom"/>
            <w:tcBorders>
              <w:bottom w:val="single" w:sz="8" w:color="231F20"/>
            </w:tcBorders>
          </w:tcPr>
          <w:p>
            <w:pPr>
              <w:jc w:val="right"/>
              <w:ind w:right="44"/>
              <w:spacing w:after="0"/>
              <w:rPr>
                <w:sz w:val="20"/>
                <w:szCs w:val="20"/>
                <w:color w:val="auto"/>
              </w:rPr>
            </w:pPr>
            <w:r>
              <w:rPr>
                <w:rFonts w:ascii="Times New Roman" w:cs="Times New Roman" w:eastAsia="Times New Roman" w:hAnsi="Times New Roman"/>
                <w:sz w:val="19"/>
                <w:szCs w:val="19"/>
                <w:b w:val="1"/>
                <w:bCs w:val="1"/>
                <w:color w:val="231F20"/>
              </w:rPr>
              <w:t>961.5</w:t>
            </w:r>
          </w:p>
        </w:tc>
        <w:tc>
          <w:tcPr>
            <w:tcW w:w="320" w:type="dxa"/>
            <w:vAlign w:val="bottom"/>
            <w:tcBorders>
              <w:bottom w:val="single" w:sz="8" w:color="231F20"/>
            </w:tcBorders>
          </w:tcPr>
          <w:p>
            <w:pPr>
              <w:jc w:val="right"/>
              <w:ind w:right="63"/>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Borders>
              <w:bottom w:val="single" w:sz="8" w:color="231F20"/>
            </w:tcBorders>
          </w:tcPr>
          <w:p>
            <w:pPr>
              <w:jc w:val="right"/>
              <w:ind w:right="4"/>
              <w:spacing w:after="0"/>
              <w:rPr>
                <w:sz w:val="20"/>
                <w:szCs w:val="20"/>
                <w:color w:val="auto"/>
              </w:rPr>
            </w:pPr>
            <w:r>
              <w:rPr>
                <w:rFonts w:ascii="Times New Roman" w:cs="Times New Roman" w:eastAsia="Times New Roman" w:hAnsi="Times New Roman"/>
                <w:sz w:val="19"/>
                <w:szCs w:val="19"/>
                <w:color w:val="231F20"/>
              </w:rPr>
              <w:t>651.0</w:t>
            </w:r>
          </w:p>
        </w:tc>
        <w:tc>
          <w:tcPr>
            <w:tcW w:w="380" w:type="dxa"/>
            <w:vAlign w:val="bottom"/>
            <w:tcBorders>
              <w:bottom w:val="single" w:sz="8" w:color="231F20"/>
            </w:tcBorders>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370.3</w:t>
            </w:r>
          </w:p>
        </w:tc>
      </w:tr>
    </w:tbl>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See notes to consolidated financial statements.</w:t>
      </w:r>
    </w:p>
    <w:p>
      <w:pPr>
        <w:sectPr>
          <w:pgSz w:w="11880" w:h="15480" w:orient="portrait"/>
          <w:cols w:equalWidth="0" w:num="1">
            <w:col w:w="9960"/>
          </w:cols>
          <w:pgMar w:left="960" w:top="81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56</w:t>
      </w:r>
    </w:p>
    <w:p>
      <w:pPr>
        <w:sectPr>
          <w:pgSz w:w="11880" w:h="15480" w:orient="portrait"/>
          <w:cols w:equalWidth="0" w:num="1">
            <w:col w:w="9960"/>
          </w:cols>
          <w:pgMar w:left="960" w:top="818" w:right="960" w:bottom="0" w:gutter="0" w:footer="0" w:header="0"/>
          <w:type w:val="continuous"/>
        </w:sectPr>
      </w:pPr>
    </w:p>
    <w:bookmarkStart w:id="57" w:name="page58"/>
    <w:bookmarkEnd w:id="57"/>
    <w:p>
      <w:pPr>
        <w:jc w:val="center"/>
        <w:ind w:right="-39"/>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31F20"/>
        </w:rPr>
        <w:t>CONSOLIDATED STATEMENTS OF CASH FLOWS</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231F20"/>
        </w:rPr>
        <w:t>(in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6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Years Ended March 31,</w:t>
            </w:r>
          </w:p>
        </w:tc>
        <w:tc>
          <w:tcPr>
            <w:tcW w:w="280" w:type="dxa"/>
            <w:vAlign w:val="bottom"/>
            <w:tcBorders>
              <w:bottom w:val="single" w:sz="8" w:color="231F20"/>
            </w:tcBorders>
          </w:tcPr>
          <w:p>
            <w:pPr>
              <w:spacing w:after="0"/>
              <w:rPr>
                <w:sz w:val="18"/>
                <w:szCs w:val="18"/>
                <w:color w:val="auto"/>
              </w:rPr>
            </w:pPr>
          </w:p>
        </w:tc>
        <w:tc>
          <w:tcPr>
            <w:tcW w:w="940" w:type="dxa"/>
            <w:vAlign w:val="bottom"/>
            <w:tcBorders>
              <w:bottom w:val="single" w:sz="8" w:color="231F20"/>
            </w:tcBorders>
          </w:tcPr>
          <w:p>
            <w:pPr>
              <w:jc w:val="right"/>
              <w:ind w:right="402"/>
              <w:spacing w:after="0"/>
              <w:rPr>
                <w:sz w:val="20"/>
                <w:szCs w:val="20"/>
                <w:color w:val="auto"/>
              </w:rPr>
            </w:pPr>
            <w:r>
              <w:rPr>
                <w:rFonts w:ascii="Times New Roman" w:cs="Times New Roman" w:eastAsia="Times New Roman" w:hAnsi="Times New Roman"/>
                <w:sz w:val="16"/>
                <w:szCs w:val="16"/>
                <w:color w:val="231F20"/>
              </w:rPr>
              <w:t>2026</w:t>
            </w:r>
          </w:p>
        </w:tc>
        <w:tc>
          <w:tcPr>
            <w:tcW w:w="340" w:type="dxa"/>
            <w:vAlign w:val="bottom"/>
            <w:tcBorders>
              <w:bottom w:val="single" w:sz="8" w:color="231F20"/>
            </w:tcBorders>
          </w:tcPr>
          <w:p>
            <w:pPr>
              <w:spacing w:after="0"/>
              <w:rPr>
                <w:sz w:val="18"/>
                <w:szCs w:val="18"/>
                <w:color w:val="auto"/>
              </w:rPr>
            </w:pPr>
          </w:p>
        </w:tc>
        <w:tc>
          <w:tcPr>
            <w:tcW w:w="1060" w:type="dxa"/>
            <w:vAlign w:val="bottom"/>
            <w:tcBorders>
              <w:bottom w:val="single" w:sz="8" w:color="231F20"/>
            </w:tcBorders>
          </w:tcPr>
          <w:p>
            <w:pPr>
              <w:jc w:val="right"/>
              <w:ind w:right="482"/>
              <w:spacing w:after="0"/>
              <w:rPr>
                <w:sz w:val="20"/>
                <w:szCs w:val="20"/>
                <w:color w:val="auto"/>
              </w:rPr>
            </w:pPr>
            <w:r>
              <w:rPr>
                <w:rFonts w:ascii="Times New Roman" w:cs="Times New Roman" w:eastAsia="Times New Roman" w:hAnsi="Times New Roman"/>
                <w:sz w:val="16"/>
                <w:szCs w:val="16"/>
                <w:color w:val="231F20"/>
              </w:rPr>
              <w:t>2025</w:t>
            </w:r>
          </w:p>
        </w:tc>
        <w:tc>
          <w:tcPr>
            <w:tcW w:w="320" w:type="dxa"/>
            <w:vAlign w:val="bottom"/>
            <w:tcBorders>
              <w:bottom w:val="single" w:sz="8" w:color="231F20"/>
            </w:tcBorders>
          </w:tcPr>
          <w:p>
            <w:pPr>
              <w:spacing w:after="0"/>
              <w:rPr>
                <w:sz w:val="18"/>
                <w:szCs w:val="18"/>
                <w:color w:val="auto"/>
              </w:rPr>
            </w:pPr>
          </w:p>
        </w:tc>
        <w:tc>
          <w:tcPr>
            <w:tcW w:w="960" w:type="dxa"/>
            <w:vAlign w:val="bottom"/>
            <w:tcBorders>
              <w:bottom w:val="single" w:sz="8" w:color="231F20"/>
            </w:tcBorders>
          </w:tcPr>
          <w:p>
            <w:pPr>
              <w:jc w:val="right"/>
              <w:ind w:right="402"/>
              <w:spacing w:after="0"/>
              <w:rPr>
                <w:sz w:val="20"/>
                <w:szCs w:val="20"/>
                <w:color w:val="auto"/>
              </w:rPr>
            </w:pPr>
            <w:r>
              <w:rPr>
                <w:rFonts w:ascii="Times New Roman" w:cs="Times New Roman" w:eastAsia="Times New Roman" w:hAnsi="Times New Roman"/>
                <w:sz w:val="16"/>
                <w:szCs w:val="16"/>
                <w:color w:val="231F20"/>
              </w:rPr>
              <w:t>2024</w:t>
            </w:r>
          </w:p>
        </w:tc>
        <w:tc>
          <w:tcPr>
            <w:tcW w:w="0" w:type="dxa"/>
            <w:vAlign w:val="bottom"/>
          </w:tcPr>
          <w:p>
            <w:pPr>
              <w:spacing w:after="0"/>
              <w:rPr>
                <w:sz w:val="1"/>
                <w:szCs w:val="1"/>
                <w:color w:val="auto"/>
              </w:rPr>
            </w:pPr>
          </w:p>
        </w:tc>
      </w:tr>
      <w:tr>
        <w:trPr>
          <w:trHeight w:val="207"/>
        </w:trPr>
        <w:tc>
          <w:tcPr>
            <w:tcW w:w="60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231F20"/>
              </w:rPr>
              <w:t>Operating activities: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6060" w:type="dxa"/>
            <w:vAlign w:val="bottom"/>
          </w:tcPr>
          <w:p>
            <w:pPr>
              <w:ind w:left="540"/>
              <w:spacing w:after="0"/>
              <w:rPr>
                <w:sz w:val="20"/>
                <w:szCs w:val="20"/>
                <w:color w:val="auto"/>
              </w:rPr>
            </w:pPr>
            <w:r>
              <w:rPr>
                <w:rFonts w:ascii="Times New Roman" w:cs="Times New Roman" w:eastAsia="Times New Roman" w:hAnsi="Times New Roman"/>
                <w:sz w:val="16"/>
                <w:szCs w:val="16"/>
                <w:color w:val="231F20"/>
              </w:rPr>
              <w:t>Net income</w:t>
            </w:r>
          </w:p>
        </w:tc>
        <w:tc>
          <w:tcPr>
            <w:tcW w:w="280" w:type="dxa"/>
            <w:vAlign w:val="bottom"/>
          </w:tcPr>
          <w:p>
            <w:pPr>
              <w:jc w:val="right"/>
              <w:ind w:right="82"/>
              <w:spacing w:after="0"/>
              <w:rPr>
                <w:sz w:val="20"/>
                <w:szCs w:val="20"/>
                <w:color w:val="auto"/>
              </w:rPr>
            </w:pPr>
            <w:r>
              <w:rPr>
                <w:rFonts w:ascii="Times New Roman" w:cs="Times New Roman" w:eastAsia="Times New Roman" w:hAnsi="Times New Roman"/>
                <w:sz w:val="16"/>
                <w:szCs w:val="16"/>
                <w:b w:val="1"/>
                <w:bCs w:val="1"/>
                <w:color w:val="231F20"/>
              </w:rPr>
              <w:t>$</w:t>
            </w: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231F20"/>
              </w:rPr>
              <w:t>785.1</w:t>
            </w:r>
          </w:p>
        </w:tc>
        <w:tc>
          <w:tcPr>
            <w:tcW w:w="3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231F20"/>
              </w:rPr>
              <w:t>$</w:t>
            </w: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231F20"/>
              </w:rPr>
              <w:t>616.1</w:t>
            </w:r>
          </w:p>
        </w:tc>
        <w:tc>
          <w:tcPr>
            <w:tcW w:w="3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380.1</w:t>
            </w:r>
          </w:p>
        </w:tc>
        <w:tc>
          <w:tcPr>
            <w:tcW w:w="0" w:type="dxa"/>
            <w:vAlign w:val="bottom"/>
          </w:tcPr>
          <w:p>
            <w:pPr>
              <w:spacing w:after="0"/>
              <w:rPr>
                <w:sz w:val="1"/>
                <w:szCs w:val="1"/>
                <w:color w:val="auto"/>
              </w:rPr>
            </w:pPr>
          </w:p>
        </w:tc>
      </w:tr>
      <w:tr>
        <w:trPr>
          <w:trHeight w:val="192"/>
        </w:trPr>
        <w:tc>
          <w:tcPr>
            <w:tcW w:w="6060" w:type="dxa"/>
            <w:vAlign w:val="bottom"/>
          </w:tcPr>
          <w:p>
            <w:pPr>
              <w:ind w:left="540"/>
              <w:spacing w:after="0"/>
              <w:rPr>
                <w:sz w:val="20"/>
                <w:szCs w:val="20"/>
                <w:color w:val="auto"/>
              </w:rPr>
            </w:pPr>
            <w:r>
              <w:rPr>
                <w:rFonts w:ascii="Times New Roman" w:cs="Times New Roman" w:eastAsia="Times New Roman" w:hAnsi="Times New Roman"/>
                <w:sz w:val="16"/>
                <w:szCs w:val="16"/>
                <w:color w:val="231F20"/>
              </w:rPr>
              <w:t>Adjustments to reconcile net income to net cash provided by</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060" w:type="dxa"/>
            <w:vAlign w:val="bottom"/>
          </w:tcPr>
          <w:p>
            <w:pPr>
              <w:ind w:left="540"/>
              <w:spacing w:after="0"/>
              <w:rPr>
                <w:sz w:val="20"/>
                <w:szCs w:val="20"/>
                <w:color w:val="auto"/>
              </w:rPr>
            </w:pPr>
            <w:r>
              <w:rPr>
                <w:rFonts w:ascii="Times New Roman" w:cs="Times New Roman" w:eastAsia="Times New Roman" w:hAnsi="Times New Roman"/>
                <w:sz w:val="16"/>
                <w:szCs w:val="16"/>
                <w:color w:val="231F20"/>
              </w:rPr>
              <w:t>operating activities: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060" w:type="dxa"/>
            <w:vAlign w:val="bottom"/>
          </w:tcPr>
          <w:p>
            <w:pPr>
              <w:ind w:left="980"/>
              <w:spacing w:after="0"/>
              <w:rPr>
                <w:sz w:val="20"/>
                <w:szCs w:val="20"/>
                <w:color w:val="auto"/>
              </w:rPr>
            </w:pPr>
            <w:r>
              <w:rPr>
                <w:rFonts w:ascii="Times New Roman" w:cs="Times New Roman" w:eastAsia="Times New Roman" w:hAnsi="Times New Roman"/>
                <w:sz w:val="16"/>
                <w:szCs w:val="16"/>
                <w:color w:val="231F20"/>
              </w:rPr>
              <w:t>Depreciation, depletion, and amortization</w:t>
            </w:r>
          </w:p>
        </w:tc>
        <w:tc>
          <w:tcPr>
            <w:tcW w:w="28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231F20"/>
              </w:rPr>
              <w:t>486.5</w:t>
            </w:r>
          </w:p>
        </w:tc>
        <w:tc>
          <w:tcPr>
            <w:tcW w:w="340" w:type="dxa"/>
            <w:vAlign w:val="bottom"/>
          </w:tcPr>
          <w:p>
            <w:pPr>
              <w:spacing w:after="0"/>
              <w:rPr>
                <w:sz w:val="20"/>
                <w:szCs w:val="20"/>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231F20"/>
              </w:rPr>
              <w:t>476.2</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565.2</w:t>
            </w:r>
          </w:p>
        </w:tc>
        <w:tc>
          <w:tcPr>
            <w:tcW w:w="0" w:type="dxa"/>
            <w:vAlign w:val="bottom"/>
          </w:tcPr>
          <w:p>
            <w:pPr>
              <w:spacing w:after="0"/>
              <w:rPr>
                <w:sz w:val="1"/>
                <w:szCs w:val="1"/>
                <w:color w:val="auto"/>
              </w:rPr>
            </w:pPr>
          </w:p>
        </w:tc>
      </w:tr>
      <w:tr>
        <w:trPr>
          <w:trHeight w:val="233"/>
        </w:trPr>
        <w:tc>
          <w:tcPr>
            <w:tcW w:w="6060" w:type="dxa"/>
            <w:vAlign w:val="bottom"/>
          </w:tcPr>
          <w:p>
            <w:pPr>
              <w:ind w:left="980"/>
              <w:spacing w:after="0"/>
              <w:rPr>
                <w:sz w:val="20"/>
                <w:szCs w:val="20"/>
                <w:color w:val="auto"/>
              </w:rPr>
            </w:pPr>
            <w:r>
              <w:rPr>
                <w:rFonts w:ascii="Times New Roman" w:cs="Times New Roman" w:eastAsia="Times New Roman" w:hAnsi="Times New Roman"/>
                <w:sz w:val="16"/>
                <w:szCs w:val="16"/>
                <w:color w:val="231F20"/>
              </w:rPr>
              <w:t>Deferred income taxes</w:t>
            </w:r>
          </w:p>
        </w:tc>
        <w:tc>
          <w:tcPr>
            <w:tcW w:w="280" w:type="dxa"/>
            <w:vAlign w:val="bottom"/>
          </w:tcPr>
          <w:p>
            <w:pPr>
              <w:spacing w:after="0"/>
              <w:rPr>
                <w:sz w:val="20"/>
                <w:szCs w:val="20"/>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(16.9)</w:t>
            </w:r>
          </w:p>
        </w:tc>
        <w:tc>
          <w:tcPr>
            <w:tcW w:w="340" w:type="dxa"/>
            <w:vAlign w:val="bottom"/>
          </w:tcPr>
          <w:p>
            <w:pPr>
              <w:spacing w:after="0"/>
              <w:rPr>
                <w:sz w:val="20"/>
                <w:szCs w:val="20"/>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(76.5)</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(131.4)</w:t>
            </w:r>
          </w:p>
        </w:tc>
        <w:tc>
          <w:tcPr>
            <w:tcW w:w="0" w:type="dxa"/>
            <w:vAlign w:val="bottom"/>
          </w:tcPr>
          <w:p>
            <w:pPr>
              <w:spacing w:after="0"/>
              <w:rPr>
                <w:sz w:val="1"/>
                <w:szCs w:val="1"/>
                <w:color w:val="auto"/>
              </w:rPr>
            </w:pPr>
          </w:p>
        </w:tc>
      </w:tr>
      <w:tr>
        <w:trPr>
          <w:trHeight w:val="233"/>
        </w:trPr>
        <w:tc>
          <w:tcPr>
            <w:tcW w:w="6060" w:type="dxa"/>
            <w:vAlign w:val="bottom"/>
          </w:tcPr>
          <w:p>
            <w:pPr>
              <w:ind w:left="980"/>
              <w:spacing w:after="0"/>
              <w:rPr>
                <w:sz w:val="20"/>
                <w:szCs w:val="20"/>
                <w:color w:val="auto"/>
              </w:rPr>
            </w:pPr>
            <w:r>
              <w:rPr>
                <w:rFonts w:ascii="Times New Roman" w:cs="Times New Roman" w:eastAsia="Times New Roman" w:hAnsi="Times New Roman"/>
                <w:sz w:val="16"/>
                <w:szCs w:val="16"/>
                <w:color w:val="231F20"/>
              </w:rPr>
              <w:t>Share-based compensation expense</w:t>
            </w:r>
          </w:p>
        </w:tc>
        <w:tc>
          <w:tcPr>
            <w:tcW w:w="28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231F20"/>
              </w:rPr>
              <w:t>61.7</w:t>
            </w:r>
          </w:p>
        </w:tc>
        <w:tc>
          <w:tcPr>
            <w:tcW w:w="340" w:type="dxa"/>
            <w:vAlign w:val="bottom"/>
          </w:tcPr>
          <w:p>
            <w:pPr>
              <w:spacing w:after="0"/>
              <w:rPr>
                <w:sz w:val="20"/>
                <w:szCs w:val="20"/>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231F20"/>
              </w:rPr>
              <w:t>57.4</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56.5</w:t>
            </w:r>
          </w:p>
        </w:tc>
        <w:tc>
          <w:tcPr>
            <w:tcW w:w="0" w:type="dxa"/>
            <w:vAlign w:val="bottom"/>
          </w:tcPr>
          <w:p>
            <w:pPr>
              <w:spacing w:after="0"/>
              <w:rPr>
                <w:sz w:val="1"/>
                <w:szCs w:val="1"/>
                <w:color w:val="auto"/>
              </w:rPr>
            </w:pPr>
          </w:p>
        </w:tc>
      </w:tr>
      <w:tr>
        <w:trPr>
          <w:trHeight w:val="206"/>
        </w:trPr>
        <w:tc>
          <w:tcPr>
            <w:tcW w:w="6060" w:type="dxa"/>
            <w:vAlign w:val="bottom"/>
          </w:tcPr>
          <w:p>
            <w:pPr>
              <w:ind w:left="980"/>
              <w:spacing w:after="0"/>
              <w:rPr>
                <w:sz w:val="20"/>
                <w:szCs w:val="20"/>
                <w:color w:val="auto"/>
              </w:rPr>
            </w:pPr>
            <w:r>
              <w:rPr>
                <w:rFonts w:ascii="Times New Roman" w:cs="Times New Roman" w:eastAsia="Times New Roman" w:hAnsi="Times New Roman"/>
                <w:sz w:val="16"/>
                <w:szCs w:val="16"/>
                <w:color w:val="231F20"/>
              </w:rPr>
              <w:t>Loss on the disposal of property, plant, equipment,</w:t>
            </w:r>
          </w:p>
        </w:tc>
        <w:tc>
          <w:tcPr>
            <w:tcW w:w="280" w:type="dxa"/>
            <w:vAlign w:val="bottom"/>
          </w:tcPr>
          <w:p>
            <w:pPr>
              <w:spacing w:after="0"/>
              <w:rPr>
                <w:sz w:val="17"/>
                <w:szCs w:val="17"/>
                <w:color w:val="auto"/>
              </w:rPr>
            </w:pPr>
          </w:p>
        </w:tc>
        <w:tc>
          <w:tcPr>
            <w:tcW w:w="94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b w:val="1"/>
                <w:bCs w:val="1"/>
                <w:color w:val="231F20"/>
              </w:rPr>
              <w:t>3.6</w:t>
            </w:r>
          </w:p>
        </w:tc>
        <w:tc>
          <w:tcPr>
            <w:tcW w:w="340" w:type="dxa"/>
            <w:vAlign w:val="bottom"/>
          </w:tcPr>
          <w:p>
            <w:pPr>
              <w:spacing w:after="0"/>
              <w:rPr>
                <w:sz w:val="17"/>
                <w:szCs w:val="17"/>
                <w:color w:val="auto"/>
              </w:rPr>
            </w:pPr>
          </w:p>
        </w:tc>
        <w:tc>
          <w:tcPr>
            <w:tcW w:w="106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color w:val="231F20"/>
              </w:rPr>
              <w:t>5.7</w:t>
            </w:r>
          </w:p>
        </w:tc>
        <w:tc>
          <w:tcPr>
            <w:tcW w:w="32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25.0</w:t>
            </w:r>
          </w:p>
        </w:tc>
        <w:tc>
          <w:tcPr>
            <w:tcW w:w="0" w:type="dxa"/>
            <w:vAlign w:val="bottom"/>
          </w:tcPr>
          <w:p>
            <w:pPr>
              <w:spacing w:after="0"/>
              <w:rPr>
                <w:sz w:val="1"/>
                <w:szCs w:val="1"/>
                <w:color w:val="auto"/>
              </w:rPr>
            </w:pPr>
          </w:p>
        </w:tc>
      </w:tr>
      <w:tr>
        <w:trPr>
          <w:trHeight w:val="202"/>
        </w:trPr>
        <w:tc>
          <w:tcPr>
            <w:tcW w:w="6060" w:type="dxa"/>
            <w:vAlign w:val="bottom"/>
          </w:tcPr>
          <w:p>
            <w:pPr>
              <w:ind w:left="980"/>
              <w:spacing w:after="0"/>
              <w:rPr>
                <w:sz w:val="20"/>
                <w:szCs w:val="20"/>
                <w:color w:val="auto"/>
              </w:rPr>
            </w:pPr>
            <w:r>
              <w:rPr>
                <w:rFonts w:ascii="Times New Roman" w:cs="Times New Roman" w:eastAsia="Times New Roman" w:hAnsi="Times New Roman"/>
                <w:sz w:val="16"/>
                <w:szCs w:val="16"/>
                <w:color w:val="231F20"/>
              </w:rPr>
              <w:t>and intangibles, net</w:t>
            </w:r>
          </w:p>
        </w:tc>
        <w:tc>
          <w:tcPr>
            <w:tcW w:w="2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060" w:type="dxa"/>
            <w:vAlign w:val="bottom"/>
          </w:tcPr>
          <w:p>
            <w:pPr>
              <w:ind w:left="980"/>
              <w:spacing w:after="0"/>
              <w:rPr>
                <w:sz w:val="20"/>
                <w:szCs w:val="20"/>
                <w:color w:val="auto"/>
              </w:rPr>
            </w:pPr>
            <w:r>
              <w:rPr>
                <w:rFonts w:ascii="Times New Roman" w:cs="Times New Roman" w:eastAsia="Times New Roman" w:hAnsi="Times New Roman"/>
                <w:sz w:val="16"/>
                <w:szCs w:val="16"/>
                <w:color w:val="231F20"/>
              </w:rPr>
              <w:t>Loss on classification as held for sale</w:t>
            </w:r>
          </w:p>
        </w:tc>
        <w:tc>
          <w:tcPr>
            <w:tcW w:w="28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231F20"/>
              </w:rPr>
              <w:t>—</w:t>
            </w:r>
          </w:p>
        </w:tc>
        <w:tc>
          <w:tcPr>
            <w:tcW w:w="340" w:type="dxa"/>
            <w:vAlign w:val="bottom"/>
          </w:tcPr>
          <w:p>
            <w:pPr>
              <w:spacing w:after="0"/>
              <w:rPr>
                <w:sz w:val="20"/>
                <w:szCs w:val="20"/>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231F20"/>
              </w:rPr>
              <w:t>—</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206.4</w:t>
            </w:r>
          </w:p>
        </w:tc>
        <w:tc>
          <w:tcPr>
            <w:tcW w:w="0" w:type="dxa"/>
            <w:vAlign w:val="bottom"/>
          </w:tcPr>
          <w:p>
            <w:pPr>
              <w:spacing w:after="0"/>
              <w:rPr>
                <w:sz w:val="1"/>
                <w:szCs w:val="1"/>
                <w:color w:val="auto"/>
              </w:rPr>
            </w:pPr>
          </w:p>
        </w:tc>
      </w:tr>
      <w:tr>
        <w:trPr>
          <w:trHeight w:val="233"/>
        </w:trPr>
        <w:tc>
          <w:tcPr>
            <w:tcW w:w="6060" w:type="dxa"/>
            <w:vAlign w:val="bottom"/>
          </w:tcPr>
          <w:p>
            <w:pPr>
              <w:ind w:left="980"/>
              <w:spacing w:after="0"/>
              <w:rPr>
                <w:sz w:val="20"/>
                <w:szCs w:val="20"/>
                <w:color w:val="auto"/>
              </w:rPr>
            </w:pPr>
            <w:r>
              <w:rPr>
                <w:rFonts w:ascii="Times New Roman" w:cs="Times New Roman" w:eastAsia="Times New Roman" w:hAnsi="Times New Roman"/>
                <w:sz w:val="16"/>
                <w:szCs w:val="16"/>
                <w:color w:val="231F20"/>
              </w:rPr>
              <w:t>(Gain) loss on sale of businesses and investments, net</w:t>
            </w:r>
          </w:p>
        </w:tc>
        <w:tc>
          <w:tcPr>
            <w:tcW w:w="280" w:type="dxa"/>
            <w:vAlign w:val="bottom"/>
          </w:tcPr>
          <w:p>
            <w:pPr>
              <w:spacing w:after="0"/>
              <w:rPr>
                <w:sz w:val="20"/>
                <w:szCs w:val="20"/>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(0.3)</w:t>
            </w:r>
          </w:p>
        </w:tc>
        <w:tc>
          <w:tcPr>
            <w:tcW w:w="340" w:type="dxa"/>
            <w:vAlign w:val="bottom"/>
          </w:tcPr>
          <w:p>
            <w:pPr>
              <w:spacing w:after="0"/>
              <w:rPr>
                <w:sz w:val="20"/>
                <w:szCs w:val="20"/>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231F20"/>
              </w:rPr>
              <w:t>6.4</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0.3</w:t>
            </w:r>
          </w:p>
        </w:tc>
        <w:tc>
          <w:tcPr>
            <w:tcW w:w="0" w:type="dxa"/>
            <w:vAlign w:val="bottom"/>
          </w:tcPr>
          <w:p>
            <w:pPr>
              <w:spacing w:after="0"/>
              <w:rPr>
                <w:sz w:val="1"/>
                <w:szCs w:val="1"/>
                <w:color w:val="auto"/>
              </w:rPr>
            </w:pPr>
          </w:p>
        </w:tc>
      </w:tr>
      <w:tr>
        <w:trPr>
          <w:trHeight w:val="233"/>
        </w:trPr>
        <w:tc>
          <w:tcPr>
            <w:tcW w:w="6060" w:type="dxa"/>
            <w:vAlign w:val="bottom"/>
          </w:tcPr>
          <w:p>
            <w:pPr>
              <w:ind w:left="980"/>
              <w:spacing w:after="0"/>
              <w:rPr>
                <w:sz w:val="20"/>
                <w:szCs w:val="20"/>
                <w:color w:val="auto"/>
              </w:rPr>
            </w:pPr>
            <w:r>
              <w:rPr>
                <w:rFonts w:ascii="Times New Roman" w:cs="Times New Roman" w:eastAsia="Times New Roman" w:hAnsi="Times New Roman"/>
                <w:sz w:val="16"/>
                <w:szCs w:val="16"/>
                <w:color w:val="231F20"/>
              </w:rPr>
              <w:t>Amortization of inventory fair value adjustments</w:t>
            </w:r>
          </w:p>
        </w:tc>
        <w:tc>
          <w:tcPr>
            <w:tcW w:w="28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231F20"/>
              </w:rPr>
              <w:t>—</w:t>
            </w:r>
          </w:p>
        </w:tc>
        <w:tc>
          <w:tcPr>
            <w:tcW w:w="340" w:type="dxa"/>
            <w:vAlign w:val="bottom"/>
          </w:tcPr>
          <w:p>
            <w:pPr>
              <w:spacing w:after="0"/>
              <w:rPr>
                <w:sz w:val="20"/>
                <w:szCs w:val="20"/>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231F20"/>
              </w:rPr>
              <w:t>—</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4.8</w:t>
            </w:r>
          </w:p>
        </w:tc>
        <w:tc>
          <w:tcPr>
            <w:tcW w:w="0" w:type="dxa"/>
            <w:vAlign w:val="bottom"/>
          </w:tcPr>
          <w:p>
            <w:pPr>
              <w:spacing w:after="0"/>
              <w:rPr>
                <w:sz w:val="1"/>
                <w:szCs w:val="1"/>
                <w:color w:val="auto"/>
              </w:rPr>
            </w:pPr>
          </w:p>
        </w:tc>
      </w:tr>
      <w:tr>
        <w:trPr>
          <w:trHeight w:val="233"/>
        </w:trPr>
        <w:tc>
          <w:tcPr>
            <w:tcW w:w="6060" w:type="dxa"/>
            <w:vAlign w:val="bottom"/>
          </w:tcPr>
          <w:p>
            <w:pPr>
              <w:ind w:left="980"/>
              <w:spacing w:after="0"/>
              <w:rPr>
                <w:sz w:val="20"/>
                <w:szCs w:val="20"/>
                <w:color w:val="auto"/>
              </w:rPr>
            </w:pPr>
            <w:r>
              <w:rPr>
                <w:rFonts w:ascii="Times New Roman" w:cs="Times New Roman" w:eastAsia="Times New Roman" w:hAnsi="Times New Roman"/>
                <w:sz w:val="16"/>
                <w:szCs w:val="16"/>
                <w:color w:val="231F20"/>
              </w:rPr>
              <w:t>Other items</w:t>
            </w:r>
          </w:p>
        </w:tc>
        <w:tc>
          <w:tcPr>
            <w:tcW w:w="280" w:type="dxa"/>
            <w:vAlign w:val="bottom"/>
          </w:tcPr>
          <w:p>
            <w:pPr>
              <w:spacing w:after="0"/>
              <w:rPr>
                <w:sz w:val="20"/>
                <w:szCs w:val="20"/>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(5.6)</w:t>
            </w:r>
          </w:p>
        </w:tc>
        <w:tc>
          <w:tcPr>
            <w:tcW w:w="340" w:type="dxa"/>
            <w:vAlign w:val="bottom"/>
          </w:tcPr>
          <w:p>
            <w:pPr>
              <w:spacing w:after="0"/>
              <w:rPr>
                <w:sz w:val="20"/>
                <w:szCs w:val="20"/>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(3.7)</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12.3</w:t>
            </w:r>
          </w:p>
        </w:tc>
        <w:tc>
          <w:tcPr>
            <w:tcW w:w="0" w:type="dxa"/>
            <w:vAlign w:val="bottom"/>
          </w:tcPr>
          <w:p>
            <w:pPr>
              <w:spacing w:after="0"/>
              <w:rPr>
                <w:sz w:val="1"/>
                <w:szCs w:val="1"/>
                <w:color w:val="auto"/>
              </w:rPr>
            </w:pPr>
          </w:p>
        </w:tc>
      </w:tr>
      <w:tr>
        <w:trPr>
          <w:trHeight w:val="192"/>
        </w:trPr>
        <w:tc>
          <w:tcPr>
            <w:tcW w:w="6060" w:type="dxa"/>
            <w:vAlign w:val="bottom"/>
          </w:tcPr>
          <w:p>
            <w:pPr>
              <w:ind w:left="540"/>
              <w:spacing w:after="0"/>
              <w:rPr>
                <w:sz w:val="20"/>
                <w:szCs w:val="20"/>
                <w:color w:val="auto"/>
              </w:rPr>
            </w:pPr>
            <w:r>
              <w:rPr>
                <w:rFonts w:ascii="Times New Roman" w:cs="Times New Roman" w:eastAsia="Times New Roman" w:hAnsi="Times New Roman"/>
                <w:sz w:val="16"/>
                <w:szCs w:val="16"/>
                <w:color w:val="231F20"/>
              </w:rPr>
              <w:t>Changes in operating assets and liabilities, net of effects of acquisitions and</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060" w:type="dxa"/>
            <w:vAlign w:val="bottom"/>
          </w:tcPr>
          <w:p>
            <w:pPr>
              <w:ind w:left="540"/>
              <w:spacing w:after="0"/>
              <w:rPr>
                <w:sz w:val="20"/>
                <w:szCs w:val="20"/>
                <w:color w:val="auto"/>
              </w:rPr>
            </w:pPr>
            <w:r>
              <w:rPr>
                <w:rFonts w:ascii="Times New Roman" w:cs="Times New Roman" w:eastAsia="Times New Roman" w:hAnsi="Times New Roman"/>
                <w:sz w:val="16"/>
                <w:szCs w:val="16"/>
                <w:color w:val="231F20"/>
              </w:rPr>
              <w:t>divestitures: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060" w:type="dxa"/>
            <w:vAlign w:val="bottom"/>
          </w:tcPr>
          <w:p>
            <w:pPr>
              <w:ind w:left="980"/>
              <w:spacing w:after="0"/>
              <w:rPr>
                <w:sz w:val="20"/>
                <w:szCs w:val="20"/>
                <w:color w:val="auto"/>
              </w:rPr>
            </w:pPr>
            <w:r>
              <w:rPr>
                <w:rFonts w:ascii="Times New Roman" w:cs="Times New Roman" w:eastAsia="Times New Roman" w:hAnsi="Times New Roman"/>
                <w:sz w:val="16"/>
                <w:szCs w:val="16"/>
                <w:color w:val="231F20"/>
              </w:rPr>
              <w:t>Accounts receivable, net</w:t>
            </w:r>
          </w:p>
        </w:tc>
        <w:tc>
          <w:tcPr>
            <w:tcW w:w="28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(25.1)</w:t>
            </w:r>
          </w:p>
        </w:tc>
        <w:tc>
          <w:tcPr>
            <w:tcW w:w="34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(28.8)</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(128.1)</w:t>
            </w:r>
          </w:p>
        </w:tc>
        <w:tc>
          <w:tcPr>
            <w:tcW w:w="0" w:type="dxa"/>
            <w:vAlign w:val="bottom"/>
          </w:tcPr>
          <w:p>
            <w:pPr>
              <w:spacing w:after="0"/>
              <w:rPr>
                <w:sz w:val="1"/>
                <w:szCs w:val="1"/>
                <w:color w:val="auto"/>
              </w:rPr>
            </w:pPr>
          </w:p>
        </w:tc>
      </w:tr>
      <w:tr>
        <w:trPr>
          <w:trHeight w:val="218"/>
        </w:trPr>
        <w:tc>
          <w:tcPr>
            <w:tcW w:w="6060" w:type="dxa"/>
            <w:vAlign w:val="bottom"/>
          </w:tcPr>
          <w:p>
            <w:pPr>
              <w:ind w:left="980"/>
              <w:spacing w:after="0"/>
              <w:rPr>
                <w:sz w:val="20"/>
                <w:szCs w:val="20"/>
                <w:color w:val="auto"/>
              </w:rPr>
            </w:pPr>
            <w:r>
              <w:rPr>
                <w:rFonts w:ascii="Times New Roman" w:cs="Times New Roman" w:eastAsia="Times New Roman" w:hAnsi="Times New Roman"/>
                <w:sz w:val="16"/>
                <w:szCs w:val="16"/>
                <w:color w:val="231F20"/>
              </w:rPr>
              <w:t>Inventories, net</w:t>
            </w:r>
          </w:p>
        </w:tc>
        <w:tc>
          <w:tcPr>
            <w:tcW w:w="28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(24.0)</w:t>
            </w:r>
          </w:p>
        </w:tc>
        <w:tc>
          <w:tcPr>
            <w:tcW w:w="340" w:type="dxa"/>
            <w:vAlign w:val="bottom"/>
          </w:tcPr>
          <w:p>
            <w:pPr>
              <w:spacing w:after="0"/>
              <w:rPr>
                <w:sz w:val="18"/>
                <w:szCs w:val="18"/>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231F20"/>
              </w:rPr>
              <w:t>73.1</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(37.5)</w:t>
            </w:r>
          </w:p>
        </w:tc>
        <w:tc>
          <w:tcPr>
            <w:tcW w:w="0" w:type="dxa"/>
            <w:vAlign w:val="bottom"/>
          </w:tcPr>
          <w:p>
            <w:pPr>
              <w:spacing w:after="0"/>
              <w:rPr>
                <w:sz w:val="1"/>
                <w:szCs w:val="1"/>
                <w:color w:val="auto"/>
              </w:rPr>
            </w:pPr>
          </w:p>
        </w:tc>
      </w:tr>
      <w:tr>
        <w:trPr>
          <w:trHeight w:val="218"/>
        </w:trPr>
        <w:tc>
          <w:tcPr>
            <w:tcW w:w="6060" w:type="dxa"/>
            <w:vAlign w:val="bottom"/>
          </w:tcPr>
          <w:p>
            <w:pPr>
              <w:ind w:left="980"/>
              <w:spacing w:after="0"/>
              <w:rPr>
                <w:sz w:val="20"/>
                <w:szCs w:val="20"/>
                <w:color w:val="auto"/>
              </w:rPr>
            </w:pPr>
            <w:r>
              <w:rPr>
                <w:rFonts w:ascii="Times New Roman" w:cs="Times New Roman" w:eastAsia="Times New Roman" w:hAnsi="Times New Roman"/>
                <w:sz w:val="16"/>
                <w:szCs w:val="16"/>
                <w:color w:val="231F20"/>
              </w:rPr>
              <w:t>Other current assets</w:t>
            </w:r>
          </w:p>
        </w:tc>
        <w:tc>
          <w:tcPr>
            <w:tcW w:w="28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(22.7)</w:t>
            </w:r>
          </w:p>
        </w:tc>
        <w:tc>
          <w:tcPr>
            <w:tcW w:w="34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(50.3)</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(1.6)</w:t>
            </w:r>
          </w:p>
        </w:tc>
        <w:tc>
          <w:tcPr>
            <w:tcW w:w="0" w:type="dxa"/>
            <w:vAlign w:val="bottom"/>
          </w:tcPr>
          <w:p>
            <w:pPr>
              <w:spacing w:after="0"/>
              <w:rPr>
                <w:sz w:val="1"/>
                <w:szCs w:val="1"/>
                <w:color w:val="auto"/>
              </w:rPr>
            </w:pPr>
          </w:p>
        </w:tc>
      </w:tr>
      <w:tr>
        <w:trPr>
          <w:trHeight w:val="218"/>
        </w:trPr>
        <w:tc>
          <w:tcPr>
            <w:tcW w:w="6060" w:type="dxa"/>
            <w:vAlign w:val="bottom"/>
          </w:tcPr>
          <w:p>
            <w:pPr>
              <w:ind w:left="980"/>
              <w:spacing w:after="0"/>
              <w:rPr>
                <w:sz w:val="20"/>
                <w:szCs w:val="20"/>
                <w:color w:val="auto"/>
              </w:rPr>
            </w:pPr>
            <w:r>
              <w:rPr>
                <w:rFonts w:ascii="Times New Roman" w:cs="Times New Roman" w:eastAsia="Times New Roman" w:hAnsi="Times New Roman"/>
                <w:sz w:val="16"/>
                <w:szCs w:val="16"/>
                <w:color w:val="231F20"/>
              </w:rPr>
              <w:t>Accounts payable</w:t>
            </w:r>
          </w:p>
        </w:tc>
        <w:tc>
          <w:tcPr>
            <w:tcW w:w="280" w:type="dxa"/>
            <w:vAlign w:val="bottom"/>
          </w:tcPr>
          <w:p>
            <w:pPr>
              <w:spacing w:after="0"/>
              <w:rPr>
                <w:sz w:val="18"/>
                <w:szCs w:val="18"/>
                <w:color w:val="auto"/>
              </w:rPr>
            </w:pP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231F20"/>
              </w:rPr>
              <w:t>51.1</w:t>
            </w:r>
          </w:p>
        </w:tc>
        <w:tc>
          <w:tcPr>
            <w:tcW w:w="340" w:type="dxa"/>
            <w:vAlign w:val="bottom"/>
          </w:tcPr>
          <w:p>
            <w:pPr>
              <w:spacing w:after="0"/>
              <w:rPr>
                <w:sz w:val="18"/>
                <w:szCs w:val="18"/>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231F20"/>
              </w:rPr>
              <w:t>33.6</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(19.0)</w:t>
            </w:r>
          </w:p>
        </w:tc>
        <w:tc>
          <w:tcPr>
            <w:tcW w:w="0" w:type="dxa"/>
            <w:vAlign w:val="bottom"/>
          </w:tcPr>
          <w:p>
            <w:pPr>
              <w:spacing w:after="0"/>
              <w:rPr>
                <w:sz w:val="1"/>
                <w:szCs w:val="1"/>
                <w:color w:val="auto"/>
              </w:rPr>
            </w:pPr>
          </w:p>
        </w:tc>
      </w:tr>
      <w:tr>
        <w:trPr>
          <w:trHeight w:val="239"/>
        </w:trPr>
        <w:tc>
          <w:tcPr>
            <w:tcW w:w="6060" w:type="dxa"/>
            <w:vAlign w:val="bottom"/>
          </w:tcPr>
          <w:p>
            <w:pPr>
              <w:ind w:left="980"/>
              <w:spacing w:after="0"/>
              <w:rPr>
                <w:sz w:val="20"/>
                <w:szCs w:val="20"/>
                <w:color w:val="auto"/>
              </w:rPr>
            </w:pPr>
            <w:r>
              <w:rPr>
                <w:rFonts w:ascii="Times New Roman" w:cs="Times New Roman" w:eastAsia="Times New Roman" w:hAnsi="Times New Roman"/>
                <w:sz w:val="16"/>
                <w:szCs w:val="16"/>
                <w:color w:val="231F20"/>
              </w:rPr>
              <w:t>Accruals and other, net</w:t>
            </w:r>
          </w:p>
        </w:tc>
        <w:tc>
          <w:tcPr>
            <w:tcW w:w="28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231F20"/>
              </w:rPr>
              <w:t>47.8</w:t>
            </w:r>
          </w:p>
        </w:tc>
        <w:tc>
          <w:tcPr>
            <w:tcW w:w="340" w:type="dxa"/>
            <w:vAlign w:val="bottom"/>
            <w:tcBorders>
              <w:bottom w:val="single" w:sz="8" w:color="231F20"/>
            </w:tcBorders>
          </w:tcPr>
          <w:p>
            <w:pPr>
              <w:spacing w:after="0"/>
              <w:rPr>
                <w:sz w:val="20"/>
                <w:szCs w:val="20"/>
                <w:color w:val="auto"/>
              </w:rPr>
            </w:pPr>
          </w:p>
        </w:tc>
        <w:tc>
          <w:tcPr>
            <w:tcW w:w="1060" w:type="dxa"/>
            <w:vAlign w:val="bottom"/>
            <w:tcBorders>
              <w:bottom w:val="single" w:sz="8" w:color="231F20"/>
            </w:tcBorders>
          </w:tcPr>
          <w:p>
            <w:pPr>
              <w:jc w:val="right"/>
              <w:ind w:right="42"/>
              <w:spacing w:after="0"/>
              <w:rPr>
                <w:sz w:val="20"/>
                <w:szCs w:val="20"/>
                <w:color w:val="auto"/>
              </w:rPr>
            </w:pPr>
            <w:r>
              <w:rPr>
                <w:rFonts w:ascii="Times New Roman" w:cs="Times New Roman" w:eastAsia="Times New Roman" w:hAnsi="Times New Roman"/>
                <w:sz w:val="16"/>
                <w:szCs w:val="16"/>
                <w:color w:val="231F20"/>
              </w:rPr>
              <w:t>38.9</w:t>
            </w:r>
          </w:p>
        </w:tc>
        <w:tc>
          <w:tcPr>
            <w:tcW w:w="32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40.0</w:t>
            </w:r>
          </w:p>
        </w:tc>
        <w:tc>
          <w:tcPr>
            <w:tcW w:w="0" w:type="dxa"/>
            <w:vAlign w:val="bottom"/>
          </w:tcPr>
          <w:p>
            <w:pPr>
              <w:spacing w:after="0"/>
              <w:rPr>
                <w:sz w:val="1"/>
                <w:szCs w:val="1"/>
                <w:color w:val="auto"/>
              </w:rPr>
            </w:pPr>
          </w:p>
        </w:tc>
      </w:tr>
      <w:tr>
        <w:trPr>
          <w:trHeight w:val="250"/>
        </w:trPr>
        <w:tc>
          <w:tcPr>
            <w:tcW w:w="60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231F20"/>
              </w:rPr>
              <w:t>Net cash provided by operating activities</w:t>
            </w:r>
          </w:p>
        </w:tc>
        <w:tc>
          <w:tcPr>
            <w:tcW w:w="280" w:type="dxa"/>
            <w:vAlign w:val="bottom"/>
          </w:tcPr>
          <w:p>
            <w:pPr>
              <w:spacing w:after="0"/>
              <w:rPr>
                <w:sz w:val="21"/>
                <w:szCs w:val="21"/>
                <w:color w:val="auto"/>
              </w:rPr>
            </w:pP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231F20"/>
              </w:rPr>
              <w:t>1,341.4</w:t>
            </w:r>
          </w:p>
        </w:tc>
        <w:tc>
          <w:tcPr>
            <w:tcW w:w="340" w:type="dxa"/>
            <w:vAlign w:val="bottom"/>
          </w:tcPr>
          <w:p>
            <w:pPr>
              <w:spacing w:after="0"/>
              <w:rPr>
                <w:sz w:val="21"/>
                <w:szCs w:val="21"/>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231F20"/>
              </w:rPr>
              <w:t>1,148.1</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973.3</w:t>
            </w:r>
          </w:p>
        </w:tc>
        <w:tc>
          <w:tcPr>
            <w:tcW w:w="0" w:type="dxa"/>
            <w:vAlign w:val="bottom"/>
          </w:tcPr>
          <w:p>
            <w:pPr>
              <w:spacing w:after="0"/>
              <w:rPr>
                <w:sz w:val="1"/>
                <w:szCs w:val="1"/>
                <w:color w:val="auto"/>
              </w:rPr>
            </w:pPr>
          </w:p>
        </w:tc>
      </w:tr>
      <w:tr>
        <w:trPr>
          <w:trHeight w:val="276"/>
        </w:trPr>
        <w:tc>
          <w:tcPr>
            <w:tcW w:w="60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231F20"/>
              </w:rPr>
              <w:t>Investing activities: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6060" w:type="dxa"/>
            <w:vAlign w:val="bottom"/>
          </w:tcPr>
          <w:p>
            <w:pPr>
              <w:ind w:left="540"/>
              <w:spacing w:after="0"/>
              <w:rPr>
                <w:sz w:val="20"/>
                <w:szCs w:val="20"/>
                <w:color w:val="auto"/>
              </w:rPr>
            </w:pPr>
            <w:r>
              <w:rPr>
                <w:rFonts w:ascii="Times New Roman" w:cs="Times New Roman" w:eastAsia="Times New Roman" w:hAnsi="Times New Roman"/>
                <w:sz w:val="16"/>
                <w:szCs w:val="16"/>
                <w:color w:val="231F20"/>
              </w:rPr>
              <w:t>Purchases of property, plant, equipment, and intangibles</w:t>
            </w:r>
          </w:p>
        </w:tc>
        <w:tc>
          <w:tcPr>
            <w:tcW w:w="280" w:type="dxa"/>
            <w:vAlign w:val="bottom"/>
          </w:tcPr>
          <w:p>
            <w:pPr>
              <w:spacing w:after="0"/>
              <w:rPr>
                <w:sz w:val="21"/>
                <w:szCs w:val="21"/>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(369.0)</w:t>
            </w:r>
          </w:p>
        </w:tc>
        <w:tc>
          <w:tcPr>
            <w:tcW w:w="340" w:type="dxa"/>
            <w:vAlign w:val="bottom"/>
          </w:tcPr>
          <w:p>
            <w:pPr>
              <w:spacing w:after="0"/>
              <w:rPr>
                <w:sz w:val="21"/>
                <w:szCs w:val="21"/>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(370.1)</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(360.3)</w:t>
            </w:r>
          </w:p>
        </w:tc>
        <w:tc>
          <w:tcPr>
            <w:tcW w:w="0" w:type="dxa"/>
            <w:vAlign w:val="bottom"/>
          </w:tcPr>
          <w:p>
            <w:pPr>
              <w:spacing w:after="0"/>
              <w:rPr>
                <w:sz w:val="1"/>
                <w:szCs w:val="1"/>
                <w:color w:val="auto"/>
              </w:rPr>
            </w:pPr>
          </w:p>
        </w:tc>
      </w:tr>
      <w:tr>
        <w:trPr>
          <w:trHeight w:val="247"/>
        </w:trPr>
        <w:tc>
          <w:tcPr>
            <w:tcW w:w="6060" w:type="dxa"/>
            <w:vAlign w:val="bottom"/>
          </w:tcPr>
          <w:p>
            <w:pPr>
              <w:ind w:left="540"/>
              <w:spacing w:after="0"/>
              <w:rPr>
                <w:sz w:val="20"/>
                <w:szCs w:val="20"/>
                <w:color w:val="auto"/>
              </w:rPr>
            </w:pPr>
            <w:r>
              <w:rPr>
                <w:rFonts w:ascii="Times New Roman" w:cs="Times New Roman" w:eastAsia="Times New Roman" w:hAnsi="Times New Roman"/>
                <w:sz w:val="16"/>
                <w:szCs w:val="16"/>
                <w:color w:val="231F20"/>
              </w:rPr>
              <w:t>Proceeds from the sale of property, plant, equipment, and intangibles</w:t>
            </w:r>
          </w:p>
        </w:tc>
        <w:tc>
          <w:tcPr>
            <w:tcW w:w="280" w:type="dxa"/>
            <w:vAlign w:val="bottom"/>
          </w:tcPr>
          <w:p>
            <w:pPr>
              <w:spacing w:after="0"/>
              <w:rPr>
                <w:sz w:val="21"/>
                <w:szCs w:val="21"/>
                <w:color w:val="auto"/>
              </w:rPr>
            </w:pP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231F20"/>
              </w:rPr>
              <w:t>10.5</w:t>
            </w:r>
          </w:p>
        </w:tc>
        <w:tc>
          <w:tcPr>
            <w:tcW w:w="340" w:type="dxa"/>
            <w:vAlign w:val="bottom"/>
          </w:tcPr>
          <w:p>
            <w:pPr>
              <w:spacing w:after="0"/>
              <w:rPr>
                <w:sz w:val="21"/>
                <w:szCs w:val="21"/>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231F20"/>
              </w:rPr>
              <w:t>9.2</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7.4</w:t>
            </w:r>
          </w:p>
        </w:tc>
        <w:tc>
          <w:tcPr>
            <w:tcW w:w="0" w:type="dxa"/>
            <w:vAlign w:val="bottom"/>
          </w:tcPr>
          <w:p>
            <w:pPr>
              <w:spacing w:after="0"/>
              <w:rPr>
                <w:sz w:val="1"/>
                <w:szCs w:val="1"/>
                <w:color w:val="auto"/>
              </w:rPr>
            </w:pPr>
          </w:p>
        </w:tc>
      </w:tr>
      <w:tr>
        <w:trPr>
          <w:trHeight w:val="247"/>
        </w:trPr>
        <w:tc>
          <w:tcPr>
            <w:tcW w:w="6060" w:type="dxa"/>
            <w:vAlign w:val="bottom"/>
          </w:tcPr>
          <w:p>
            <w:pPr>
              <w:ind w:left="540"/>
              <w:spacing w:after="0"/>
              <w:rPr>
                <w:sz w:val="20"/>
                <w:szCs w:val="20"/>
                <w:color w:val="auto"/>
              </w:rPr>
            </w:pPr>
            <w:r>
              <w:rPr>
                <w:rFonts w:ascii="Times New Roman" w:cs="Times New Roman" w:eastAsia="Times New Roman" w:hAnsi="Times New Roman"/>
                <w:sz w:val="16"/>
                <w:szCs w:val="16"/>
                <w:color w:val="231F20"/>
              </w:rPr>
              <w:t>Proceeds from the sale of businesses</w:t>
            </w:r>
          </w:p>
        </w:tc>
        <w:tc>
          <w:tcPr>
            <w:tcW w:w="280" w:type="dxa"/>
            <w:vAlign w:val="bottom"/>
          </w:tcPr>
          <w:p>
            <w:pPr>
              <w:spacing w:after="0"/>
              <w:rPr>
                <w:sz w:val="21"/>
                <w:szCs w:val="21"/>
                <w:color w:val="auto"/>
              </w:rPr>
            </w:pP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231F20"/>
              </w:rPr>
              <w:t>—</w:t>
            </w:r>
          </w:p>
        </w:tc>
        <w:tc>
          <w:tcPr>
            <w:tcW w:w="340" w:type="dxa"/>
            <w:vAlign w:val="bottom"/>
          </w:tcPr>
          <w:p>
            <w:pPr>
              <w:spacing w:after="0"/>
              <w:rPr>
                <w:sz w:val="21"/>
                <w:szCs w:val="21"/>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231F20"/>
              </w:rPr>
              <w:t>814.6</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9.5</w:t>
            </w:r>
          </w:p>
        </w:tc>
        <w:tc>
          <w:tcPr>
            <w:tcW w:w="0" w:type="dxa"/>
            <w:vAlign w:val="bottom"/>
          </w:tcPr>
          <w:p>
            <w:pPr>
              <w:spacing w:after="0"/>
              <w:rPr>
                <w:sz w:val="1"/>
                <w:szCs w:val="1"/>
                <w:color w:val="auto"/>
              </w:rPr>
            </w:pPr>
          </w:p>
        </w:tc>
      </w:tr>
      <w:tr>
        <w:trPr>
          <w:trHeight w:val="247"/>
        </w:trPr>
        <w:tc>
          <w:tcPr>
            <w:tcW w:w="6060" w:type="dxa"/>
            <w:vAlign w:val="bottom"/>
          </w:tcPr>
          <w:p>
            <w:pPr>
              <w:ind w:left="540"/>
              <w:spacing w:after="0"/>
              <w:rPr>
                <w:sz w:val="20"/>
                <w:szCs w:val="20"/>
                <w:color w:val="auto"/>
              </w:rPr>
            </w:pPr>
            <w:r>
              <w:rPr>
                <w:rFonts w:ascii="Times New Roman" w:cs="Times New Roman" w:eastAsia="Times New Roman" w:hAnsi="Times New Roman"/>
                <w:sz w:val="16"/>
                <w:szCs w:val="16"/>
                <w:color w:val="231F20"/>
              </w:rPr>
              <w:t>Proceeds from the sale of investments</w:t>
            </w:r>
          </w:p>
        </w:tc>
        <w:tc>
          <w:tcPr>
            <w:tcW w:w="280" w:type="dxa"/>
            <w:vAlign w:val="bottom"/>
          </w:tcPr>
          <w:p>
            <w:pPr>
              <w:spacing w:after="0"/>
              <w:rPr>
                <w:sz w:val="21"/>
                <w:szCs w:val="21"/>
                <w:color w:val="auto"/>
              </w:rPr>
            </w:pP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231F20"/>
              </w:rPr>
              <w:t>—</w:t>
            </w:r>
          </w:p>
        </w:tc>
        <w:tc>
          <w:tcPr>
            <w:tcW w:w="340" w:type="dxa"/>
            <w:vAlign w:val="bottom"/>
          </w:tcPr>
          <w:p>
            <w:pPr>
              <w:spacing w:after="0"/>
              <w:rPr>
                <w:sz w:val="21"/>
                <w:szCs w:val="21"/>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231F20"/>
              </w:rPr>
              <w:t>—</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3.9</w:t>
            </w:r>
          </w:p>
        </w:tc>
        <w:tc>
          <w:tcPr>
            <w:tcW w:w="0" w:type="dxa"/>
            <w:vAlign w:val="bottom"/>
          </w:tcPr>
          <w:p>
            <w:pPr>
              <w:spacing w:after="0"/>
              <w:rPr>
                <w:sz w:val="1"/>
                <w:szCs w:val="1"/>
                <w:color w:val="auto"/>
              </w:rPr>
            </w:pPr>
          </w:p>
        </w:tc>
      </w:tr>
      <w:tr>
        <w:trPr>
          <w:trHeight w:val="247"/>
        </w:trPr>
        <w:tc>
          <w:tcPr>
            <w:tcW w:w="6060" w:type="dxa"/>
            <w:vAlign w:val="bottom"/>
          </w:tcPr>
          <w:p>
            <w:pPr>
              <w:ind w:left="540"/>
              <w:spacing w:after="0"/>
              <w:rPr>
                <w:sz w:val="20"/>
                <w:szCs w:val="20"/>
                <w:color w:val="auto"/>
              </w:rPr>
            </w:pPr>
            <w:r>
              <w:rPr>
                <w:rFonts w:ascii="Times New Roman" w:cs="Times New Roman" w:eastAsia="Times New Roman" w:hAnsi="Times New Roman"/>
                <w:sz w:val="16"/>
                <w:szCs w:val="16"/>
                <w:color w:val="231F20"/>
              </w:rPr>
              <w:t>Purchases of investments</w:t>
            </w:r>
          </w:p>
        </w:tc>
        <w:tc>
          <w:tcPr>
            <w:tcW w:w="280" w:type="dxa"/>
            <w:vAlign w:val="bottom"/>
          </w:tcPr>
          <w:p>
            <w:pPr>
              <w:spacing w:after="0"/>
              <w:rPr>
                <w:sz w:val="21"/>
                <w:szCs w:val="21"/>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(134.0)</w:t>
            </w:r>
          </w:p>
        </w:tc>
        <w:tc>
          <w:tcPr>
            <w:tcW w:w="340" w:type="dxa"/>
            <w:vAlign w:val="bottom"/>
          </w:tcPr>
          <w:p>
            <w:pPr>
              <w:spacing w:after="0"/>
              <w:rPr>
                <w:sz w:val="21"/>
                <w:szCs w:val="21"/>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(10.8)</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(1.5)</w:t>
            </w:r>
          </w:p>
        </w:tc>
        <w:tc>
          <w:tcPr>
            <w:tcW w:w="0" w:type="dxa"/>
            <w:vAlign w:val="bottom"/>
          </w:tcPr>
          <w:p>
            <w:pPr>
              <w:spacing w:after="0"/>
              <w:rPr>
                <w:sz w:val="1"/>
                <w:szCs w:val="1"/>
                <w:color w:val="auto"/>
              </w:rPr>
            </w:pPr>
          </w:p>
        </w:tc>
      </w:tr>
      <w:tr>
        <w:trPr>
          <w:trHeight w:val="254"/>
        </w:trPr>
        <w:tc>
          <w:tcPr>
            <w:tcW w:w="6060" w:type="dxa"/>
            <w:vAlign w:val="bottom"/>
          </w:tcPr>
          <w:p>
            <w:pPr>
              <w:ind w:left="540"/>
              <w:spacing w:after="0"/>
              <w:rPr>
                <w:sz w:val="20"/>
                <w:szCs w:val="20"/>
                <w:color w:val="auto"/>
              </w:rPr>
            </w:pPr>
            <w:r>
              <w:rPr>
                <w:rFonts w:ascii="Times New Roman" w:cs="Times New Roman" w:eastAsia="Times New Roman" w:hAnsi="Times New Roman"/>
                <w:sz w:val="16"/>
                <w:szCs w:val="16"/>
                <w:color w:val="231F20"/>
              </w:rPr>
              <w:t>Acquisition of businesses, net of cash acquired</w:t>
            </w:r>
          </w:p>
        </w:tc>
        <w:tc>
          <w:tcPr>
            <w:tcW w:w="28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(20.1)</w:t>
            </w:r>
          </w:p>
        </w:tc>
        <w:tc>
          <w:tcPr>
            <w:tcW w:w="34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16"/>
                <w:szCs w:val="16"/>
                <w:color w:val="231F20"/>
              </w:rPr>
              <w:t>(54.1)</w:t>
            </w:r>
          </w:p>
        </w:tc>
        <w:tc>
          <w:tcPr>
            <w:tcW w:w="320" w:type="dxa"/>
            <w:vAlign w:val="bottom"/>
            <w:tcBorders>
              <w:bottom w:val="single" w:sz="8" w:color="231F20"/>
            </w:tcBorders>
          </w:tcPr>
          <w:p>
            <w:pPr>
              <w:spacing w:after="0"/>
              <w:rPr>
                <w:sz w:val="22"/>
                <w:szCs w:val="22"/>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(546.3)</w:t>
            </w:r>
          </w:p>
        </w:tc>
        <w:tc>
          <w:tcPr>
            <w:tcW w:w="0" w:type="dxa"/>
            <w:vAlign w:val="bottom"/>
          </w:tcPr>
          <w:p>
            <w:pPr>
              <w:spacing w:after="0"/>
              <w:rPr>
                <w:sz w:val="1"/>
                <w:szCs w:val="1"/>
                <w:color w:val="auto"/>
              </w:rPr>
            </w:pPr>
          </w:p>
        </w:tc>
      </w:tr>
      <w:tr>
        <w:trPr>
          <w:trHeight w:val="250"/>
        </w:trPr>
        <w:tc>
          <w:tcPr>
            <w:tcW w:w="60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231F20"/>
              </w:rPr>
              <w:t>Net cash (used in) provided by investing activities</w:t>
            </w:r>
          </w:p>
        </w:tc>
        <w:tc>
          <w:tcPr>
            <w:tcW w:w="280" w:type="dxa"/>
            <w:vAlign w:val="bottom"/>
          </w:tcPr>
          <w:p>
            <w:pPr>
              <w:spacing w:after="0"/>
              <w:rPr>
                <w:sz w:val="21"/>
                <w:szCs w:val="21"/>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(512.5)</w:t>
            </w:r>
          </w:p>
        </w:tc>
        <w:tc>
          <w:tcPr>
            <w:tcW w:w="340" w:type="dxa"/>
            <w:vAlign w:val="bottom"/>
          </w:tcPr>
          <w:p>
            <w:pPr>
              <w:spacing w:after="0"/>
              <w:rPr>
                <w:sz w:val="21"/>
                <w:szCs w:val="21"/>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231F20"/>
              </w:rPr>
              <w:t>388.8</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(887.4)</w:t>
            </w:r>
          </w:p>
        </w:tc>
        <w:tc>
          <w:tcPr>
            <w:tcW w:w="0" w:type="dxa"/>
            <w:vAlign w:val="bottom"/>
          </w:tcPr>
          <w:p>
            <w:pPr>
              <w:spacing w:after="0"/>
              <w:rPr>
                <w:sz w:val="1"/>
                <w:szCs w:val="1"/>
                <w:color w:val="auto"/>
              </w:rPr>
            </w:pPr>
          </w:p>
        </w:tc>
      </w:tr>
      <w:tr>
        <w:trPr>
          <w:trHeight w:val="233"/>
        </w:trPr>
        <w:tc>
          <w:tcPr>
            <w:tcW w:w="60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231F20"/>
              </w:rPr>
              <w:t>Financing activities:</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60" w:type="dxa"/>
            <w:vAlign w:val="bottom"/>
          </w:tcPr>
          <w:p>
            <w:pPr>
              <w:ind w:left="540"/>
              <w:spacing w:after="0"/>
              <w:rPr>
                <w:sz w:val="20"/>
                <w:szCs w:val="20"/>
                <w:color w:val="auto"/>
              </w:rPr>
            </w:pPr>
            <w:r>
              <w:rPr>
                <w:rFonts w:ascii="Times New Roman" w:cs="Times New Roman" w:eastAsia="Times New Roman" w:hAnsi="Times New Roman"/>
                <w:sz w:val="16"/>
                <w:szCs w:val="16"/>
                <w:color w:val="231F20"/>
              </w:rPr>
              <w:t>Payments on term loans</w:t>
            </w:r>
          </w:p>
        </w:tc>
        <w:tc>
          <w:tcPr>
            <w:tcW w:w="28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231F20"/>
              </w:rPr>
              <w:t>—</w:t>
            </w:r>
          </w:p>
        </w:tc>
        <w:tc>
          <w:tcPr>
            <w:tcW w:w="340" w:type="dxa"/>
            <w:vAlign w:val="bottom"/>
          </w:tcPr>
          <w:p>
            <w:pPr>
              <w:spacing w:after="0"/>
              <w:rPr>
                <w:sz w:val="20"/>
                <w:szCs w:val="20"/>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(638.1)</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(60.0)</w:t>
            </w:r>
          </w:p>
        </w:tc>
        <w:tc>
          <w:tcPr>
            <w:tcW w:w="0" w:type="dxa"/>
            <w:vAlign w:val="bottom"/>
          </w:tcPr>
          <w:p>
            <w:pPr>
              <w:spacing w:after="0"/>
              <w:rPr>
                <w:sz w:val="1"/>
                <w:szCs w:val="1"/>
                <w:color w:val="auto"/>
              </w:rPr>
            </w:pPr>
          </w:p>
        </w:tc>
      </w:tr>
      <w:tr>
        <w:trPr>
          <w:trHeight w:val="233"/>
        </w:trPr>
        <w:tc>
          <w:tcPr>
            <w:tcW w:w="6060" w:type="dxa"/>
            <w:vAlign w:val="bottom"/>
          </w:tcPr>
          <w:p>
            <w:pPr>
              <w:ind w:left="540"/>
              <w:spacing w:after="0"/>
              <w:rPr>
                <w:sz w:val="20"/>
                <w:szCs w:val="20"/>
                <w:color w:val="auto"/>
              </w:rPr>
            </w:pPr>
            <w:r>
              <w:rPr>
                <w:rFonts w:ascii="Times New Roman" w:cs="Times New Roman" w:eastAsia="Times New Roman" w:hAnsi="Times New Roman"/>
                <w:sz w:val="16"/>
                <w:szCs w:val="16"/>
                <w:color w:val="231F20"/>
              </w:rPr>
              <w:t>Payments on Private Placement Senior Notes</w:t>
            </w:r>
          </w:p>
        </w:tc>
        <w:tc>
          <w:tcPr>
            <w:tcW w:w="280" w:type="dxa"/>
            <w:vAlign w:val="bottom"/>
          </w:tcPr>
          <w:p>
            <w:pPr>
              <w:spacing w:after="0"/>
              <w:rPr>
                <w:sz w:val="20"/>
                <w:szCs w:val="20"/>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(125.0)</w:t>
            </w:r>
          </w:p>
        </w:tc>
        <w:tc>
          <w:tcPr>
            <w:tcW w:w="340" w:type="dxa"/>
            <w:vAlign w:val="bottom"/>
          </w:tcPr>
          <w:p>
            <w:pPr>
              <w:spacing w:after="0"/>
              <w:rPr>
                <w:sz w:val="20"/>
                <w:szCs w:val="20"/>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(80.0)</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233"/>
        </w:trPr>
        <w:tc>
          <w:tcPr>
            <w:tcW w:w="6060" w:type="dxa"/>
            <w:vAlign w:val="bottom"/>
          </w:tcPr>
          <w:p>
            <w:pPr>
              <w:ind w:left="540"/>
              <w:spacing w:after="0"/>
              <w:rPr>
                <w:sz w:val="20"/>
                <w:szCs w:val="20"/>
                <w:color w:val="auto"/>
              </w:rPr>
            </w:pPr>
            <w:r>
              <w:rPr>
                <w:rFonts w:ascii="Times New Roman" w:cs="Times New Roman" w:eastAsia="Times New Roman" w:hAnsi="Times New Roman"/>
                <w:sz w:val="16"/>
                <w:szCs w:val="16"/>
                <w:color w:val="231F20"/>
              </w:rPr>
              <w:t>Proceeds (payments) under credit facilities, net</w:t>
            </w:r>
          </w:p>
        </w:tc>
        <w:tc>
          <w:tcPr>
            <w:tcW w:w="28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231F20"/>
              </w:rPr>
              <w:t>3.0</w:t>
            </w:r>
          </w:p>
        </w:tc>
        <w:tc>
          <w:tcPr>
            <w:tcW w:w="340" w:type="dxa"/>
            <w:vAlign w:val="bottom"/>
          </w:tcPr>
          <w:p>
            <w:pPr>
              <w:spacing w:after="0"/>
              <w:rPr>
                <w:sz w:val="20"/>
                <w:szCs w:val="20"/>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(446.3)</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181.5</w:t>
            </w:r>
          </w:p>
        </w:tc>
        <w:tc>
          <w:tcPr>
            <w:tcW w:w="0" w:type="dxa"/>
            <w:vAlign w:val="bottom"/>
          </w:tcPr>
          <w:p>
            <w:pPr>
              <w:spacing w:after="0"/>
              <w:rPr>
                <w:sz w:val="1"/>
                <w:szCs w:val="1"/>
                <w:color w:val="auto"/>
              </w:rPr>
            </w:pPr>
          </w:p>
        </w:tc>
      </w:tr>
      <w:tr>
        <w:trPr>
          <w:trHeight w:val="233"/>
        </w:trPr>
        <w:tc>
          <w:tcPr>
            <w:tcW w:w="6060" w:type="dxa"/>
            <w:vAlign w:val="bottom"/>
          </w:tcPr>
          <w:p>
            <w:pPr>
              <w:ind w:left="540"/>
              <w:spacing w:after="0"/>
              <w:rPr>
                <w:sz w:val="20"/>
                <w:szCs w:val="20"/>
                <w:color w:val="auto"/>
              </w:rPr>
            </w:pPr>
            <w:r>
              <w:rPr>
                <w:rFonts w:ascii="Times New Roman" w:cs="Times New Roman" w:eastAsia="Times New Roman" w:hAnsi="Times New Roman"/>
                <w:sz w:val="16"/>
                <w:szCs w:val="16"/>
                <w:color w:val="231F20"/>
              </w:rPr>
              <w:t>Deferred financing fees and debt issuance costs</w:t>
            </w:r>
          </w:p>
        </w:tc>
        <w:tc>
          <w:tcPr>
            <w:tcW w:w="28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231F20"/>
              </w:rPr>
              <w:t>—</w:t>
            </w:r>
          </w:p>
        </w:tc>
        <w:tc>
          <w:tcPr>
            <w:tcW w:w="340" w:type="dxa"/>
            <w:vAlign w:val="bottom"/>
          </w:tcPr>
          <w:p>
            <w:pPr>
              <w:spacing w:after="0"/>
              <w:rPr>
                <w:sz w:val="20"/>
                <w:szCs w:val="20"/>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(2.3)</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233"/>
        </w:trPr>
        <w:tc>
          <w:tcPr>
            <w:tcW w:w="6060" w:type="dxa"/>
            <w:vAlign w:val="bottom"/>
          </w:tcPr>
          <w:p>
            <w:pPr>
              <w:ind w:left="540"/>
              <w:spacing w:after="0"/>
              <w:rPr>
                <w:sz w:val="20"/>
                <w:szCs w:val="20"/>
                <w:color w:val="auto"/>
              </w:rPr>
            </w:pPr>
            <w:r>
              <w:rPr>
                <w:rFonts w:ascii="Times New Roman" w:cs="Times New Roman" w:eastAsia="Times New Roman" w:hAnsi="Times New Roman"/>
                <w:sz w:val="16"/>
                <w:szCs w:val="16"/>
                <w:color w:val="231F20"/>
              </w:rPr>
              <w:t>Acquisition related deferred or contingent consideration</w:t>
            </w:r>
          </w:p>
        </w:tc>
        <w:tc>
          <w:tcPr>
            <w:tcW w:w="280" w:type="dxa"/>
            <w:vAlign w:val="bottom"/>
          </w:tcPr>
          <w:p>
            <w:pPr>
              <w:spacing w:after="0"/>
              <w:rPr>
                <w:sz w:val="20"/>
                <w:szCs w:val="20"/>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(0.4)</w:t>
            </w:r>
          </w:p>
        </w:tc>
        <w:tc>
          <w:tcPr>
            <w:tcW w:w="340" w:type="dxa"/>
            <w:vAlign w:val="bottom"/>
          </w:tcPr>
          <w:p>
            <w:pPr>
              <w:spacing w:after="0"/>
              <w:rPr>
                <w:sz w:val="20"/>
                <w:szCs w:val="20"/>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(0.4)</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(6.2)</w:t>
            </w:r>
          </w:p>
        </w:tc>
        <w:tc>
          <w:tcPr>
            <w:tcW w:w="0" w:type="dxa"/>
            <w:vAlign w:val="bottom"/>
          </w:tcPr>
          <w:p>
            <w:pPr>
              <w:spacing w:after="0"/>
              <w:rPr>
                <w:sz w:val="1"/>
                <w:szCs w:val="1"/>
                <w:color w:val="auto"/>
              </w:rPr>
            </w:pPr>
          </w:p>
        </w:tc>
      </w:tr>
      <w:tr>
        <w:trPr>
          <w:trHeight w:val="233"/>
        </w:trPr>
        <w:tc>
          <w:tcPr>
            <w:tcW w:w="6060" w:type="dxa"/>
            <w:vAlign w:val="bottom"/>
          </w:tcPr>
          <w:p>
            <w:pPr>
              <w:ind w:left="540"/>
              <w:spacing w:after="0"/>
              <w:rPr>
                <w:sz w:val="20"/>
                <w:szCs w:val="20"/>
                <w:color w:val="auto"/>
              </w:rPr>
            </w:pPr>
            <w:r>
              <w:rPr>
                <w:rFonts w:ascii="Times New Roman" w:cs="Times New Roman" w:eastAsia="Times New Roman" w:hAnsi="Times New Roman"/>
                <w:sz w:val="16"/>
                <w:szCs w:val="16"/>
                <w:color w:val="231F20"/>
              </w:rPr>
              <w:t>Repurchases of ordinary shares</w:t>
            </w:r>
          </w:p>
        </w:tc>
        <w:tc>
          <w:tcPr>
            <w:tcW w:w="280" w:type="dxa"/>
            <w:vAlign w:val="bottom"/>
          </w:tcPr>
          <w:p>
            <w:pPr>
              <w:spacing w:after="0"/>
              <w:rPr>
                <w:sz w:val="20"/>
                <w:szCs w:val="20"/>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(235.5)</w:t>
            </w:r>
          </w:p>
        </w:tc>
        <w:tc>
          <w:tcPr>
            <w:tcW w:w="340" w:type="dxa"/>
            <w:vAlign w:val="bottom"/>
          </w:tcPr>
          <w:p>
            <w:pPr>
              <w:spacing w:after="0"/>
              <w:rPr>
                <w:sz w:val="20"/>
                <w:szCs w:val="20"/>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(211.3)</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(11.8)</w:t>
            </w:r>
          </w:p>
        </w:tc>
        <w:tc>
          <w:tcPr>
            <w:tcW w:w="0" w:type="dxa"/>
            <w:vAlign w:val="bottom"/>
          </w:tcPr>
          <w:p>
            <w:pPr>
              <w:spacing w:after="0"/>
              <w:rPr>
                <w:sz w:val="1"/>
                <w:szCs w:val="1"/>
                <w:color w:val="auto"/>
              </w:rPr>
            </w:pPr>
          </w:p>
        </w:tc>
      </w:tr>
      <w:tr>
        <w:trPr>
          <w:trHeight w:val="233"/>
        </w:trPr>
        <w:tc>
          <w:tcPr>
            <w:tcW w:w="6060" w:type="dxa"/>
            <w:vAlign w:val="bottom"/>
          </w:tcPr>
          <w:p>
            <w:pPr>
              <w:ind w:left="540"/>
              <w:spacing w:after="0"/>
              <w:rPr>
                <w:sz w:val="20"/>
                <w:szCs w:val="20"/>
                <w:color w:val="auto"/>
              </w:rPr>
            </w:pPr>
            <w:r>
              <w:rPr>
                <w:rFonts w:ascii="Times New Roman" w:cs="Times New Roman" w:eastAsia="Times New Roman" w:hAnsi="Times New Roman"/>
                <w:sz w:val="16"/>
                <w:szCs w:val="16"/>
                <w:color w:val="231F20"/>
              </w:rPr>
              <w:t>Cash dividends paid to ordinary shareholders</w:t>
            </w:r>
          </w:p>
        </w:tc>
        <w:tc>
          <w:tcPr>
            <w:tcW w:w="280" w:type="dxa"/>
            <w:vAlign w:val="bottom"/>
          </w:tcPr>
          <w:p>
            <w:pPr>
              <w:spacing w:after="0"/>
              <w:rPr>
                <w:sz w:val="20"/>
                <w:szCs w:val="20"/>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(241.8)</w:t>
            </w:r>
          </w:p>
        </w:tc>
        <w:tc>
          <w:tcPr>
            <w:tcW w:w="340" w:type="dxa"/>
            <w:vAlign w:val="bottom"/>
          </w:tcPr>
          <w:p>
            <w:pPr>
              <w:spacing w:after="0"/>
              <w:rPr>
                <w:sz w:val="20"/>
                <w:szCs w:val="20"/>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(219.9)</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(200.6)</w:t>
            </w:r>
          </w:p>
        </w:tc>
        <w:tc>
          <w:tcPr>
            <w:tcW w:w="0" w:type="dxa"/>
            <w:vAlign w:val="bottom"/>
          </w:tcPr>
          <w:p>
            <w:pPr>
              <w:spacing w:after="0"/>
              <w:rPr>
                <w:sz w:val="1"/>
                <w:szCs w:val="1"/>
                <w:color w:val="auto"/>
              </w:rPr>
            </w:pPr>
          </w:p>
        </w:tc>
      </w:tr>
      <w:tr>
        <w:trPr>
          <w:trHeight w:val="233"/>
        </w:trPr>
        <w:tc>
          <w:tcPr>
            <w:tcW w:w="6060" w:type="dxa"/>
            <w:vAlign w:val="bottom"/>
          </w:tcPr>
          <w:p>
            <w:pPr>
              <w:ind w:left="540"/>
              <w:spacing w:after="0"/>
              <w:rPr>
                <w:sz w:val="20"/>
                <w:szCs w:val="20"/>
                <w:color w:val="auto"/>
              </w:rPr>
            </w:pPr>
            <w:r>
              <w:rPr>
                <w:rFonts w:ascii="Times New Roman" w:cs="Times New Roman" w:eastAsia="Times New Roman" w:hAnsi="Times New Roman"/>
                <w:sz w:val="16"/>
                <w:szCs w:val="16"/>
                <w:color w:val="231F20"/>
              </w:rPr>
              <w:t>Distributions to noncontrolling interest holders</w:t>
            </w:r>
          </w:p>
        </w:tc>
        <w:tc>
          <w:tcPr>
            <w:tcW w:w="280" w:type="dxa"/>
            <w:vAlign w:val="bottom"/>
          </w:tcPr>
          <w:p>
            <w:pPr>
              <w:spacing w:after="0"/>
              <w:rPr>
                <w:sz w:val="20"/>
                <w:szCs w:val="20"/>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(1.4)</w:t>
            </w:r>
          </w:p>
        </w:tc>
        <w:tc>
          <w:tcPr>
            <w:tcW w:w="340" w:type="dxa"/>
            <w:vAlign w:val="bottom"/>
          </w:tcPr>
          <w:p>
            <w:pPr>
              <w:spacing w:after="0"/>
              <w:rPr>
                <w:sz w:val="20"/>
                <w:szCs w:val="20"/>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(2.1)</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(1.6)</w:t>
            </w:r>
          </w:p>
        </w:tc>
        <w:tc>
          <w:tcPr>
            <w:tcW w:w="0" w:type="dxa"/>
            <w:vAlign w:val="bottom"/>
          </w:tcPr>
          <w:p>
            <w:pPr>
              <w:spacing w:after="0"/>
              <w:rPr>
                <w:sz w:val="1"/>
                <w:szCs w:val="1"/>
                <w:color w:val="auto"/>
              </w:rPr>
            </w:pPr>
          </w:p>
        </w:tc>
      </w:tr>
      <w:tr>
        <w:trPr>
          <w:trHeight w:val="233"/>
        </w:trPr>
        <w:tc>
          <w:tcPr>
            <w:tcW w:w="6060" w:type="dxa"/>
            <w:vAlign w:val="bottom"/>
          </w:tcPr>
          <w:p>
            <w:pPr>
              <w:ind w:left="540"/>
              <w:spacing w:after="0"/>
              <w:rPr>
                <w:sz w:val="20"/>
                <w:szCs w:val="20"/>
                <w:color w:val="auto"/>
              </w:rPr>
            </w:pPr>
            <w:r>
              <w:rPr>
                <w:rFonts w:ascii="Times New Roman" w:cs="Times New Roman" w:eastAsia="Times New Roman" w:hAnsi="Times New Roman"/>
                <w:sz w:val="16"/>
                <w:szCs w:val="16"/>
                <w:color w:val="231F20"/>
              </w:rPr>
              <w:t>Contributions from noncontrolling interest holders</w:t>
            </w:r>
          </w:p>
        </w:tc>
        <w:tc>
          <w:tcPr>
            <w:tcW w:w="28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231F20"/>
              </w:rPr>
              <w:t>—</w:t>
            </w:r>
          </w:p>
        </w:tc>
        <w:tc>
          <w:tcPr>
            <w:tcW w:w="340" w:type="dxa"/>
            <w:vAlign w:val="bottom"/>
          </w:tcPr>
          <w:p>
            <w:pPr>
              <w:spacing w:after="0"/>
              <w:rPr>
                <w:sz w:val="20"/>
                <w:szCs w:val="20"/>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231F20"/>
              </w:rPr>
              <w:t>2.5</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3.0</w:t>
            </w:r>
          </w:p>
        </w:tc>
        <w:tc>
          <w:tcPr>
            <w:tcW w:w="0" w:type="dxa"/>
            <w:vAlign w:val="bottom"/>
          </w:tcPr>
          <w:p>
            <w:pPr>
              <w:spacing w:after="0"/>
              <w:rPr>
                <w:sz w:val="1"/>
                <w:szCs w:val="1"/>
                <w:color w:val="auto"/>
              </w:rPr>
            </w:pPr>
          </w:p>
        </w:tc>
      </w:tr>
      <w:tr>
        <w:trPr>
          <w:trHeight w:val="239"/>
        </w:trPr>
        <w:tc>
          <w:tcPr>
            <w:tcW w:w="6060" w:type="dxa"/>
            <w:vAlign w:val="bottom"/>
          </w:tcPr>
          <w:p>
            <w:pPr>
              <w:ind w:left="540"/>
              <w:spacing w:after="0"/>
              <w:rPr>
                <w:sz w:val="20"/>
                <w:szCs w:val="20"/>
                <w:color w:val="auto"/>
              </w:rPr>
            </w:pPr>
            <w:r>
              <w:rPr>
                <w:rFonts w:ascii="Times New Roman" w:cs="Times New Roman" w:eastAsia="Times New Roman" w:hAnsi="Times New Roman"/>
                <w:sz w:val="16"/>
                <w:szCs w:val="16"/>
                <w:color w:val="231F20"/>
              </w:rPr>
              <w:t>Stock option and other equity transactions, net</w:t>
            </w:r>
          </w:p>
        </w:tc>
        <w:tc>
          <w:tcPr>
            <w:tcW w:w="28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231F20"/>
              </w:rPr>
              <w:t>32.9</w:t>
            </w:r>
          </w:p>
        </w:tc>
        <w:tc>
          <w:tcPr>
            <w:tcW w:w="340" w:type="dxa"/>
            <w:vAlign w:val="bottom"/>
            <w:tcBorders>
              <w:bottom w:val="single" w:sz="8" w:color="231F20"/>
            </w:tcBorders>
          </w:tcPr>
          <w:p>
            <w:pPr>
              <w:spacing w:after="0"/>
              <w:rPr>
                <w:sz w:val="20"/>
                <w:szCs w:val="20"/>
                <w:color w:val="auto"/>
              </w:rPr>
            </w:pPr>
          </w:p>
        </w:tc>
        <w:tc>
          <w:tcPr>
            <w:tcW w:w="1060" w:type="dxa"/>
            <w:vAlign w:val="bottom"/>
            <w:tcBorders>
              <w:bottom w:val="single" w:sz="8" w:color="231F20"/>
            </w:tcBorders>
          </w:tcPr>
          <w:p>
            <w:pPr>
              <w:jc w:val="right"/>
              <w:ind w:right="42"/>
              <w:spacing w:after="0"/>
              <w:rPr>
                <w:sz w:val="20"/>
                <w:szCs w:val="20"/>
                <w:color w:val="auto"/>
              </w:rPr>
            </w:pPr>
            <w:r>
              <w:rPr>
                <w:rFonts w:ascii="Times New Roman" w:cs="Times New Roman" w:eastAsia="Times New Roman" w:hAnsi="Times New Roman"/>
                <w:sz w:val="16"/>
                <w:szCs w:val="16"/>
                <w:color w:val="231F20"/>
              </w:rPr>
              <w:t>25.5</w:t>
            </w:r>
          </w:p>
        </w:tc>
        <w:tc>
          <w:tcPr>
            <w:tcW w:w="32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10.5</w:t>
            </w:r>
          </w:p>
        </w:tc>
        <w:tc>
          <w:tcPr>
            <w:tcW w:w="0" w:type="dxa"/>
            <w:vAlign w:val="bottom"/>
          </w:tcPr>
          <w:p>
            <w:pPr>
              <w:spacing w:after="0"/>
              <w:rPr>
                <w:sz w:val="1"/>
                <w:szCs w:val="1"/>
                <w:color w:val="auto"/>
              </w:rPr>
            </w:pPr>
          </w:p>
        </w:tc>
      </w:tr>
      <w:tr>
        <w:trPr>
          <w:trHeight w:val="250"/>
        </w:trPr>
        <w:tc>
          <w:tcPr>
            <w:tcW w:w="60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231F20"/>
              </w:rPr>
              <w:t>Net cash used in financing activities</w:t>
            </w:r>
          </w:p>
        </w:tc>
        <w:tc>
          <w:tcPr>
            <w:tcW w:w="280" w:type="dxa"/>
            <w:vAlign w:val="bottom"/>
          </w:tcPr>
          <w:p>
            <w:pPr>
              <w:spacing w:after="0"/>
              <w:rPr>
                <w:sz w:val="21"/>
                <w:szCs w:val="21"/>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(568.2)</w:t>
            </w:r>
          </w:p>
        </w:tc>
        <w:tc>
          <w:tcPr>
            <w:tcW w:w="340" w:type="dxa"/>
            <w:vAlign w:val="bottom"/>
          </w:tcPr>
          <w:p>
            <w:pPr>
              <w:spacing w:after="0"/>
              <w:rPr>
                <w:sz w:val="21"/>
                <w:szCs w:val="21"/>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(1,572.4)</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(85.2)</w:t>
            </w:r>
          </w:p>
        </w:tc>
        <w:tc>
          <w:tcPr>
            <w:tcW w:w="0" w:type="dxa"/>
            <w:vAlign w:val="bottom"/>
          </w:tcPr>
          <w:p>
            <w:pPr>
              <w:spacing w:after="0"/>
              <w:rPr>
                <w:sz w:val="1"/>
                <w:szCs w:val="1"/>
                <w:color w:val="auto"/>
              </w:rPr>
            </w:pPr>
          </w:p>
        </w:tc>
      </w:tr>
      <w:tr>
        <w:trPr>
          <w:trHeight w:val="283"/>
        </w:trPr>
        <w:tc>
          <w:tcPr>
            <w:tcW w:w="606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Effect of exchange rate changes on cash and cash equivalents</w:t>
            </w:r>
          </w:p>
        </w:tc>
        <w:tc>
          <w:tcPr>
            <w:tcW w:w="28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231F20"/>
              </w:rPr>
              <w:t>7.2</w:t>
            </w:r>
          </w:p>
        </w:tc>
        <w:tc>
          <w:tcPr>
            <w:tcW w:w="34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ind w:right="42"/>
              <w:spacing w:after="0"/>
              <w:rPr>
                <w:sz w:val="20"/>
                <w:szCs w:val="20"/>
                <w:color w:val="auto"/>
              </w:rPr>
            </w:pPr>
            <w:r>
              <w:rPr>
                <w:rFonts w:ascii="Times New Roman" w:cs="Times New Roman" w:eastAsia="Times New Roman" w:hAnsi="Times New Roman"/>
                <w:sz w:val="16"/>
                <w:szCs w:val="16"/>
                <w:color w:val="231F20"/>
              </w:rPr>
              <w:t>0.2</w:t>
            </w:r>
          </w:p>
        </w:tc>
        <w:tc>
          <w:tcPr>
            <w:tcW w:w="32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(2.1)</w:t>
            </w:r>
          </w:p>
        </w:tc>
        <w:tc>
          <w:tcPr>
            <w:tcW w:w="0" w:type="dxa"/>
            <w:vAlign w:val="bottom"/>
          </w:tcPr>
          <w:p>
            <w:pPr>
              <w:spacing w:after="0"/>
              <w:rPr>
                <w:sz w:val="1"/>
                <w:szCs w:val="1"/>
                <w:color w:val="auto"/>
              </w:rPr>
            </w:pPr>
          </w:p>
        </w:tc>
      </w:tr>
      <w:tr>
        <w:trPr>
          <w:trHeight w:val="250"/>
        </w:trPr>
        <w:tc>
          <w:tcPr>
            <w:tcW w:w="606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Increase (decrease) in cash and cash equivalents</w:t>
            </w:r>
          </w:p>
        </w:tc>
        <w:tc>
          <w:tcPr>
            <w:tcW w:w="280" w:type="dxa"/>
            <w:vAlign w:val="bottom"/>
          </w:tcPr>
          <w:p>
            <w:pPr>
              <w:spacing w:after="0"/>
              <w:rPr>
                <w:sz w:val="21"/>
                <w:szCs w:val="21"/>
                <w:color w:val="auto"/>
              </w:rPr>
            </w:pP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231F20"/>
              </w:rPr>
              <w:t>267.9</w:t>
            </w:r>
          </w:p>
        </w:tc>
        <w:tc>
          <w:tcPr>
            <w:tcW w:w="340" w:type="dxa"/>
            <w:vAlign w:val="bottom"/>
          </w:tcPr>
          <w:p>
            <w:pPr>
              <w:spacing w:after="0"/>
              <w:rPr>
                <w:sz w:val="21"/>
                <w:szCs w:val="21"/>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(35.3)</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(1.3)</w:t>
            </w:r>
          </w:p>
        </w:tc>
        <w:tc>
          <w:tcPr>
            <w:tcW w:w="0" w:type="dxa"/>
            <w:vAlign w:val="bottom"/>
          </w:tcPr>
          <w:p>
            <w:pPr>
              <w:spacing w:after="0"/>
              <w:rPr>
                <w:sz w:val="1"/>
                <w:szCs w:val="1"/>
                <w:color w:val="auto"/>
              </w:rPr>
            </w:pPr>
          </w:p>
        </w:tc>
      </w:tr>
      <w:tr>
        <w:trPr>
          <w:trHeight w:val="283"/>
        </w:trPr>
        <w:tc>
          <w:tcPr>
            <w:tcW w:w="606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Cash and cash equivalents at beginning of period</w:t>
            </w:r>
          </w:p>
        </w:tc>
        <w:tc>
          <w:tcPr>
            <w:tcW w:w="28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231F20"/>
              </w:rPr>
              <w:t>171.7</w:t>
            </w:r>
          </w:p>
        </w:tc>
        <w:tc>
          <w:tcPr>
            <w:tcW w:w="34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ind w:right="42"/>
              <w:spacing w:after="0"/>
              <w:rPr>
                <w:sz w:val="20"/>
                <w:szCs w:val="20"/>
                <w:color w:val="auto"/>
              </w:rPr>
            </w:pPr>
            <w:r>
              <w:rPr>
                <w:rFonts w:ascii="Times New Roman" w:cs="Times New Roman" w:eastAsia="Times New Roman" w:hAnsi="Times New Roman"/>
                <w:sz w:val="16"/>
                <w:szCs w:val="16"/>
                <w:color w:val="231F20"/>
              </w:rPr>
              <w:t>207.0</w:t>
            </w:r>
          </w:p>
        </w:tc>
        <w:tc>
          <w:tcPr>
            <w:tcW w:w="32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208.4</w:t>
            </w:r>
          </w:p>
        </w:tc>
        <w:tc>
          <w:tcPr>
            <w:tcW w:w="0" w:type="dxa"/>
            <w:vAlign w:val="bottom"/>
          </w:tcPr>
          <w:p>
            <w:pPr>
              <w:spacing w:after="0"/>
              <w:rPr>
                <w:sz w:val="1"/>
                <w:szCs w:val="1"/>
                <w:color w:val="auto"/>
              </w:rPr>
            </w:pPr>
          </w:p>
        </w:tc>
      </w:tr>
      <w:tr>
        <w:trPr>
          <w:trHeight w:val="266"/>
        </w:trPr>
        <w:tc>
          <w:tcPr>
            <w:tcW w:w="606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Cash and cash equivalents at end of period</w:t>
            </w:r>
          </w:p>
        </w:tc>
        <w:tc>
          <w:tcPr>
            <w:tcW w:w="280" w:type="dxa"/>
            <w:vAlign w:val="bottom"/>
            <w:tcBorders>
              <w:bottom w:val="single" w:sz="8" w:color="231F20"/>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231F20"/>
              </w:rPr>
              <w:t>$</w:t>
            </w:r>
          </w:p>
        </w:tc>
        <w:tc>
          <w:tcPr>
            <w:tcW w:w="940" w:type="dxa"/>
            <w:vAlign w:val="bottom"/>
            <w:tcBorders>
              <w:bottom w:val="single" w:sz="8" w:color="231F20"/>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231F20"/>
              </w:rPr>
              <w:t>439.6</w:t>
            </w:r>
          </w:p>
        </w:tc>
        <w:tc>
          <w:tcPr>
            <w:tcW w:w="340" w:type="dxa"/>
            <w:vAlign w:val="bottom"/>
            <w:tcBorders>
              <w:bottom w:val="single" w:sz="8" w:color="231F20"/>
            </w:tcBorders>
          </w:tcPr>
          <w:p>
            <w:pPr>
              <w:jc w:val="right"/>
              <w:ind w:right="122"/>
              <w:spacing w:after="0"/>
              <w:rPr>
                <w:sz w:val="20"/>
                <w:szCs w:val="20"/>
                <w:color w:val="auto"/>
              </w:rPr>
            </w:pPr>
            <w:r>
              <w:rPr>
                <w:rFonts w:ascii="Times New Roman" w:cs="Times New Roman" w:eastAsia="Times New Roman" w:hAnsi="Times New Roman"/>
                <w:sz w:val="16"/>
                <w:szCs w:val="16"/>
                <w:color w:val="231F20"/>
              </w:rPr>
              <w:t>$</w:t>
            </w:r>
          </w:p>
        </w:tc>
        <w:tc>
          <w:tcPr>
            <w:tcW w:w="1060" w:type="dxa"/>
            <w:vAlign w:val="bottom"/>
            <w:tcBorders>
              <w:bottom w:val="single" w:sz="8" w:color="231F20"/>
            </w:tcBorders>
          </w:tcPr>
          <w:p>
            <w:pPr>
              <w:jc w:val="right"/>
              <w:ind w:right="42"/>
              <w:spacing w:after="0"/>
              <w:rPr>
                <w:sz w:val="20"/>
                <w:szCs w:val="20"/>
                <w:color w:val="auto"/>
              </w:rPr>
            </w:pPr>
            <w:r>
              <w:rPr>
                <w:rFonts w:ascii="Times New Roman" w:cs="Times New Roman" w:eastAsia="Times New Roman" w:hAnsi="Times New Roman"/>
                <w:sz w:val="16"/>
                <w:szCs w:val="16"/>
                <w:color w:val="231F20"/>
              </w:rPr>
              <w:t>171.7</w:t>
            </w:r>
          </w:p>
        </w:tc>
        <w:tc>
          <w:tcPr>
            <w:tcW w:w="320" w:type="dxa"/>
            <w:vAlign w:val="bottom"/>
            <w:tcBorders>
              <w:bottom w:val="single" w:sz="8" w:color="231F20"/>
            </w:tcBorders>
          </w:tcPr>
          <w:p>
            <w:pPr>
              <w:jc w:val="right"/>
              <w:ind w:right="102"/>
              <w:spacing w:after="0"/>
              <w:rPr>
                <w:sz w:val="20"/>
                <w:szCs w:val="20"/>
                <w:color w:val="auto"/>
              </w:rPr>
            </w:pPr>
            <w:r>
              <w:rPr>
                <w:rFonts w:ascii="Times New Roman" w:cs="Times New Roman" w:eastAsia="Times New Roman" w:hAnsi="Times New Roman"/>
                <w:sz w:val="16"/>
                <w:szCs w:val="16"/>
                <w:color w:val="231F20"/>
              </w:rPr>
              <w:t>$</w:t>
            </w: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207.0</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See notes to consolidated financial statements.</w:t>
      </w:r>
    </w:p>
    <w:p>
      <w:pPr>
        <w:sectPr>
          <w:pgSz w:w="11880" w:h="15480" w:orient="portrait"/>
          <w:cols w:equalWidth="0" w:num="1">
            <w:col w:w="9960"/>
          </w:cols>
          <w:pgMar w:left="960" w:top="687"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57</w:t>
      </w:r>
    </w:p>
    <w:p>
      <w:pPr>
        <w:sectPr>
          <w:pgSz w:w="11880" w:h="15480" w:orient="portrait"/>
          <w:cols w:equalWidth="0" w:num="1">
            <w:col w:w="9960"/>
          </w:cols>
          <w:pgMar w:left="960" w:top="687" w:right="960" w:bottom="0" w:gutter="0" w:footer="0" w:header="0"/>
          <w:type w:val="continuous"/>
        </w:sectPr>
      </w:pPr>
    </w:p>
    <w:bookmarkStart w:id="58" w:name="page59"/>
    <w:bookmarkEnd w:id="58"/>
    <w:p>
      <w:pPr>
        <w:jc w:val="center"/>
        <w:ind w:right="60"/>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1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b w:val="1"/>
          <w:bCs w:val="1"/>
          <w:color w:val="231F20"/>
        </w:rPr>
        <w:t>CONSOLIDATED STATEMENTS OF SHAREHOLDERS’ EQUITY</w:t>
      </w:r>
    </w:p>
    <w:p>
      <w:pPr>
        <w:spacing w:after="0" w:line="13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231F20"/>
        </w:rPr>
        <w:t>(in millions, except per share amounts)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82"/>
              <w:spacing w:after="0"/>
              <w:rPr>
                <w:sz w:val="20"/>
                <w:szCs w:val="20"/>
                <w:color w:val="auto"/>
              </w:rPr>
            </w:pPr>
            <w:r>
              <w:rPr>
                <w:rFonts w:ascii="Times New Roman" w:cs="Times New Roman" w:eastAsia="Times New Roman" w:hAnsi="Times New Roman"/>
                <w:sz w:val="16"/>
                <w:szCs w:val="16"/>
                <w:color w:val="231F20"/>
                <w:w w:val="96"/>
              </w:rPr>
              <w:t>Accumulated</w:t>
            </w:r>
          </w:p>
        </w:tc>
        <w:tc>
          <w:tcPr>
            <w:tcW w:w="140" w:type="dxa"/>
            <w:vAlign w:val="bottom"/>
          </w:tcPr>
          <w:p>
            <w:pPr>
              <w:spacing w:after="0"/>
              <w:rPr>
                <w:sz w:val="16"/>
                <w:szCs w:val="16"/>
                <w:color w:val="auto"/>
              </w:rPr>
            </w:pPr>
          </w:p>
        </w:tc>
        <w:tc>
          <w:tcPr>
            <w:tcW w:w="700" w:type="dxa"/>
            <w:vAlign w:val="bottom"/>
            <w:vMerge w:val="restart"/>
          </w:tcPr>
          <w:p>
            <w:pPr>
              <w:jc w:val="center"/>
              <w:ind w:right="102"/>
              <w:spacing w:after="0"/>
              <w:rPr>
                <w:sz w:val="20"/>
                <w:szCs w:val="20"/>
                <w:color w:val="auto"/>
              </w:rPr>
            </w:pPr>
            <w:r>
              <w:rPr>
                <w:rFonts w:ascii="Times New Roman" w:cs="Times New Roman" w:eastAsia="Times New Roman" w:hAnsi="Times New Roman"/>
                <w:sz w:val="16"/>
                <w:szCs w:val="16"/>
                <w:color w:val="231F20"/>
                <w:w w:val="97"/>
              </w:rPr>
              <w:t>Non-</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ind w:right="82"/>
              <w:spacing w:after="0"/>
              <w:rPr>
                <w:sz w:val="20"/>
                <w:szCs w:val="20"/>
                <w:color w:val="auto"/>
              </w:rPr>
            </w:pPr>
            <w:r>
              <w:rPr>
                <w:rFonts w:ascii="Times New Roman" w:cs="Times New Roman" w:eastAsia="Times New Roman" w:hAnsi="Times New Roman"/>
                <w:sz w:val="16"/>
                <w:szCs w:val="16"/>
                <w:color w:val="231F20"/>
                <w:w w:val="94"/>
              </w:rPr>
              <w:t>Retained</w:t>
            </w:r>
          </w:p>
        </w:tc>
        <w:tc>
          <w:tcPr>
            <w:tcW w:w="120" w:type="dxa"/>
            <w:vAlign w:val="bottom"/>
          </w:tcPr>
          <w:p>
            <w:pPr>
              <w:spacing w:after="0"/>
              <w:rPr>
                <w:sz w:val="13"/>
                <w:szCs w:val="13"/>
                <w:color w:val="auto"/>
              </w:rPr>
            </w:pPr>
          </w:p>
        </w:tc>
        <w:tc>
          <w:tcPr>
            <w:tcW w:w="980" w:type="dxa"/>
            <w:vAlign w:val="bottom"/>
          </w:tcPr>
          <w:p>
            <w:pPr>
              <w:jc w:val="center"/>
              <w:ind w:right="82"/>
              <w:spacing w:after="0" w:line="155" w:lineRule="exact"/>
              <w:rPr>
                <w:sz w:val="20"/>
                <w:szCs w:val="20"/>
                <w:color w:val="auto"/>
              </w:rPr>
            </w:pPr>
            <w:r>
              <w:rPr>
                <w:rFonts w:ascii="Times New Roman" w:cs="Times New Roman" w:eastAsia="Times New Roman" w:hAnsi="Times New Roman"/>
                <w:sz w:val="16"/>
                <w:szCs w:val="16"/>
                <w:color w:val="231F20"/>
                <w:w w:val="93"/>
              </w:rPr>
              <w:t>Other</w:t>
            </w: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vMerge w:val="restart"/>
          </w:tcPr>
          <w:p>
            <w:pPr>
              <w:jc w:val="right"/>
              <w:ind w:right="282"/>
              <w:spacing w:after="0"/>
              <w:rPr>
                <w:sz w:val="20"/>
                <w:szCs w:val="20"/>
                <w:color w:val="auto"/>
              </w:rPr>
            </w:pPr>
            <w:r>
              <w:rPr>
                <w:rFonts w:ascii="Times New Roman" w:cs="Times New Roman" w:eastAsia="Times New Roman" w:hAnsi="Times New Roman"/>
                <w:sz w:val="16"/>
                <w:szCs w:val="16"/>
                <w:color w:val="231F20"/>
              </w:rPr>
              <w:t>Total</w:t>
            </w:r>
          </w:p>
        </w:tc>
        <w:tc>
          <w:tcPr>
            <w:tcW w:w="0" w:type="dxa"/>
            <w:vAlign w:val="bottom"/>
          </w:tcPr>
          <w:p>
            <w:pPr>
              <w:spacing w:after="0"/>
              <w:rPr>
                <w:sz w:val="1"/>
                <w:szCs w:val="1"/>
                <w:color w:val="auto"/>
              </w:rPr>
            </w:pPr>
          </w:p>
        </w:tc>
      </w:tr>
      <w:tr>
        <w:trPr>
          <w:trHeight w:val="155"/>
        </w:trPr>
        <w:tc>
          <w:tcPr>
            <w:tcW w:w="4320" w:type="dxa"/>
            <w:vAlign w:val="bottom"/>
          </w:tcPr>
          <w:p>
            <w:pPr>
              <w:spacing w:after="0"/>
              <w:rPr>
                <w:sz w:val="13"/>
                <w:szCs w:val="13"/>
                <w:color w:val="auto"/>
              </w:rPr>
            </w:pPr>
          </w:p>
        </w:tc>
        <w:tc>
          <w:tcPr>
            <w:tcW w:w="1760" w:type="dxa"/>
            <w:vAlign w:val="bottom"/>
            <w:gridSpan w:val="3"/>
            <w:vMerge w:val="restart"/>
          </w:tcPr>
          <w:p>
            <w:pPr>
              <w:jc w:val="right"/>
              <w:ind w:right="282"/>
              <w:spacing w:after="0"/>
              <w:rPr>
                <w:sz w:val="20"/>
                <w:szCs w:val="20"/>
                <w:color w:val="auto"/>
              </w:rPr>
            </w:pPr>
            <w:r>
              <w:rPr>
                <w:rFonts w:ascii="Times New Roman" w:cs="Times New Roman" w:eastAsia="Times New Roman" w:hAnsi="Times New Roman"/>
                <w:sz w:val="16"/>
                <w:szCs w:val="16"/>
                <w:color w:val="231F20"/>
              </w:rPr>
              <w:t>Ordinary Shares</w:t>
            </w: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10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6"/>
                <w:szCs w:val="16"/>
                <w:color w:val="231F20"/>
              </w:rPr>
              <w:t>Comprehensive</w:t>
            </w:r>
          </w:p>
        </w:tc>
        <w:tc>
          <w:tcPr>
            <w:tcW w:w="84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color w:val="231F20"/>
                <w:w w:val="96"/>
              </w:rPr>
              <w:t>controlling</w:t>
            </w:r>
          </w:p>
        </w:tc>
        <w:tc>
          <w:tcPr>
            <w:tcW w:w="2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4320" w:type="dxa"/>
            <w:vAlign w:val="bottom"/>
          </w:tcPr>
          <w:p>
            <w:pPr>
              <w:spacing w:after="0"/>
              <w:rPr>
                <w:sz w:val="18"/>
                <w:szCs w:val="18"/>
                <w:color w:val="auto"/>
              </w:rPr>
            </w:pPr>
          </w:p>
        </w:tc>
        <w:tc>
          <w:tcPr>
            <w:tcW w:w="1760" w:type="dxa"/>
            <w:vAlign w:val="bottom"/>
            <w:tcBorders>
              <w:bottom w:val="single" w:sz="8" w:color="231F20"/>
            </w:tcBorders>
            <w:gridSpan w:val="3"/>
            <w:vMerge w:val="continue"/>
          </w:tcPr>
          <w:p>
            <w:pPr>
              <w:spacing w:after="0"/>
              <w:rPr>
                <w:sz w:val="18"/>
                <w:szCs w:val="18"/>
                <w:color w:val="auto"/>
              </w:rPr>
            </w:pPr>
          </w:p>
        </w:tc>
        <w:tc>
          <w:tcPr>
            <w:tcW w:w="120" w:type="dxa"/>
            <w:vAlign w:val="bottom"/>
            <w:tcBorders>
              <w:bottom w:val="single" w:sz="8" w:color="231F20"/>
            </w:tcBorders>
          </w:tcPr>
          <w:p>
            <w:pPr>
              <w:spacing w:after="0"/>
              <w:rPr>
                <w:sz w:val="18"/>
                <w:szCs w:val="18"/>
                <w:color w:val="auto"/>
              </w:rPr>
            </w:pPr>
          </w:p>
        </w:tc>
        <w:tc>
          <w:tcPr>
            <w:tcW w:w="720" w:type="dxa"/>
            <w:vAlign w:val="bottom"/>
            <w:tcBorders>
              <w:bottom w:val="single" w:sz="8" w:color="231F20"/>
            </w:tcBorders>
          </w:tcPr>
          <w:p>
            <w:pPr>
              <w:jc w:val="right"/>
              <w:ind w:right="82"/>
              <w:spacing w:after="0"/>
              <w:rPr>
                <w:sz w:val="20"/>
                <w:szCs w:val="20"/>
                <w:color w:val="auto"/>
              </w:rPr>
            </w:pPr>
            <w:r>
              <w:rPr>
                <w:rFonts w:ascii="Times New Roman" w:cs="Times New Roman" w:eastAsia="Times New Roman" w:hAnsi="Times New Roman"/>
                <w:sz w:val="16"/>
                <w:szCs w:val="16"/>
                <w:color w:val="231F20"/>
                <w:w w:val="94"/>
              </w:rPr>
              <w:t>Earnings</w:t>
            </w:r>
          </w:p>
        </w:tc>
        <w:tc>
          <w:tcPr>
            <w:tcW w:w="120" w:type="dxa"/>
            <w:vAlign w:val="bottom"/>
            <w:tcBorders>
              <w:bottom w:val="single" w:sz="8" w:color="231F20"/>
            </w:tcBorders>
          </w:tcPr>
          <w:p>
            <w:pPr>
              <w:spacing w:after="0"/>
              <w:rPr>
                <w:sz w:val="18"/>
                <w:szCs w:val="18"/>
                <w:color w:val="auto"/>
              </w:rPr>
            </w:pPr>
          </w:p>
        </w:tc>
        <w:tc>
          <w:tcPr>
            <w:tcW w:w="980" w:type="dxa"/>
            <w:vAlign w:val="bottom"/>
            <w:tcBorders>
              <w:bottom w:val="single" w:sz="8" w:color="231F20"/>
            </w:tcBorders>
          </w:tcPr>
          <w:p>
            <w:pPr>
              <w:jc w:val="center"/>
              <w:ind w:right="82"/>
              <w:spacing w:after="0"/>
              <w:rPr>
                <w:sz w:val="20"/>
                <w:szCs w:val="20"/>
                <w:color w:val="auto"/>
              </w:rPr>
            </w:pPr>
            <w:r>
              <w:rPr>
                <w:rFonts w:ascii="Times New Roman" w:cs="Times New Roman" w:eastAsia="Times New Roman" w:hAnsi="Times New Roman"/>
                <w:sz w:val="16"/>
                <w:szCs w:val="16"/>
                <w:color w:val="231F20"/>
                <w:w w:val="99"/>
              </w:rPr>
              <w:t>Loss</w:t>
            </w:r>
          </w:p>
        </w:tc>
        <w:tc>
          <w:tcPr>
            <w:tcW w:w="140" w:type="dxa"/>
            <w:vAlign w:val="bottom"/>
            <w:tcBorders>
              <w:bottom w:val="single" w:sz="8" w:color="231F20"/>
            </w:tcBorders>
          </w:tcPr>
          <w:p>
            <w:pPr>
              <w:spacing w:after="0"/>
              <w:rPr>
                <w:sz w:val="18"/>
                <w:szCs w:val="18"/>
                <w:color w:val="auto"/>
              </w:rPr>
            </w:pPr>
          </w:p>
        </w:tc>
        <w:tc>
          <w:tcPr>
            <w:tcW w:w="700" w:type="dxa"/>
            <w:vAlign w:val="bottom"/>
            <w:tcBorders>
              <w:bottom w:val="single" w:sz="8" w:color="231F20"/>
            </w:tcBorders>
          </w:tcPr>
          <w:p>
            <w:pPr>
              <w:jc w:val="center"/>
              <w:ind w:right="102"/>
              <w:spacing w:after="0"/>
              <w:rPr>
                <w:sz w:val="20"/>
                <w:szCs w:val="20"/>
                <w:color w:val="auto"/>
              </w:rPr>
            </w:pPr>
            <w:r>
              <w:rPr>
                <w:rFonts w:ascii="Times New Roman" w:cs="Times New Roman" w:eastAsia="Times New Roman" w:hAnsi="Times New Roman"/>
                <w:sz w:val="16"/>
                <w:szCs w:val="16"/>
                <w:color w:val="231F20"/>
                <w:w w:val="99"/>
              </w:rPr>
              <w:t>Interest</w:t>
            </w:r>
          </w:p>
        </w:tc>
        <w:tc>
          <w:tcPr>
            <w:tcW w:w="200" w:type="dxa"/>
            <w:vAlign w:val="bottom"/>
            <w:tcBorders>
              <w:bottom w:val="single" w:sz="8" w:color="231F20"/>
            </w:tcBorders>
          </w:tcPr>
          <w:p>
            <w:pPr>
              <w:spacing w:after="0"/>
              <w:rPr>
                <w:sz w:val="18"/>
                <w:szCs w:val="18"/>
                <w:color w:val="auto"/>
              </w:rPr>
            </w:pPr>
          </w:p>
        </w:tc>
        <w:tc>
          <w:tcPr>
            <w:tcW w:w="840" w:type="dxa"/>
            <w:vAlign w:val="bottom"/>
            <w:tcBorders>
              <w:bottom w:val="single" w:sz="8" w:color="231F20"/>
            </w:tcBorders>
          </w:tcPr>
          <w:p>
            <w:pPr>
              <w:jc w:val="right"/>
              <w:ind w:right="242"/>
              <w:spacing w:after="0"/>
              <w:rPr>
                <w:sz w:val="20"/>
                <w:szCs w:val="20"/>
                <w:color w:val="auto"/>
              </w:rPr>
            </w:pPr>
            <w:r>
              <w:rPr>
                <w:rFonts w:ascii="Times New Roman" w:cs="Times New Roman" w:eastAsia="Times New Roman" w:hAnsi="Times New Roman"/>
                <w:sz w:val="16"/>
                <w:szCs w:val="16"/>
                <w:color w:val="231F20"/>
              </w:rPr>
              <w:t>Equity</w:t>
            </w:r>
          </w:p>
        </w:tc>
        <w:tc>
          <w:tcPr>
            <w:tcW w:w="0" w:type="dxa"/>
            <w:vAlign w:val="bottom"/>
          </w:tcPr>
          <w:p>
            <w:pPr>
              <w:spacing w:after="0"/>
              <w:rPr>
                <w:sz w:val="1"/>
                <w:szCs w:val="1"/>
                <w:color w:val="auto"/>
              </w:rPr>
            </w:pPr>
          </w:p>
        </w:tc>
      </w:tr>
      <w:tr>
        <w:trPr>
          <w:trHeight w:val="207"/>
        </w:trPr>
        <w:tc>
          <w:tcPr>
            <w:tcW w:w="432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231F20"/>
              </w:rPr>
              <w:t>Number</w:t>
            </w:r>
          </w:p>
        </w:tc>
        <w:tc>
          <w:tcPr>
            <w:tcW w:w="180" w:type="dxa"/>
            <w:vAlign w:val="bottom"/>
          </w:tcPr>
          <w:p>
            <w:pPr>
              <w:spacing w:after="0"/>
              <w:rPr>
                <w:sz w:val="17"/>
                <w:szCs w:val="17"/>
                <w:color w:val="auto"/>
              </w:rPr>
            </w:pPr>
          </w:p>
        </w:tc>
        <w:tc>
          <w:tcPr>
            <w:tcW w:w="80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231F20"/>
              </w:rPr>
              <w:t>Amount</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432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Balance at March 31, 2023</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98.6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4,486.4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231F20"/>
              </w:rPr>
              <w:t>1,911.5</w:t>
            </w: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231F20"/>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(320.7)</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231F20"/>
              </w:rPr>
              <w:t>10.0</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231F20"/>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6,087.2</w:t>
            </w:r>
          </w:p>
        </w:tc>
        <w:tc>
          <w:tcPr>
            <w:tcW w:w="0" w:type="dxa"/>
            <w:vAlign w:val="bottom"/>
          </w:tcPr>
          <w:p>
            <w:pPr>
              <w:spacing w:after="0"/>
              <w:rPr>
                <w:sz w:val="1"/>
                <w:szCs w:val="1"/>
                <w:color w:val="auto"/>
              </w:rPr>
            </w:pPr>
          </w:p>
        </w:tc>
      </w:tr>
      <w:tr>
        <w:trPr>
          <w:trHeight w:val="276"/>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231F20"/>
              </w:rPr>
              <w:t>Comprehensive income:</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320" w:type="dxa"/>
            <w:vAlign w:val="bottom"/>
          </w:tcPr>
          <w:p>
            <w:pPr>
              <w:ind w:left="160"/>
              <w:spacing w:after="0"/>
              <w:rPr>
                <w:sz w:val="20"/>
                <w:szCs w:val="20"/>
                <w:color w:val="auto"/>
              </w:rPr>
            </w:pPr>
            <w:r>
              <w:rPr>
                <w:rFonts w:ascii="Times New Roman" w:cs="Times New Roman" w:eastAsia="Times New Roman" w:hAnsi="Times New Roman"/>
                <w:sz w:val="16"/>
                <w:szCs w:val="16"/>
                <w:color w:val="231F20"/>
              </w:rPr>
              <w:t>Net income</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24"/>
                <w:szCs w:val="24"/>
                <w:color w:val="auto"/>
              </w:rPr>
            </w:pP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231F20"/>
              </w:rPr>
              <w:t>378.2</w:t>
            </w:r>
          </w:p>
        </w:tc>
        <w:tc>
          <w:tcPr>
            <w:tcW w:w="1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tcPr>
          <w:p>
            <w:pPr>
              <w:spacing w:after="0"/>
              <w:rPr>
                <w:sz w:val="24"/>
                <w:szCs w:val="24"/>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231F20"/>
              </w:rPr>
              <w:t>1.8</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380.1</w:t>
            </w:r>
          </w:p>
        </w:tc>
        <w:tc>
          <w:tcPr>
            <w:tcW w:w="0" w:type="dxa"/>
            <w:vAlign w:val="bottom"/>
          </w:tcPr>
          <w:p>
            <w:pPr>
              <w:spacing w:after="0"/>
              <w:rPr>
                <w:sz w:val="1"/>
                <w:szCs w:val="1"/>
                <w:color w:val="auto"/>
              </w:rPr>
            </w:pPr>
          </w:p>
        </w:tc>
      </w:tr>
      <w:tr>
        <w:trPr>
          <w:trHeight w:val="276"/>
        </w:trPr>
        <w:tc>
          <w:tcPr>
            <w:tcW w:w="4320" w:type="dxa"/>
            <w:vAlign w:val="bottom"/>
          </w:tcPr>
          <w:p>
            <w:pPr>
              <w:ind w:left="160"/>
              <w:spacing w:after="0"/>
              <w:rPr>
                <w:sz w:val="20"/>
                <w:szCs w:val="20"/>
                <w:color w:val="auto"/>
              </w:rPr>
            </w:pPr>
            <w:r>
              <w:rPr>
                <w:rFonts w:ascii="Times New Roman" w:cs="Times New Roman" w:eastAsia="Times New Roman" w:hAnsi="Times New Roman"/>
                <w:sz w:val="16"/>
                <w:szCs w:val="16"/>
                <w:color w:val="231F20"/>
              </w:rPr>
              <w:t>Other comprehensive loss</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24"/>
                <w:szCs w:val="24"/>
                <w:color w:val="auto"/>
              </w:rPr>
            </w:pP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(7.9)</w:t>
            </w:r>
          </w:p>
        </w:tc>
        <w:tc>
          <w:tcPr>
            <w:tcW w:w="140" w:type="dxa"/>
            <w:vAlign w:val="bottom"/>
          </w:tcPr>
          <w:p>
            <w:pPr>
              <w:spacing w:after="0"/>
              <w:rPr>
                <w:sz w:val="24"/>
                <w:szCs w:val="24"/>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(7.9)</w:t>
            </w:r>
          </w:p>
        </w:tc>
        <w:tc>
          <w:tcPr>
            <w:tcW w:w="0" w:type="dxa"/>
            <w:vAlign w:val="bottom"/>
          </w:tcPr>
          <w:p>
            <w:pPr>
              <w:spacing w:after="0"/>
              <w:rPr>
                <w:sz w:val="1"/>
                <w:szCs w:val="1"/>
                <w:color w:val="auto"/>
              </w:rPr>
            </w:pPr>
          </w:p>
        </w:tc>
      </w:tr>
      <w:tr>
        <w:trPr>
          <w:trHeight w:val="277"/>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231F20"/>
              </w:rPr>
              <w:t>Repurchases of ordinary shares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(0.1)</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(10.2)</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(1.6)</w:t>
            </w:r>
          </w:p>
        </w:tc>
        <w:tc>
          <w:tcPr>
            <w:tcW w:w="1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tcPr>
          <w:p>
            <w:pPr>
              <w:spacing w:after="0"/>
              <w:rPr>
                <w:sz w:val="24"/>
                <w:szCs w:val="24"/>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(11.8)</w:t>
            </w:r>
          </w:p>
        </w:tc>
        <w:tc>
          <w:tcPr>
            <w:tcW w:w="0" w:type="dxa"/>
            <w:vAlign w:val="bottom"/>
          </w:tcPr>
          <w:p>
            <w:pPr>
              <w:spacing w:after="0"/>
              <w:rPr>
                <w:sz w:val="1"/>
                <w:szCs w:val="1"/>
                <w:color w:val="auto"/>
              </w:rPr>
            </w:pPr>
          </w:p>
        </w:tc>
      </w:tr>
      <w:tr>
        <w:trPr>
          <w:trHeight w:val="276"/>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231F20"/>
              </w:rPr>
              <w:t>Equity compensation programs and other</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0.3</w:t>
            </w:r>
          </w:p>
        </w:tc>
        <w:tc>
          <w:tcPr>
            <w:tcW w:w="18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67.0</w:t>
            </w:r>
          </w:p>
        </w:tc>
        <w:tc>
          <w:tcPr>
            <w:tcW w:w="120" w:type="dxa"/>
            <w:vAlign w:val="bottom"/>
          </w:tcPr>
          <w:p>
            <w:pPr>
              <w:spacing w:after="0"/>
              <w:rPr>
                <w:sz w:val="24"/>
                <w:szCs w:val="24"/>
                <w:color w:val="auto"/>
              </w:rPr>
            </w:pP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tcPr>
          <w:p>
            <w:pPr>
              <w:spacing w:after="0"/>
              <w:rPr>
                <w:sz w:val="24"/>
                <w:szCs w:val="24"/>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67.0</w:t>
            </w:r>
          </w:p>
        </w:tc>
        <w:tc>
          <w:tcPr>
            <w:tcW w:w="0" w:type="dxa"/>
            <w:vAlign w:val="bottom"/>
          </w:tcPr>
          <w:p>
            <w:pPr>
              <w:spacing w:after="0"/>
              <w:rPr>
                <w:sz w:val="1"/>
                <w:szCs w:val="1"/>
                <w:color w:val="auto"/>
              </w:rPr>
            </w:pPr>
          </w:p>
        </w:tc>
      </w:tr>
      <w:tr>
        <w:trPr>
          <w:trHeight w:val="277"/>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231F20"/>
              </w:rPr>
              <w:t>Cash dividends – $2.03 per ordinary share</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(200.6)</w:t>
            </w:r>
          </w:p>
        </w:tc>
        <w:tc>
          <w:tcPr>
            <w:tcW w:w="1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tcPr>
          <w:p>
            <w:pPr>
              <w:spacing w:after="0"/>
              <w:rPr>
                <w:sz w:val="24"/>
                <w:szCs w:val="24"/>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(200.6)</w:t>
            </w:r>
          </w:p>
        </w:tc>
        <w:tc>
          <w:tcPr>
            <w:tcW w:w="0" w:type="dxa"/>
            <w:vAlign w:val="bottom"/>
          </w:tcPr>
          <w:p>
            <w:pPr>
              <w:spacing w:after="0"/>
              <w:rPr>
                <w:sz w:val="1"/>
                <w:szCs w:val="1"/>
                <w:color w:val="auto"/>
              </w:rPr>
            </w:pPr>
          </w:p>
        </w:tc>
      </w:tr>
      <w:tr>
        <w:trPr>
          <w:trHeight w:val="276"/>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231F20"/>
              </w:rPr>
              <w:t>Distributions to noncontrolling interest holders</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24"/>
                <w:szCs w:val="24"/>
                <w:color w:val="auto"/>
              </w:rPr>
            </w:pP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(1.6)</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(1.6)</w:t>
            </w:r>
          </w:p>
        </w:tc>
        <w:tc>
          <w:tcPr>
            <w:tcW w:w="0" w:type="dxa"/>
            <w:vAlign w:val="bottom"/>
          </w:tcPr>
          <w:p>
            <w:pPr>
              <w:spacing w:after="0"/>
              <w:rPr>
                <w:sz w:val="1"/>
                <w:szCs w:val="1"/>
                <w:color w:val="auto"/>
              </w:rPr>
            </w:pPr>
          </w:p>
        </w:tc>
      </w:tr>
      <w:tr>
        <w:trPr>
          <w:trHeight w:val="276"/>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231F20"/>
              </w:rPr>
              <w:t>Contributions from noncontrolling interest holders</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24"/>
                <w:szCs w:val="24"/>
                <w:color w:val="auto"/>
              </w:rPr>
            </w:pP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tcPr>
          <w:p>
            <w:pPr>
              <w:spacing w:after="0"/>
              <w:rPr>
                <w:sz w:val="24"/>
                <w:szCs w:val="24"/>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231F20"/>
              </w:rPr>
              <w:t>3.0</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3.0</w:t>
            </w:r>
          </w:p>
        </w:tc>
        <w:tc>
          <w:tcPr>
            <w:tcW w:w="0" w:type="dxa"/>
            <w:vAlign w:val="bottom"/>
          </w:tcPr>
          <w:p>
            <w:pPr>
              <w:spacing w:after="0"/>
              <w:rPr>
                <w:sz w:val="1"/>
                <w:szCs w:val="1"/>
                <w:color w:val="auto"/>
              </w:rPr>
            </w:pPr>
          </w:p>
        </w:tc>
      </w:tr>
      <w:tr>
        <w:trPr>
          <w:trHeight w:val="283"/>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231F20"/>
              </w:rPr>
              <w:t>Other changes in noncontrolling interest</w:t>
            </w:r>
          </w:p>
        </w:tc>
        <w:tc>
          <w:tcPr>
            <w:tcW w:w="78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Borders>
              <w:bottom w:val="single" w:sz="8" w:color="231F20"/>
            </w:tcBorders>
          </w:tcPr>
          <w:p>
            <w:pPr>
              <w:spacing w:after="0"/>
              <w:rPr>
                <w:sz w:val="24"/>
                <w:szCs w:val="24"/>
                <w:color w:val="auto"/>
              </w:rPr>
            </w:pPr>
          </w:p>
        </w:tc>
        <w:tc>
          <w:tcPr>
            <w:tcW w:w="80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ind w:right="22"/>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tcBorders>
              <w:bottom w:val="single" w:sz="8" w:color="231F20"/>
            </w:tcBorders>
          </w:tcPr>
          <w:p>
            <w:pPr>
              <w:spacing w:after="0"/>
              <w:rPr>
                <w:sz w:val="24"/>
                <w:szCs w:val="24"/>
                <w:color w:val="auto"/>
              </w:rPr>
            </w:pPr>
          </w:p>
        </w:tc>
        <w:tc>
          <w:tcPr>
            <w:tcW w:w="7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(0.1)</w:t>
            </w:r>
          </w:p>
        </w:tc>
        <w:tc>
          <w:tcPr>
            <w:tcW w:w="200" w:type="dxa"/>
            <w:vAlign w:val="bottom"/>
            <w:tcBorders>
              <w:bottom w:val="single" w:sz="8" w:color="231F20"/>
            </w:tcBorders>
          </w:tcPr>
          <w:p>
            <w:pPr>
              <w:spacing w:after="0"/>
              <w:rPr>
                <w:sz w:val="24"/>
                <w:szCs w:val="24"/>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(0.1)</w:t>
            </w:r>
          </w:p>
        </w:tc>
        <w:tc>
          <w:tcPr>
            <w:tcW w:w="0" w:type="dxa"/>
            <w:vAlign w:val="bottom"/>
          </w:tcPr>
          <w:p>
            <w:pPr>
              <w:spacing w:after="0"/>
              <w:rPr>
                <w:sz w:val="1"/>
                <w:szCs w:val="1"/>
                <w:color w:val="auto"/>
              </w:rPr>
            </w:pPr>
          </w:p>
        </w:tc>
      </w:tr>
      <w:tr>
        <w:trPr>
          <w:trHeight w:val="250"/>
        </w:trPr>
        <w:tc>
          <w:tcPr>
            <w:tcW w:w="432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Balance at March 31, 2024</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98.9</w:t>
            </w:r>
          </w:p>
        </w:tc>
        <w:tc>
          <w:tcPr>
            <w:tcW w:w="180" w:type="dxa"/>
            <w:vAlign w:val="bottom"/>
          </w:tcPr>
          <w:p>
            <w:pPr>
              <w:spacing w:after="0"/>
              <w:rPr>
                <w:sz w:val="21"/>
                <w:szCs w:val="21"/>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4,543.2</w:t>
            </w:r>
          </w:p>
        </w:tc>
        <w:tc>
          <w:tcPr>
            <w:tcW w:w="120" w:type="dxa"/>
            <w:vAlign w:val="bottom"/>
          </w:tcPr>
          <w:p>
            <w:pPr>
              <w:spacing w:after="0"/>
              <w:rPr>
                <w:sz w:val="21"/>
                <w:szCs w:val="21"/>
                <w:color w:val="auto"/>
              </w:rPr>
            </w:pP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231F20"/>
              </w:rPr>
              <w:t>2,087.6</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(328.7)</w:t>
            </w:r>
          </w:p>
        </w:tc>
        <w:tc>
          <w:tcPr>
            <w:tcW w:w="140" w:type="dxa"/>
            <w:vAlign w:val="bottom"/>
          </w:tcPr>
          <w:p>
            <w:pPr>
              <w:spacing w:after="0"/>
              <w:rPr>
                <w:sz w:val="21"/>
                <w:szCs w:val="21"/>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231F20"/>
              </w:rPr>
              <w:t>13.2</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6,315.3</w:t>
            </w:r>
          </w:p>
        </w:tc>
        <w:tc>
          <w:tcPr>
            <w:tcW w:w="0" w:type="dxa"/>
            <w:vAlign w:val="bottom"/>
          </w:tcPr>
          <w:p>
            <w:pPr>
              <w:spacing w:after="0"/>
              <w:rPr>
                <w:sz w:val="1"/>
                <w:szCs w:val="1"/>
                <w:color w:val="auto"/>
              </w:rPr>
            </w:pPr>
          </w:p>
        </w:tc>
      </w:tr>
      <w:tr>
        <w:trPr>
          <w:trHeight w:val="276"/>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231F20"/>
              </w:rPr>
              <w:t>Comprehensive income:</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320" w:type="dxa"/>
            <w:vAlign w:val="bottom"/>
          </w:tcPr>
          <w:p>
            <w:pPr>
              <w:ind w:left="160"/>
              <w:spacing w:after="0"/>
              <w:rPr>
                <w:sz w:val="20"/>
                <w:szCs w:val="20"/>
                <w:color w:val="auto"/>
              </w:rPr>
            </w:pPr>
            <w:r>
              <w:rPr>
                <w:rFonts w:ascii="Times New Roman" w:cs="Times New Roman" w:eastAsia="Times New Roman" w:hAnsi="Times New Roman"/>
                <w:sz w:val="16"/>
                <w:szCs w:val="16"/>
                <w:color w:val="231F20"/>
              </w:rPr>
              <w:t>Net income</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24"/>
                <w:szCs w:val="24"/>
                <w:color w:val="auto"/>
              </w:rPr>
            </w:pP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231F20"/>
              </w:rPr>
              <w:t>614.6</w:t>
            </w:r>
          </w:p>
        </w:tc>
        <w:tc>
          <w:tcPr>
            <w:tcW w:w="1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tcPr>
          <w:p>
            <w:pPr>
              <w:spacing w:after="0"/>
              <w:rPr>
                <w:sz w:val="24"/>
                <w:szCs w:val="24"/>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231F20"/>
              </w:rPr>
              <w:t>1.4</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616.1</w:t>
            </w:r>
          </w:p>
        </w:tc>
        <w:tc>
          <w:tcPr>
            <w:tcW w:w="0" w:type="dxa"/>
            <w:vAlign w:val="bottom"/>
          </w:tcPr>
          <w:p>
            <w:pPr>
              <w:spacing w:after="0"/>
              <w:rPr>
                <w:sz w:val="1"/>
                <w:szCs w:val="1"/>
                <w:color w:val="auto"/>
              </w:rPr>
            </w:pPr>
          </w:p>
        </w:tc>
      </w:tr>
      <w:tr>
        <w:trPr>
          <w:trHeight w:val="291"/>
        </w:trPr>
        <w:tc>
          <w:tcPr>
            <w:tcW w:w="4320" w:type="dxa"/>
            <w:vAlign w:val="bottom"/>
          </w:tcPr>
          <w:p>
            <w:pPr>
              <w:ind w:left="160"/>
              <w:spacing w:after="0"/>
              <w:rPr>
                <w:sz w:val="20"/>
                <w:szCs w:val="20"/>
                <w:color w:val="auto"/>
              </w:rPr>
            </w:pPr>
            <w:r>
              <w:rPr>
                <w:rFonts w:ascii="Times New Roman" w:cs="Times New Roman" w:eastAsia="Times New Roman" w:hAnsi="Times New Roman"/>
                <w:sz w:val="16"/>
                <w:szCs w:val="16"/>
                <w:color w:val="231F20"/>
              </w:rPr>
              <w:t>Other comprehensive income</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24"/>
                <w:szCs w:val="24"/>
                <w:color w:val="auto"/>
              </w:rPr>
            </w:pP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36.3</w:t>
            </w:r>
          </w:p>
        </w:tc>
        <w:tc>
          <w:tcPr>
            <w:tcW w:w="140" w:type="dxa"/>
            <w:vAlign w:val="bottom"/>
          </w:tcPr>
          <w:p>
            <w:pPr>
              <w:spacing w:after="0"/>
              <w:rPr>
                <w:sz w:val="24"/>
                <w:szCs w:val="24"/>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36.3</w:t>
            </w:r>
          </w:p>
        </w:tc>
        <w:tc>
          <w:tcPr>
            <w:tcW w:w="0" w:type="dxa"/>
            <w:vAlign w:val="bottom"/>
          </w:tcPr>
          <w:p>
            <w:pPr>
              <w:spacing w:after="0"/>
              <w:rPr>
                <w:sz w:val="1"/>
                <w:szCs w:val="1"/>
                <w:color w:val="auto"/>
              </w:rPr>
            </w:pPr>
          </w:p>
        </w:tc>
      </w:tr>
      <w:tr>
        <w:trPr>
          <w:trHeight w:val="291"/>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231F20"/>
              </w:rPr>
              <w:t>Repurchases of ordinary shares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(1.0)</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(205.6)</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(7.1)</w:t>
            </w:r>
          </w:p>
        </w:tc>
        <w:tc>
          <w:tcPr>
            <w:tcW w:w="1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tcPr>
          <w:p>
            <w:pPr>
              <w:spacing w:after="0"/>
              <w:rPr>
                <w:sz w:val="24"/>
                <w:szCs w:val="24"/>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(212.7)</w:t>
            </w:r>
          </w:p>
        </w:tc>
        <w:tc>
          <w:tcPr>
            <w:tcW w:w="0" w:type="dxa"/>
            <w:vAlign w:val="bottom"/>
          </w:tcPr>
          <w:p>
            <w:pPr>
              <w:spacing w:after="0"/>
              <w:rPr>
                <w:sz w:val="1"/>
                <w:szCs w:val="1"/>
                <w:color w:val="auto"/>
              </w:rPr>
            </w:pPr>
          </w:p>
        </w:tc>
      </w:tr>
      <w:tr>
        <w:trPr>
          <w:trHeight w:val="291"/>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231F20"/>
              </w:rPr>
              <w:t>Equity compensation programs and other</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0.4</w:t>
            </w:r>
          </w:p>
        </w:tc>
        <w:tc>
          <w:tcPr>
            <w:tcW w:w="18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82.9</w:t>
            </w:r>
          </w:p>
        </w:tc>
        <w:tc>
          <w:tcPr>
            <w:tcW w:w="120" w:type="dxa"/>
            <w:vAlign w:val="bottom"/>
          </w:tcPr>
          <w:p>
            <w:pPr>
              <w:spacing w:after="0"/>
              <w:rPr>
                <w:sz w:val="24"/>
                <w:szCs w:val="24"/>
                <w:color w:val="auto"/>
              </w:rPr>
            </w:pP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tcPr>
          <w:p>
            <w:pPr>
              <w:spacing w:after="0"/>
              <w:rPr>
                <w:sz w:val="24"/>
                <w:szCs w:val="24"/>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82.9</w:t>
            </w:r>
          </w:p>
        </w:tc>
        <w:tc>
          <w:tcPr>
            <w:tcW w:w="0" w:type="dxa"/>
            <w:vAlign w:val="bottom"/>
          </w:tcPr>
          <w:p>
            <w:pPr>
              <w:spacing w:after="0"/>
              <w:rPr>
                <w:sz w:val="1"/>
                <w:szCs w:val="1"/>
                <w:color w:val="auto"/>
              </w:rPr>
            </w:pPr>
          </w:p>
        </w:tc>
      </w:tr>
      <w:tr>
        <w:trPr>
          <w:trHeight w:val="291"/>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231F20"/>
              </w:rPr>
              <w:t>Cash dividends – $2.23 per ordinary share</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(219.9)</w:t>
            </w:r>
          </w:p>
        </w:tc>
        <w:tc>
          <w:tcPr>
            <w:tcW w:w="1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tcPr>
          <w:p>
            <w:pPr>
              <w:spacing w:after="0"/>
              <w:rPr>
                <w:sz w:val="24"/>
                <w:szCs w:val="24"/>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(219.9)</w:t>
            </w:r>
          </w:p>
        </w:tc>
        <w:tc>
          <w:tcPr>
            <w:tcW w:w="0" w:type="dxa"/>
            <w:vAlign w:val="bottom"/>
          </w:tcPr>
          <w:p>
            <w:pPr>
              <w:spacing w:after="0"/>
              <w:rPr>
                <w:sz w:val="1"/>
                <w:szCs w:val="1"/>
                <w:color w:val="auto"/>
              </w:rPr>
            </w:pPr>
          </w:p>
        </w:tc>
      </w:tr>
      <w:tr>
        <w:trPr>
          <w:trHeight w:val="291"/>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231F20"/>
              </w:rPr>
              <w:t>Distributions to noncontrolling interest holders</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24"/>
                <w:szCs w:val="24"/>
                <w:color w:val="auto"/>
              </w:rPr>
            </w:pP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(2.1)</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(2.1)</w:t>
            </w:r>
          </w:p>
        </w:tc>
        <w:tc>
          <w:tcPr>
            <w:tcW w:w="0" w:type="dxa"/>
            <w:vAlign w:val="bottom"/>
          </w:tcPr>
          <w:p>
            <w:pPr>
              <w:spacing w:after="0"/>
              <w:rPr>
                <w:sz w:val="1"/>
                <w:szCs w:val="1"/>
                <w:color w:val="auto"/>
              </w:rPr>
            </w:pPr>
          </w:p>
        </w:tc>
      </w:tr>
      <w:tr>
        <w:trPr>
          <w:trHeight w:val="291"/>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231F20"/>
              </w:rPr>
              <w:t>Contributions from noncontrolling interest holders</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24"/>
                <w:szCs w:val="24"/>
                <w:color w:val="auto"/>
              </w:rPr>
            </w:pP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tcPr>
          <w:p>
            <w:pPr>
              <w:spacing w:after="0"/>
              <w:rPr>
                <w:sz w:val="24"/>
                <w:szCs w:val="24"/>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231F20"/>
              </w:rPr>
              <w:t>2.5</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2.5</w:t>
            </w:r>
          </w:p>
        </w:tc>
        <w:tc>
          <w:tcPr>
            <w:tcW w:w="0" w:type="dxa"/>
            <w:vAlign w:val="bottom"/>
          </w:tcPr>
          <w:p>
            <w:pPr>
              <w:spacing w:after="0"/>
              <w:rPr>
                <w:sz w:val="1"/>
                <w:szCs w:val="1"/>
                <w:color w:val="auto"/>
              </w:rPr>
            </w:pPr>
          </w:p>
        </w:tc>
      </w:tr>
      <w:tr>
        <w:trPr>
          <w:trHeight w:val="293"/>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231F20"/>
              </w:rPr>
              <w:t>Divestiture of joint venture interest</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231F20"/>
              </w:rPr>
              <w:t>—</w:t>
            </w:r>
          </w:p>
        </w:tc>
        <w:tc>
          <w:tcPr>
            <w:tcW w:w="18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231F20"/>
              </w:rPr>
              <w:t>—</w:t>
            </w:r>
          </w:p>
        </w:tc>
        <w:tc>
          <w:tcPr>
            <w:tcW w:w="120" w:type="dxa"/>
            <w:vAlign w:val="bottom"/>
          </w:tcPr>
          <w:p>
            <w:pPr>
              <w:spacing w:after="0"/>
              <w:rPr>
                <w:sz w:val="24"/>
                <w:szCs w:val="24"/>
                <w:color w:val="auto"/>
              </w:rPr>
            </w:pP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7"/>
                <w:szCs w:val="17"/>
                <w:color w:val="231F20"/>
              </w:rPr>
              <w:t>—</w:t>
            </w:r>
          </w:p>
        </w:tc>
        <w:tc>
          <w:tcPr>
            <w:tcW w:w="1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231F20"/>
              </w:rPr>
              <w:t>—</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(2.6)</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(2.6)</w:t>
            </w:r>
          </w:p>
        </w:tc>
        <w:tc>
          <w:tcPr>
            <w:tcW w:w="0" w:type="dxa"/>
            <w:vAlign w:val="bottom"/>
          </w:tcPr>
          <w:p>
            <w:pPr>
              <w:spacing w:after="0"/>
              <w:rPr>
                <w:sz w:val="1"/>
                <w:szCs w:val="1"/>
                <w:color w:val="auto"/>
              </w:rPr>
            </w:pPr>
          </w:p>
        </w:tc>
      </w:tr>
      <w:tr>
        <w:trPr>
          <w:trHeight w:val="296"/>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231F20"/>
              </w:rPr>
              <w:t>Other changes in noncontrolling interest</w:t>
            </w:r>
          </w:p>
        </w:tc>
        <w:tc>
          <w:tcPr>
            <w:tcW w:w="78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Borders>
              <w:bottom w:val="single" w:sz="8" w:color="231F20"/>
            </w:tcBorders>
          </w:tcPr>
          <w:p>
            <w:pPr>
              <w:spacing w:after="0"/>
              <w:rPr>
                <w:sz w:val="24"/>
                <w:szCs w:val="24"/>
                <w:color w:val="auto"/>
              </w:rPr>
            </w:pPr>
          </w:p>
        </w:tc>
        <w:tc>
          <w:tcPr>
            <w:tcW w:w="80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ind w:right="22"/>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tcBorders>
              <w:bottom w:val="single" w:sz="8" w:color="231F20"/>
            </w:tcBorders>
          </w:tcPr>
          <w:p>
            <w:pPr>
              <w:spacing w:after="0"/>
              <w:rPr>
                <w:sz w:val="24"/>
                <w:szCs w:val="24"/>
                <w:color w:val="auto"/>
              </w:rPr>
            </w:pPr>
          </w:p>
        </w:tc>
        <w:tc>
          <w:tcPr>
            <w:tcW w:w="7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(0.1)</w:t>
            </w:r>
          </w:p>
        </w:tc>
        <w:tc>
          <w:tcPr>
            <w:tcW w:w="200" w:type="dxa"/>
            <w:vAlign w:val="bottom"/>
            <w:tcBorders>
              <w:bottom w:val="single" w:sz="8" w:color="231F20"/>
            </w:tcBorders>
          </w:tcPr>
          <w:p>
            <w:pPr>
              <w:spacing w:after="0"/>
              <w:rPr>
                <w:sz w:val="24"/>
                <w:szCs w:val="24"/>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(0.1)</w:t>
            </w:r>
          </w:p>
        </w:tc>
        <w:tc>
          <w:tcPr>
            <w:tcW w:w="0" w:type="dxa"/>
            <w:vAlign w:val="bottom"/>
          </w:tcPr>
          <w:p>
            <w:pPr>
              <w:spacing w:after="0"/>
              <w:rPr>
                <w:sz w:val="1"/>
                <w:szCs w:val="1"/>
                <w:color w:val="auto"/>
              </w:rPr>
            </w:pPr>
          </w:p>
        </w:tc>
      </w:tr>
      <w:tr>
        <w:trPr>
          <w:trHeight w:val="250"/>
        </w:trPr>
        <w:tc>
          <w:tcPr>
            <w:tcW w:w="432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Balance at March 31, 2025</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98.3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4,420.4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231F20"/>
              </w:rPr>
              <w:t>2,475.3</w:t>
            </w: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231F20"/>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(292.3)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231F20"/>
              </w:rPr>
              <w:t>12.4</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231F20"/>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6,615.8</w:t>
            </w:r>
          </w:p>
        </w:tc>
        <w:tc>
          <w:tcPr>
            <w:tcW w:w="0" w:type="dxa"/>
            <w:vAlign w:val="bottom"/>
          </w:tcPr>
          <w:p>
            <w:pPr>
              <w:spacing w:after="0"/>
              <w:rPr>
                <w:sz w:val="1"/>
                <w:szCs w:val="1"/>
                <w:color w:val="auto"/>
              </w:rPr>
            </w:pPr>
          </w:p>
        </w:tc>
      </w:tr>
      <w:tr>
        <w:trPr>
          <w:trHeight w:val="277"/>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231F20"/>
              </w:rPr>
              <w:t>Comprehensive income:</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320" w:type="dxa"/>
            <w:vAlign w:val="bottom"/>
          </w:tcPr>
          <w:p>
            <w:pPr>
              <w:ind w:left="160"/>
              <w:spacing w:after="0"/>
              <w:rPr>
                <w:sz w:val="20"/>
                <w:szCs w:val="20"/>
                <w:color w:val="auto"/>
              </w:rPr>
            </w:pPr>
            <w:r>
              <w:rPr>
                <w:rFonts w:ascii="Times New Roman" w:cs="Times New Roman" w:eastAsia="Times New Roman" w:hAnsi="Times New Roman"/>
                <w:sz w:val="16"/>
                <w:szCs w:val="16"/>
                <w:color w:val="231F20"/>
              </w:rPr>
              <w:t>Net income</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w:t>
            </w:r>
          </w:p>
        </w:tc>
        <w:tc>
          <w:tcPr>
            <w:tcW w:w="18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w:t>
            </w:r>
          </w:p>
        </w:tc>
        <w:tc>
          <w:tcPr>
            <w:tcW w:w="120" w:type="dxa"/>
            <w:vAlign w:val="bottom"/>
          </w:tcPr>
          <w:p>
            <w:pPr>
              <w:spacing w:after="0"/>
              <w:rPr>
                <w:sz w:val="24"/>
                <w:szCs w:val="24"/>
                <w:color w:val="auto"/>
              </w:rPr>
            </w:pP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231F20"/>
              </w:rPr>
              <w:t>782.3</w:t>
            </w:r>
          </w:p>
        </w:tc>
        <w:tc>
          <w:tcPr>
            <w:tcW w:w="1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w:t>
            </w:r>
          </w:p>
        </w:tc>
        <w:tc>
          <w:tcPr>
            <w:tcW w:w="140" w:type="dxa"/>
            <w:vAlign w:val="bottom"/>
          </w:tcPr>
          <w:p>
            <w:pPr>
              <w:spacing w:after="0"/>
              <w:rPr>
                <w:sz w:val="24"/>
                <w:szCs w:val="24"/>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231F20"/>
              </w:rPr>
              <w:t>2.8</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785.1</w:t>
            </w:r>
          </w:p>
        </w:tc>
        <w:tc>
          <w:tcPr>
            <w:tcW w:w="0" w:type="dxa"/>
            <w:vAlign w:val="bottom"/>
          </w:tcPr>
          <w:p>
            <w:pPr>
              <w:spacing w:after="0"/>
              <w:rPr>
                <w:sz w:val="1"/>
                <w:szCs w:val="1"/>
                <w:color w:val="auto"/>
              </w:rPr>
            </w:pPr>
          </w:p>
        </w:tc>
      </w:tr>
      <w:tr>
        <w:trPr>
          <w:trHeight w:val="291"/>
        </w:trPr>
        <w:tc>
          <w:tcPr>
            <w:tcW w:w="4320" w:type="dxa"/>
            <w:vAlign w:val="bottom"/>
          </w:tcPr>
          <w:p>
            <w:pPr>
              <w:ind w:left="160"/>
              <w:spacing w:after="0"/>
              <w:rPr>
                <w:sz w:val="20"/>
                <w:szCs w:val="20"/>
                <w:color w:val="auto"/>
              </w:rPr>
            </w:pPr>
            <w:r>
              <w:rPr>
                <w:rFonts w:ascii="Times New Roman" w:cs="Times New Roman" w:eastAsia="Times New Roman" w:hAnsi="Times New Roman"/>
                <w:sz w:val="16"/>
                <w:szCs w:val="16"/>
                <w:color w:val="231F20"/>
              </w:rPr>
              <w:t>Other comprehensive income</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w:t>
            </w:r>
          </w:p>
        </w:tc>
        <w:tc>
          <w:tcPr>
            <w:tcW w:w="18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w:t>
            </w:r>
          </w:p>
        </w:tc>
        <w:tc>
          <w:tcPr>
            <w:tcW w:w="120" w:type="dxa"/>
            <w:vAlign w:val="bottom"/>
          </w:tcPr>
          <w:p>
            <w:pPr>
              <w:spacing w:after="0"/>
              <w:rPr>
                <w:sz w:val="24"/>
                <w:szCs w:val="24"/>
                <w:color w:val="auto"/>
              </w:rPr>
            </w:pP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231F20"/>
              </w:rPr>
              <w:t>—</w:t>
            </w:r>
          </w:p>
        </w:tc>
        <w:tc>
          <w:tcPr>
            <w:tcW w:w="1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179.2</w:t>
            </w:r>
          </w:p>
        </w:tc>
        <w:tc>
          <w:tcPr>
            <w:tcW w:w="140" w:type="dxa"/>
            <w:vAlign w:val="bottom"/>
          </w:tcPr>
          <w:p>
            <w:pPr>
              <w:spacing w:after="0"/>
              <w:rPr>
                <w:sz w:val="24"/>
                <w:szCs w:val="24"/>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231F20"/>
              </w:rPr>
              <w:t>—</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179.2</w:t>
            </w:r>
          </w:p>
        </w:tc>
        <w:tc>
          <w:tcPr>
            <w:tcW w:w="0" w:type="dxa"/>
            <w:vAlign w:val="bottom"/>
          </w:tcPr>
          <w:p>
            <w:pPr>
              <w:spacing w:after="0"/>
              <w:rPr>
                <w:sz w:val="1"/>
                <w:szCs w:val="1"/>
                <w:color w:val="auto"/>
              </w:rPr>
            </w:pPr>
          </w:p>
        </w:tc>
      </w:tr>
      <w:tr>
        <w:trPr>
          <w:trHeight w:val="291"/>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231F20"/>
              </w:rPr>
              <w:t>Repurchases of ordinary shares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(1.0)</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(236.1)</w:t>
            </w:r>
          </w:p>
        </w:tc>
        <w:tc>
          <w:tcPr>
            <w:tcW w:w="120" w:type="dxa"/>
            <w:vAlign w:val="bottom"/>
          </w:tcPr>
          <w:p>
            <w:pPr>
              <w:spacing w:after="0"/>
              <w:rPr>
                <w:sz w:val="24"/>
                <w:szCs w:val="24"/>
                <w:color w:val="auto"/>
              </w:rPr>
            </w:pP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231F20"/>
              </w:rPr>
              <w:t>—</w:t>
            </w:r>
          </w:p>
        </w:tc>
        <w:tc>
          <w:tcPr>
            <w:tcW w:w="1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w:t>
            </w:r>
          </w:p>
        </w:tc>
        <w:tc>
          <w:tcPr>
            <w:tcW w:w="140" w:type="dxa"/>
            <w:vAlign w:val="bottom"/>
          </w:tcPr>
          <w:p>
            <w:pPr>
              <w:spacing w:after="0"/>
              <w:rPr>
                <w:sz w:val="24"/>
                <w:szCs w:val="24"/>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231F20"/>
              </w:rPr>
              <w:t>—</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(236.1)</w:t>
            </w:r>
          </w:p>
        </w:tc>
        <w:tc>
          <w:tcPr>
            <w:tcW w:w="0" w:type="dxa"/>
            <w:vAlign w:val="bottom"/>
          </w:tcPr>
          <w:p>
            <w:pPr>
              <w:spacing w:after="0"/>
              <w:rPr>
                <w:sz w:val="1"/>
                <w:szCs w:val="1"/>
                <w:color w:val="auto"/>
              </w:rPr>
            </w:pPr>
          </w:p>
        </w:tc>
      </w:tr>
      <w:tr>
        <w:trPr>
          <w:trHeight w:val="291"/>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231F20"/>
              </w:rPr>
              <w:t>Equity compensation programs and other</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0.5</w:t>
            </w:r>
          </w:p>
        </w:tc>
        <w:tc>
          <w:tcPr>
            <w:tcW w:w="18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96.6</w:t>
            </w:r>
          </w:p>
        </w:tc>
        <w:tc>
          <w:tcPr>
            <w:tcW w:w="120" w:type="dxa"/>
            <w:vAlign w:val="bottom"/>
          </w:tcPr>
          <w:p>
            <w:pPr>
              <w:spacing w:after="0"/>
              <w:rPr>
                <w:sz w:val="24"/>
                <w:szCs w:val="24"/>
                <w:color w:val="auto"/>
              </w:rPr>
            </w:pP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231F20"/>
              </w:rPr>
              <w:t>—</w:t>
            </w:r>
          </w:p>
        </w:tc>
        <w:tc>
          <w:tcPr>
            <w:tcW w:w="1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w:t>
            </w:r>
          </w:p>
        </w:tc>
        <w:tc>
          <w:tcPr>
            <w:tcW w:w="140" w:type="dxa"/>
            <w:vAlign w:val="bottom"/>
          </w:tcPr>
          <w:p>
            <w:pPr>
              <w:spacing w:after="0"/>
              <w:rPr>
                <w:sz w:val="24"/>
                <w:szCs w:val="24"/>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231F20"/>
              </w:rPr>
              <w:t>—</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96.6</w:t>
            </w:r>
          </w:p>
        </w:tc>
        <w:tc>
          <w:tcPr>
            <w:tcW w:w="0" w:type="dxa"/>
            <w:vAlign w:val="bottom"/>
          </w:tcPr>
          <w:p>
            <w:pPr>
              <w:spacing w:after="0"/>
              <w:rPr>
                <w:sz w:val="1"/>
                <w:szCs w:val="1"/>
                <w:color w:val="auto"/>
              </w:rPr>
            </w:pPr>
          </w:p>
        </w:tc>
      </w:tr>
      <w:tr>
        <w:trPr>
          <w:trHeight w:val="291"/>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231F20"/>
              </w:rPr>
              <w:t>Cash dividends – $2.46 per ordinary share</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w:t>
            </w:r>
          </w:p>
        </w:tc>
        <w:tc>
          <w:tcPr>
            <w:tcW w:w="18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(241.8)</w:t>
            </w:r>
          </w:p>
        </w:tc>
        <w:tc>
          <w:tcPr>
            <w:tcW w:w="1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w:t>
            </w:r>
          </w:p>
        </w:tc>
        <w:tc>
          <w:tcPr>
            <w:tcW w:w="140" w:type="dxa"/>
            <w:vAlign w:val="bottom"/>
          </w:tcPr>
          <w:p>
            <w:pPr>
              <w:spacing w:after="0"/>
              <w:rPr>
                <w:sz w:val="24"/>
                <w:szCs w:val="24"/>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231F20"/>
              </w:rPr>
              <w:t>—</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(241.8)</w:t>
            </w:r>
          </w:p>
        </w:tc>
        <w:tc>
          <w:tcPr>
            <w:tcW w:w="0" w:type="dxa"/>
            <w:vAlign w:val="bottom"/>
          </w:tcPr>
          <w:p>
            <w:pPr>
              <w:spacing w:after="0"/>
              <w:rPr>
                <w:sz w:val="1"/>
                <w:szCs w:val="1"/>
                <w:color w:val="auto"/>
              </w:rPr>
            </w:pPr>
          </w:p>
        </w:tc>
      </w:tr>
      <w:tr>
        <w:trPr>
          <w:trHeight w:val="291"/>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231F20"/>
              </w:rPr>
              <w:t>Distributions to noncontrolling interest holders</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w:t>
            </w:r>
          </w:p>
        </w:tc>
        <w:tc>
          <w:tcPr>
            <w:tcW w:w="18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w:t>
            </w:r>
          </w:p>
        </w:tc>
        <w:tc>
          <w:tcPr>
            <w:tcW w:w="120" w:type="dxa"/>
            <w:vAlign w:val="bottom"/>
          </w:tcPr>
          <w:p>
            <w:pPr>
              <w:spacing w:after="0"/>
              <w:rPr>
                <w:sz w:val="24"/>
                <w:szCs w:val="24"/>
                <w:color w:val="auto"/>
              </w:rPr>
            </w:pP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231F20"/>
              </w:rPr>
              <w:t>—</w:t>
            </w:r>
          </w:p>
        </w:tc>
        <w:tc>
          <w:tcPr>
            <w:tcW w:w="1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(1.4)</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(1.4)</w:t>
            </w:r>
          </w:p>
        </w:tc>
        <w:tc>
          <w:tcPr>
            <w:tcW w:w="0" w:type="dxa"/>
            <w:vAlign w:val="bottom"/>
          </w:tcPr>
          <w:p>
            <w:pPr>
              <w:spacing w:after="0"/>
              <w:rPr>
                <w:sz w:val="1"/>
                <w:szCs w:val="1"/>
                <w:color w:val="auto"/>
              </w:rPr>
            </w:pPr>
          </w:p>
        </w:tc>
      </w:tr>
      <w:tr>
        <w:trPr>
          <w:trHeight w:val="297"/>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231F20"/>
              </w:rPr>
              <w:t>Other changes in noncontrolling interest</w:t>
            </w:r>
          </w:p>
        </w:tc>
        <w:tc>
          <w:tcPr>
            <w:tcW w:w="78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w:t>
            </w:r>
          </w:p>
        </w:tc>
        <w:tc>
          <w:tcPr>
            <w:tcW w:w="180" w:type="dxa"/>
            <w:vAlign w:val="bottom"/>
            <w:tcBorders>
              <w:bottom w:val="single" w:sz="8" w:color="231F20"/>
            </w:tcBorders>
          </w:tcPr>
          <w:p>
            <w:pPr>
              <w:spacing w:after="0"/>
              <w:rPr>
                <w:sz w:val="24"/>
                <w:szCs w:val="24"/>
                <w:color w:val="auto"/>
              </w:rPr>
            </w:pPr>
          </w:p>
        </w:tc>
        <w:tc>
          <w:tcPr>
            <w:tcW w:w="80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w:t>
            </w:r>
          </w:p>
        </w:tc>
        <w:tc>
          <w:tcPr>
            <w:tcW w:w="12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231F20"/>
              </w:rPr>
              <w:t>—</w:t>
            </w:r>
          </w:p>
        </w:tc>
        <w:tc>
          <w:tcPr>
            <w:tcW w:w="12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w:t>
            </w:r>
          </w:p>
        </w:tc>
        <w:tc>
          <w:tcPr>
            <w:tcW w:w="140" w:type="dxa"/>
            <w:vAlign w:val="bottom"/>
            <w:tcBorders>
              <w:bottom w:val="single" w:sz="8" w:color="231F20"/>
            </w:tcBorders>
          </w:tcPr>
          <w:p>
            <w:pPr>
              <w:spacing w:after="0"/>
              <w:rPr>
                <w:sz w:val="24"/>
                <w:szCs w:val="24"/>
                <w:color w:val="auto"/>
              </w:rPr>
            </w:pPr>
          </w:p>
        </w:tc>
        <w:tc>
          <w:tcPr>
            <w:tcW w:w="7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(0.1)</w:t>
            </w:r>
          </w:p>
        </w:tc>
        <w:tc>
          <w:tcPr>
            <w:tcW w:w="200" w:type="dxa"/>
            <w:vAlign w:val="bottom"/>
            <w:tcBorders>
              <w:bottom w:val="single" w:sz="8" w:color="231F20"/>
            </w:tcBorders>
          </w:tcPr>
          <w:p>
            <w:pPr>
              <w:spacing w:after="0"/>
              <w:rPr>
                <w:sz w:val="24"/>
                <w:szCs w:val="24"/>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(0.1)</w:t>
            </w:r>
          </w:p>
        </w:tc>
        <w:tc>
          <w:tcPr>
            <w:tcW w:w="0" w:type="dxa"/>
            <w:vAlign w:val="bottom"/>
          </w:tcPr>
          <w:p>
            <w:pPr>
              <w:spacing w:after="0"/>
              <w:rPr>
                <w:sz w:val="1"/>
                <w:szCs w:val="1"/>
                <w:color w:val="auto"/>
              </w:rPr>
            </w:pPr>
          </w:p>
        </w:tc>
      </w:tr>
      <w:tr>
        <w:trPr>
          <w:trHeight w:val="281"/>
        </w:trPr>
        <w:tc>
          <w:tcPr>
            <w:tcW w:w="432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Balance at March 31, 2026</w:t>
            </w:r>
          </w:p>
        </w:tc>
        <w:tc>
          <w:tcPr>
            <w:tcW w:w="78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97.8</w:t>
            </w:r>
          </w:p>
        </w:tc>
        <w:tc>
          <w:tcPr>
            <w:tcW w:w="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c>
          <w:tcPr>
            <w:tcW w:w="80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4,280.9</w:t>
            </w:r>
          </w:p>
        </w:tc>
        <w:tc>
          <w:tcPr>
            <w:tcW w:w="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c>
          <w:tcPr>
            <w:tcW w:w="720" w:type="dxa"/>
            <w:vAlign w:val="bottom"/>
            <w:tcBorders>
              <w:bottom w:val="single" w:sz="8" w:color="231F20"/>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231F20"/>
              </w:rPr>
              <w:t>3,015.9</w:t>
            </w:r>
          </w:p>
        </w:tc>
        <w:tc>
          <w:tcPr>
            <w:tcW w:w="120" w:type="dxa"/>
            <w:vAlign w:val="bottom"/>
            <w:tcBorders>
              <w:bottom w:val="single" w:sz="8" w:color="231F20"/>
            </w:tcBorders>
          </w:tcPr>
          <w:p>
            <w:pPr>
              <w:ind w:left="40"/>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(113.1)</w:t>
            </w:r>
          </w:p>
        </w:tc>
        <w:tc>
          <w:tcPr>
            <w:tcW w:w="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c>
          <w:tcPr>
            <w:tcW w:w="700" w:type="dxa"/>
            <w:vAlign w:val="bottom"/>
            <w:tcBorders>
              <w:bottom w:val="single" w:sz="8" w:color="231F20"/>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231F20"/>
              </w:rPr>
              <w:t>13.6</w:t>
            </w:r>
          </w:p>
        </w:tc>
        <w:tc>
          <w:tcPr>
            <w:tcW w:w="200" w:type="dxa"/>
            <w:vAlign w:val="bottom"/>
            <w:tcBorders>
              <w:bottom w:val="single" w:sz="8" w:color="231F20"/>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231F20"/>
                <w:w w:val="99"/>
              </w:rPr>
              <w:t>$</w:t>
            </w: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7,197.2</w:t>
            </w:r>
          </w:p>
        </w:tc>
        <w:tc>
          <w:tcPr>
            <w:tcW w:w="0" w:type="dxa"/>
            <w:vAlign w:val="bottom"/>
          </w:tcPr>
          <w:p>
            <w:pPr>
              <w:spacing w:after="0"/>
              <w:rPr>
                <w:sz w:val="1"/>
                <w:szCs w:val="1"/>
                <w:color w:val="auto"/>
              </w:rPr>
            </w:pPr>
          </w:p>
        </w:tc>
      </w:tr>
    </w:tbl>
    <w:p>
      <w:pPr>
        <w:spacing w:after="0" w:line="3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231F20"/>
        </w:rPr>
        <w:t>See notes to consolidated financial statements.</w:t>
      </w:r>
    </w:p>
    <w:p>
      <w:pPr>
        <w:sectPr>
          <w:pgSz w:w="11880" w:h="15480" w:orient="portrait"/>
          <w:cols w:equalWidth="0" w:num="1">
            <w:col w:w="9900"/>
          </w:cols>
          <w:pgMar w:left="1020" w:top="687"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231F20"/>
        </w:rPr>
        <w:t>58</w:t>
      </w:r>
    </w:p>
    <w:p>
      <w:pPr>
        <w:sectPr>
          <w:pgSz w:w="11880" w:h="15480" w:orient="portrait"/>
          <w:cols w:equalWidth="0" w:num="1">
            <w:col w:w="9900"/>
          </w:cols>
          <w:pgMar w:left="1020" w:top="687" w:right="960" w:bottom="0" w:gutter="0" w:footer="0" w:header="0"/>
          <w:type w:val="continuous"/>
        </w:sectPr>
      </w:pPr>
    </w:p>
    <w:bookmarkStart w:id="59" w:name="page60"/>
    <w:bookmarkEnd w:id="59"/>
    <w:p>
      <w:pPr>
        <w:jc w:val="center"/>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1. NATURE OF OPERATIONS AND SUMMARY OF SIGNIFICANT ACCOUNTING POLICIES</w:t>
      </w:r>
    </w:p>
    <w:p>
      <w:pPr>
        <w:spacing w:after="0" w:line="13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9"/>
          <w:szCs w:val="19"/>
          <w:b w:val="1"/>
          <w:bCs w:val="1"/>
          <w:color w:val="231F20"/>
        </w:rPr>
        <w:t xml:space="preserve">Nature of Operations. </w:t>
      </w:r>
      <w:r>
        <w:rPr>
          <w:rFonts w:ascii="Times New Roman" w:cs="Times New Roman" w:eastAsia="Times New Roman" w:hAnsi="Times New Roman"/>
          <w:sz w:val="19"/>
          <w:szCs w:val="19"/>
          <w:color w:val="231F20"/>
        </w:rPr>
        <w:t>STERIS is a leading global provider of products and services that support patient care with an emphasis</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on infection prevention. WE HELP OUR CUSTOMERS CREATE A HEALTHIER AND SAFER WORLD by providing innovative healthcare and life science products and services around the globe. We offer our Customers a unique mix of innovative products and services. These include: consumable products, such as detergents, endoscopy accessories, barrier products, instruments and tools; services, including equipment installation and maintenance, microbial reduction of medical devices, instrument and scope repair, laboratory testing, and outsourced reprocessing; capital equipment, such as sterilizers, surgical tables, and automated endoscope reprocessors; and connectivity solutions such as operating room (“OR”) integration.</w:t>
      </w:r>
    </w:p>
    <w:p>
      <w:pPr>
        <w:spacing w:after="0" w:line="81" w:lineRule="exact"/>
        <w:rPr>
          <w:sz w:val="20"/>
          <w:szCs w:val="20"/>
          <w:color w:val="auto"/>
        </w:rPr>
      </w:pPr>
    </w:p>
    <w:p>
      <w:pPr>
        <w:ind w:right="120" w:firstLine="306"/>
        <w:spacing w:after="0" w:line="271" w:lineRule="auto"/>
        <w:rPr>
          <w:sz w:val="20"/>
          <w:szCs w:val="20"/>
          <w:color w:val="auto"/>
        </w:rPr>
      </w:pPr>
      <w:r>
        <w:rPr>
          <w:rFonts w:ascii="Times New Roman" w:cs="Times New Roman" w:eastAsia="Times New Roman" w:hAnsi="Times New Roman"/>
          <w:sz w:val="19"/>
          <w:szCs w:val="19"/>
          <w:color w:val="231F20"/>
        </w:rPr>
        <w:t>We operate and report our financial information in three reportable business segments: Healthcare, Applied Sterilization Technologies ("AST"), and Life Sciences. Previously, we had four reportable business segments, however, as a result of the fiscal 2025 divestiture of our Dental segment, Dental is presented as discontinued operations. Historical information has been retrospectively adjusted to reflect these changes for comparability purposes, as required. We describe our business segments in Note 13 titled "Business Segment Information."</w:t>
      </w:r>
    </w:p>
    <w:p>
      <w:pPr>
        <w:spacing w:after="0" w:line="71" w:lineRule="exact"/>
        <w:rPr>
          <w:sz w:val="20"/>
          <w:szCs w:val="20"/>
          <w:color w:val="auto"/>
        </w:rPr>
      </w:pPr>
    </w:p>
    <w:p>
      <w:pPr>
        <w:ind w:right="140" w:firstLine="349"/>
        <w:spacing w:after="0" w:line="274" w:lineRule="auto"/>
        <w:rPr>
          <w:sz w:val="20"/>
          <w:szCs w:val="20"/>
          <w:color w:val="auto"/>
        </w:rPr>
      </w:pPr>
      <w:r>
        <w:rPr>
          <w:rFonts w:ascii="Times New Roman" w:cs="Times New Roman" w:eastAsia="Times New Roman" w:hAnsi="Times New Roman"/>
          <w:sz w:val="19"/>
          <w:szCs w:val="19"/>
          <w:color w:val="231F20"/>
        </w:rPr>
        <w:t>Our fiscal year ends on March 31. References in this Annual Report to a particular "year," "fiscal," "fiscal year," or "year-end" mean our fiscal year. The significant accounting policies applied in preparing the accompanying consolidated financial statements of the Company are summarized below.</w:t>
      </w:r>
    </w:p>
    <w:p>
      <w:pPr>
        <w:spacing w:after="0" w:line="6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9"/>
          <w:szCs w:val="19"/>
          <w:b w:val="1"/>
          <w:bCs w:val="1"/>
          <w:color w:val="231F20"/>
        </w:rPr>
        <w:t xml:space="preserve">Principles of Consolidation. </w:t>
      </w:r>
      <w:r>
        <w:rPr>
          <w:rFonts w:ascii="Times New Roman" w:cs="Times New Roman" w:eastAsia="Times New Roman" w:hAnsi="Times New Roman"/>
          <w:sz w:val="19"/>
          <w:szCs w:val="19"/>
          <w:color w:val="231F20"/>
        </w:rPr>
        <w:t>We use the consolidation method to report our investment in our subsidiaries. Therefore, the</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accompanying consolidated financial statements include the financial statements of the Company and its wholly-owned and majority-owned subsidiaries. We eliminate intercompany accounts and transactions when we consolidate these financial statements. Investments in equity of unconsolidated affiliates, over which the Company has significant influence, but not control, over the financial and operating polices, are accounted for primarily using the equity method. Transactions between the Company and our unconsolidated affiliates are eliminated to the extent of the Company's ownership interest until such amounts are realized through transactions with third parties.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Our reporting currency is United States Dollars (USD). Columns and rows within tables may not add due to rounding.</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Percentages have been calculated using actual, non-rounded figures.</w:t>
      </w:r>
    </w:p>
    <w:p>
      <w:pPr>
        <w:spacing w:after="0" w:line="10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9"/>
          <w:szCs w:val="19"/>
          <w:b w:val="1"/>
          <w:bCs w:val="1"/>
          <w:color w:val="231F20"/>
        </w:rPr>
        <w:t xml:space="preserve">Discontinued Operations. </w:t>
      </w:r>
      <w:r>
        <w:rPr>
          <w:rFonts w:ascii="Times New Roman" w:cs="Times New Roman" w:eastAsia="Times New Roman" w:hAnsi="Times New Roman"/>
          <w:sz w:val="19"/>
          <w:szCs w:val="19"/>
          <w:color w:val="231F20"/>
        </w:rPr>
        <w:t>On April 11, 2024, the Company announced its plan to sell substantially all of the net assets of its</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Dental segment for total cash consideration of $787.5 million, subject to customary adjustments, and up to an additional $12.5 million in contingent payment had the Dental business achieved certain revenue targets in fiscal 2025. No amounts have been recorded or are expected to be recorded with respect to this contingent consideration. The transaction was structured as an equity sale and closed on May 31, 2024. A component of an entity is reported in discontinued operations after meeting the criteria for held for sale classification if the disposition represents a strategic shift that has (or will have) a major effect on the entity's operations and financial results. We analyzed the quantitative and qualitative factors relevant to the divestiture of our Dental segment and determined that those conditions for discontinued operations presentation had been met prior to March 31, 2024. The Dental segment results of operations have been classified as income (loss) from discontinued operations in the Consolidated Statements of Income for all periods presented. Our Consolidated Statements of Cash Flows include the financial results of the Dental segment through the date of sale on May 31, 2024. For additional information regarding this transaction and its effect on our financial reporting, refer to Note 4 titled, "Discontinued Operations" and Note 13 titled, "Business Segment Information."</w:t>
      </w:r>
    </w:p>
    <w:p>
      <w:pPr>
        <w:spacing w:after="0" w:line="31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b w:val="1"/>
          <w:bCs w:val="1"/>
          <w:color w:val="231F20"/>
        </w:rPr>
        <w:t xml:space="preserve">Use of Estimates. </w:t>
      </w:r>
      <w:r>
        <w:rPr>
          <w:rFonts w:ascii="Times New Roman" w:cs="Times New Roman" w:eastAsia="Times New Roman" w:hAnsi="Times New Roman"/>
          <w:sz w:val="19"/>
          <w:szCs w:val="19"/>
          <w:color w:val="231F20"/>
        </w:rPr>
        <w:t>We make certain estimates and assumptions when preparing financial statements according to accounting</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principles generally accepted in the United States ("U.S. GAAP") that affect the reported amounts of assets and liabilities at the financial statement dates and the reported amounts of revenues and expenses during the periods presented. These estimates and assumptions involve judgments with respect to many factors that are difficult to predict and are beyond our control. Actual results could be materially different from these estimates. We revise the estimates and assumptions as new information becomes available.</w:t>
      </w:r>
    </w:p>
    <w:p>
      <w:pPr>
        <w:spacing w:after="0" w:line="7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9"/>
          <w:szCs w:val="19"/>
          <w:b w:val="1"/>
          <w:bCs w:val="1"/>
          <w:color w:val="231F20"/>
        </w:rPr>
        <w:t xml:space="preserve">Cash Equivalents. </w:t>
      </w:r>
      <w:r>
        <w:rPr>
          <w:rFonts w:ascii="Times New Roman" w:cs="Times New Roman" w:eastAsia="Times New Roman" w:hAnsi="Times New Roman"/>
          <w:sz w:val="19"/>
          <w:szCs w:val="19"/>
          <w:color w:val="231F20"/>
        </w:rPr>
        <w:t>Cash equivalents are all highly liquid investments with a maturity of three months or less when purchased.</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We invest our excess cash in short-term instruments including money market funds, money market deposit accounts, bank savings accounts, and time deposits with major banks and financial institutions. We select investments in accordance with the criteria established in our investment policy. Our investment policy specifies, among other things, maturity, credit quality and concentration restrictions with the objective of preserving capital and maintaining adequate liquidity.</w:t>
      </w:r>
    </w:p>
    <w:p>
      <w:pPr>
        <w:sectPr>
          <w:pgSz w:w="11880" w:h="15480" w:orient="portrait"/>
          <w:cols w:equalWidth="0" w:num="1">
            <w:col w:w="9960"/>
          </w:cols>
          <w:pgMar w:left="960" w:top="250" w:right="960" w:bottom="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59</w:t>
      </w:r>
    </w:p>
    <w:p>
      <w:pPr>
        <w:sectPr>
          <w:pgSz w:w="11880" w:h="15480" w:orient="portrait"/>
          <w:cols w:equalWidth="0" w:num="1">
            <w:col w:w="9960"/>
          </w:cols>
          <w:pgMar w:left="960" w:top="250" w:right="960" w:bottom="0" w:gutter="0" w:footer="0" w:header="0"/>
          <w:type w:val="continuous"/>
        </w:sectPr>
      </w:pPr>
    </w:p>
    <w:bookmarkStart w:id="60" w:name="page61"/>
    <w:bookmarkEnd w:id="60"/>
    <w:p>
      <w:pPr>
        <w:jc w:val="center"/>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9"/>
          <w:szCs w:val="19"/>
          <w:b w:val="1"/>
          <w:bCs w:val="1"/>
          <w:color w:val="231F20"/>
        </w:rPr>
        <w:t xml:space="preserve">Revenue Recognition and Associated Liabilities. </w:t>
      </w:r>
      <w:r>
        <w:rPr>
          <w:rFonts w:ascii="Times New Roman" w:cs="Times New Roman" w:eastAsia="Times New Roman" w:hAnsi="Times New Roman"/>
          <w:sz w:val="19"/>
          <w:szCs w:val="19"/>
          <w:color w:val="231F20"/>
        </w:rPr>
        <w:t>Revenue is recognized when obligations under the terms of the contract are</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satisfied and control of the promised products or services have transferred to the Customer. Revenues are measured at the amount of consideration that we expect to be paid in exchange for the products or services. Product revenues are recognized when control passes to the Customer, which is generally based on contract or shipping terms. Service revenues are recognized when the Customer benefits from the service, which occurs either upon completion of the service or as it is provided to the Customer. Our Customers include end users as well as dealers and distributors who market and sell our products. Our revenues are not contingent upon resale by the dealer or distributor, and we have no further obligations related to bringing about resale. Our standard return and restocking fee policies are applied to sales of products. Shipping and handling costs charged to Customers are included in Product revenues. The associated expenses are treated as fulfillment costs and are included in Cost of revenues. Revenues are reported net of sales and value-added taxes collected from Customers.</w:t>
      </w:r>
    </w:p>
    <w:p>
      <w:pPr>
        <w:spacing w:after="0" w:line="82" w:lineRule="exact"/>
        <w:rPr>
          <w:sz w:val="20"/>
          <w:szCs w:val="20"/>
          <w:color w:val="auto"/>
        </w:rPr>
      </w:pPr>
    </w:p>
    <w:p>
      <w:pPr>
        <w:ind w:right="60" w:firstLine="349"/>
        <w:spacing w:after="0" w:line="265" w:lineRule="auto"/>
        <w:rPr>
          <w:sz w:val="20"/>
          <w:szCs w:val="20"/>
          <w:color w:val="auto"/>
        </w:rPr>
      </w:pPr>
      <w:r>
        <w:rPr>
          <w:rFonts w:ascii="Times New Roman" w:cs="Times New Roman" w:eastAsia="Times New Roman" w:hAnsi="Times New Roman"/>
          <w:sz w:val="19"/>
          <w:szCs w:val="19"/>
          <w:color w:val="231F20"/>
        </w:rPr>
        <w:t>We have individual Customer contracts that offer discounted pricing. Dealers and distributors may be offered sales incentives in the form of rebates. We reduce revenues for discounts and estimated returns, rebates, and other similar allowances in the same period the related revenues are recorded. The reduction in revenues for these items is estimated based on historical experience and trend analysis to the extent that it is probable that a significant reversal of revenues will not occur. Estimated returns are recorded gross on the Consolidated Balance Sheets.</w:t>
      </w:r>
    </w:p>
    <w:p>
      <w:pPr>
        <w:spacing w:after="0" w:line="75" w:lineRule="exact"/>
        <w:rPr>
          <w:sz w:val="20"/>
          <w:szCs w:val="20"/>
          <w:color w:val="auto"/>
        </w:rPr>
      </w:pPr>
    </w:p>
    <w:p>
      <w:pPr>
        <w:ind w:right="140" w:firstLine="349"/>
        <w:spacing w:after="0" w:line="268" w:lineRule="auto"/>
        <w:rPr>
          <w:sz w:val="20"/>
          <w:szCs w:val="20"/>
          <w:color w:val="auto"/>
        </w:rPr>
      </w:pPr>
      <w:r>
        <w:rPr>
          <w:rFonts w:ascii="Times New Roman" w:cs="Times New Roman" w:eastAsia="Times New Roman" w:hAnsi="Times New Roman"/>
          <w:sz w:val="19"/>
          <w:szCs w:val="19"/>
          <w:color w:val="231F20"/>
        </w:rPr>
        <w:t>In transactions that contain multiple performance obligations, such as when products, maintenance services, and other services are combined, we recognize revenues as each product is delivered or service is provided to the Customer. We allocate the total arrangement consideration to each performance obligation based on its relative standalone selling price, which is the price for the product or service when it is sold separately.</w:t>
      </w:r>
    </w:p>
    <w:p>
      <w:pPr>
        <w:spacing w:after="0" w:line="72" w:lineRule="exact"/>
        <w:rPr>
          <w:sz w:val="20"/>
          <w:szCs w:val="20"/>
          <w:color w:val="auto"/>
        </w:rPr>
      </w:pPr>
    </w:p>
    <w:p>
      <w:pPr>
        <w:jc w:val="both"/>
        <w:ind w:right="380" w:firstLine="349"/>
        <w:spacing w:after="0" w:line="274" w:lineRule="auto"/>
        <w:rPr>
          <w:sz w:val="20"/>
          <w:szCs w:val="20"/>
          <w:color w:val="auto"/>
        </w:rPr>
      </w:pPr>
      <w:r>
        <w:rPr>
          <w:rFonts w:ascii="Times New Roman" w:cs="Times New Roman" w:eastAsia="Times New Roman" w:hAnsi="Times New Roman"/>
          <w:sz w:val="19"/>
          <w:szCs w:val="19"/>
          <w:color w:val="231F20"/>
        </w:rPr>
        <w:t>Payment terms vary by the type and location of the Customer and the products or services offered. Generally, the time between when revenues are recognized and when payment is due is not significant. We do not evaluate whether the selling price contains a financing component for contracts that have a duration of less than one year.</w:t>
      </w:r>
    </w:p>
    <w:p>
      <w:pPr>
        <w:spacing w:after="0" w:line="67" w:lineRule="exact"/>
        <w:rPr>
          <w:sz w:val="20"/>
          <w:szCs w:val="20"/>
          <w:color w:val="auto"/>
        </w:rPr>
      </w:pPr>
    </w:p>
    <w:p>
      <w:pPr>
        <w:ind w:right="120" w:firstLine="349"/>
        <w:spacing w:after="0" w:line="293" w:lineRule="auto"/>
        <w:rPr>
          <w:sz w:val="20"/>
          <w:szCs w:val="20"/>
          <w:color w:val="auto"/>
        </w:rPr>
      </w:pPr>
      <w:r>
        <w:rPr>
          <w:rFonts w:ascii="Times New Roman" w:cs="Times New Roman" w:eastAsia="Times New Roman" w:hAnsi="Times New Roman"/>
          <w:sz w:val="19"/>
          <w:szCs w:val="19"/>
          <w:color w:val="231F20"/>
        </w:rPr>
        <w:t>We do not capitalize sales commissions as substantially all of our sales commission programs have an amortization period of one year or less.</w:t>
      </w:r>
    </w:p>
    <w:p>
      <w:pPr>
        <w:spacing w:after="0" w:line="49" w:lineRule="exact"/>
        <w:rPr>
          <w:sz w:val="20"/>
          <w:szCs w:val="20"/>
          <w:color w:val="auto"/>
        </w:rPr>
      </w:pPr>
    </w:p>
    <w:p>
      <w:pPr>
        <w:ind w:right="60" w:firstLine="349"/>
        <w:spacing w:after="0" w:line="274" w:lineRule="auto"/>
        <w:rPr>
          <w:sz w:val="20"/>
          <w:szCs w:val="20"/>
          <w:color w:val="auto"/>
        </w:rPr>
      </w:pPr>
      <w:r>
        <w:rPr>
          <w:rFonts w:ascii="Times New Roman" w:cs="Times New Roman" w:eastAsia="Times New Roman" w:hAnsi="Times New Roman"/>
          <w:sz w:val="19"/>
          <w:szCs w:val="19"/>
          <w:color w:val="231F20"/>
        </w:rPr>
        <w:t>Certain costs to fulfill a contract are capitalized and amortized over the term of the contract if they are recoverable, directly related to a contract and generate resources that we will use to fulfill the contract in the future. At March 31, 2026, assets related to costs to fulfill a contract were not material to our consolidated financial statements.</w:t>
      </w:r>
    </w:p>
    <w:p>
      <w:pPr>
        <w:spacing w:after="0" w:line="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Refer to Note 13 titled, "Business Segment Information" for disaggregation of revenues.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Product Revenues</w:t>
      </w:r>
    </w:p>
    <w:p>
      <w:pPr>
        <w:spacing w:after="0" w:line="138" w:lineRule="exact"/>
        <w:rPr>
          <w:sz w:val="20"/>
          <w:szCs w:val="20"/>
          <w:color w:val="auto"/>
        </w:rPr>
      </w:pPr>
    </w:p>
    <w:p>
      <w:pPr>
        <w:ind w:right="60" w:firstLine="349"/>
        <w:spacing w:after="0" w:line="263" w:lineRule="auto"/>
        <w:rPr>
          <w:sz w:val="20"/>
          <w:szCs w:val="20"/>
          <w:color w:val="auto"/>
        </w:rPr>
      </w:pPr>
      <w:r>
        <w:rPr>
          <w:rFonts w:ascii="Times New Roman" w:cs="Times New Roman" w:eastAsia="Times New Roman" w:hAnsi="Times New Roman"/>
          <w:sz w:val="19"/>
          <w:szCs w:val="19"/>
          <w:color w:val="231F20"/>
        </w:rPr>
        <w:t>Product revenues consist of revenues generated from sales of consumables and capital equipment. These contracts are primarily based on a Customer’s purchase order and may include a distributor, dealer or group purchasing organization ("GPO") agreement. We recognize revenues for sales of products when control passes to the Customer, which generally occurs either when the products are shipped or when they are received by the Customer. Revenues related to capital equipment products are deferred until installation is complete if the capital equipment and installation are highly integrated and form a single performance obligation.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Service Revenues</w:t>
      </w:r>
    </w:p>
    <w:p>
      <w:pPr>
        <w:spacing w:after="0" w:line="138"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231F20"/>
        </w:rPr>
        <w:t>Within our Healthcare and Life Sciences segments, Service revenues include revenues generated from parts and labor associated with the maintenance, repair and installation of capital equipment. These contracts are primarily based on a Customer’s purchase order and may include a distributor, dealer, or GPO agreement. For maintenance, repair and installation of capital equipment, revenues are recognized upon completion of the service. Healthcare service revenues also include outsourced reprocessing services and instrument repairs. Contracts for outsourced reprocessing services are primarily based on an agreement with a Customer, ranging in length from several months to 20 years. Outsourced reprocessing services revenues are recognized ratably over the contract term using a time-based input measure, adjusted for volume and other performance metrics, to the extent that it is probable that a significant reversal of revenues will not occur. Contracts for instrument repairs are primarily based on a Customer’s purchase order, and the associated revenues are recognized upon completion of the repair.</w:t>
      </w:r>
    </w:p>
    <w:p>
      <w:pPr>
        <w:spacing w:after="0" w:line="82" w:lineRule="exact"/>
        <w:rPr>
          <w:sz w:val="20"/>
          <w:szCs w:val="20"/>
          <w:color w:val="auto"/>
        </w:rPr>
      </w:pPr>
    </w:p>
    <w:p>
      <w:pPr>
        <w:ind w:right="160" w:firstLine="349"/>
        <w:spacing w:after="0" w:line="268" w:lineRule="auto"/>
        <w:rPr>
          <w:sz w:val="20"/>
          <w:szCs w:val="20"/>
          <w:color w:val="auto"/>
        </w:rPr>
      </w:pPr>
      <w:r>
        <w:rPr>
          <w:rFonts w:ascii="Times New Roman" w:cs="Times New Roman" w:eastAsia="Times New Roman" w:hAnsi="Times New Roman"/>
          <w:sz w:val="19"/>
          <w:szCs w:val="19"/>
          <w:color w:val="231F20"/>
        </w:rPr>
        <w:t>We also offer preventive maintenance and separately priced extended warranty agreements to our Customers, which require us to maintain and repair products over the duration of the contract. Generally, these contract terms are cancellable without penalty and range from one to five years. Amounts received under these Customer contracts are initially recorded as a service liability and are recognized as Service revenues ratably over the contract term using a time-based input measure.</w:t>
      </w:r>
    </w:p>
    <w:p>
      <w:pPr>
        <w:sectPr>
          <w:pgSz w:w="11880" w:h="15480" w:orient="portrait"/>
          <w:cols w:equalWidth="0" w:num="1">
            <w:col w:w="9960"/>
          </w:cols>
          <w:pgMar w:left="960" w:top="250" w:right="960" w:bottom="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60</w:t>
      </w:r>
    </w:p>
    <w:p>
      <w:pPr>
        <w:sectPr>
          <w:pgSz w:w="11880" w:h="15480" w:orient="portrait"/>
          <w:cols w:equalWidth="0" w:num="1">
            <w:col w:w="9960"/>
          </w:cols>
          <w:pgMar w:left="960" w:top="250" w:right="960" w:bottom="0"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0" w:firstLine="349"/>
        <w:spacing w:after="0" w:line="268" w:lineRule="auto"/>
        <w:rPr>
          <w:sz w:val="20"/>
          <w:szCs w:val="20"/>
          <w:color w:val="auto"/>
        </w:rPr>
      </w:pPr>
      <w:r>
        <w:rPr>
          <w:rFonts w:ascii="Times New Roman" w:cs="Times New Roman" w:eastAsia="Times New Roman" w:hAnsi="Times New Roman"/>
          <w:sz w:val="19"/>
          <w:szCs w:val="19"/>
          <w:color w:val="231F20"/>
        </w:rPr>
        <w:t>Within our AST segment, Service revenues include contract sterilization and laboratory services, as well as service support for our installed base of capital equipment. Sales contracts for contract sterilization and laboratory services are primarily based on a Customer’s purchase order and associated Customer agreement, and revenues are generally recognized upon completion of the service.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Contract Liabilities</w:t>
      </w:r>
    </w:p>
    <w:p>
      <w:pPr>
        <w:spacing w:after="0" w:line="138" w:lineRule="exact"/>
        <w:rPr>
          <w:sz w:val="20"/>
          <w:szCs w:val="20"/>
          <w:color w:val="auto"/>
        </w:rPr>
      </w:pPr>
    </w:p>
    <w:p>
      <w:pPr>
        <w:ind w:right="180" w:firstLine="349"/>
        <w:spacing w:after="0" w:line="263" w:lineRule="auto"/>
        <w:rPr>
          <w:sz w:val="20"/>
          <w:szCs w:val="20"/>
          <w:color w:val="auto"/>
        </w:rPr>
      </w:pPr>
      <w:r>
        <w:rPr>
          <w:rFonts w:ascii="Times New Roman" w:cs="Times New Roman" w:eastAsia="Times New Roman" w:hAnsi="Times New Roman"/>
          <w:sz w:val="19"/>
          <w:szCs w:val="19"/>
          <w:color w:val="231F20"/>
        </w:rPr>
        <w:t>Payments received from Customers are based on invoices or billing schedules as established in contracts with Customers. Deferred revenue is recorded when payment is received in advance of performance under the contract. Deferred revenues are recognized as revenues upon completion of the performance obligation, which generally occurs within one year. During fiscal 2026, we recognized revenues of $51.5 million that were included in our contract liability balance at the beginning of the period. During fiscal 2025, we recognized revenues of $65.1 million that were included in our contract liability balance at the beginning of the period.</w:t>
      </w:r>
    </w:p>
    <w:p>
      <w:pPr>
        <w:spacing w:after="0" w:line="77" w:lineRule="exact"/>
        <w:rPr>
          <w:sz w:val="20"/>
          <w:szCs w:val="20"/>
          <w:color w:val="auto"/>
        </w:rPr>
      </w:pPr>
    </w:p>
    <w:p>
      <w:pPr>
        <w:ind w:right="1200" w:firstLine="349"/>
        <w:spacing w:after="0" w:line="383" w:lineRule="auto"/>
        <w:rPr>
          <w:sz w:val="20"/>
          <w:szCs w:val="20"/>
          <w:color w:val="auto"/>
        </w:rPr>
      </w:pPr>
      <w:r>
        <w:rPr>
          <w:rFonts w:ascii="Times New Roman" w:cs="Times New Roman" w:eastAsia="Times New Roman" w:hAnsi="Times New Roman"/>
          <w:sz w:val="19"/>
          <w:szCs w:val="19"/>
          <w:color w:val="231F20"/>
        </w:rPr>
        <w:t xml:space="preserve">Refer to Note 9 titled, "Additional Consolidated Balance Sheet Information" for deferred revenues balances. </w:t>
      </w:r>
      <w:r>
        <w:rPr>
          <w:rFonts w:ascii="Times New Roman" w:cs="Times New Roman" w:eastAsia="Times New Roman" w:hAnsi="Times New Roman"/>
          <w:sz w:val="19"/>
          <w:szCs w:val="19"/>
          <w:b w:val="1"/>
          <w:bCs w:val="1"/>
          <w:i w:val="1"/>
          <w:iCs w:val="1"/>
          <w:color w:val="231F20"/>
        </w:rPr>
        <w:t>Service Liabilities</w:t>
      </w:r>
    </w:p>
    <w:p>
      <w:pPr>
        <w:spacing w:after="0" w:line="1" w:lineRule="exact"/>
        <w:rPr>
          <w:sz w:val="20"/>
          <w:szCs w:val="20"/>
          <w:color w:val="auto"/>
        </w:rPr>
      </w:pPr>
    </w:p>
    <w:p>
      <w:pPr>
        <w:ind w:right="200" w:firstLine="349"/>
        <w:spacing w:after="0" w:line="274" w:lineRule="auto"/>
        <w:rPr>
          <w:sz w:val="20"/>
          <w:szCs w:val="20"/>
          <w:color w:val="auto"/>
        </w:rPr>
      </w:pPr>
      <w:r>
        <w:rPr>
          <w:rFonts w:ascii="Times New Roman" w:cs="Times New Roman" w:eastAsia="Times New Roman" w:hAnsi="Times New Roman"/>
          <w:sz w:val="19"/>
          <w:szCs w:val="19"/>
          <w:color w:val="231F20"/>
        </w:rPr>
        <w:t>Payments received in advance of performance for cancellable preventive maintenance and separately priced extended warranty contracts are recorded as service liabilities. Service liabilities are recognized as revenues as performance is rendered under the contract.</w:t>
      </w:r>
    </w:p>
    <w:p>
      <w:pPr>
        <w:spacing w:after="0" w:line="67" w:lineRule="exact"/>
        <w:rPr>
          <w:sz w:val="20"/>
          <w:szCs w:val="20"/>
          <w:color w:val="auto"/>
        </w:rPr>
      </w:pPr>
    </w:p>
    <w:p>
      <w:pPr>
        <w:ind w:right="1380" w:firstLine="349"/>
        <w:spacing w:after="0" w:line="383" w:lineRule="auto"/>
        <w:rPr>
          <w:sz w:val="20"/>
          <w:szCs w:val="20"/>
          <w:color w:val="auto"/>
        </w:rPr>
      </w:pPr>
      <w:r>
        <w:rPr>
          <w:rFonts w:ascii="Times New Roman" w:cs="Times New Roman" w:eastAsia="Times New Roman" w:hAnsi="Times New Roman"/>
          <w:sz w:val="19"/>
          <w:szCs w:val="19"/>
          <w:color w:val="231F20"/>
        </w:rPr>
        <w:t xml:space="preserve">Refer to Note 9 titled, "Additional Consolidated Balance Sheet Information" for service liability balances. </w:t>
      </w:r>
      <w:r>
        <w:rPr>
          <w:rFonts w:ascii="Times New Roman" w:cs="Times New Roman" w:eastAsia="Times New Roman" w:hAnsi="Times New Roman"/>
          <w:sz w:val="19"/>
          <w:szCs w:val="19"/>
          <w:b w:val="1"/>
          <w:bCs w:val="1"/>
          <w:i w:val="1"/>
          <w:iCs w:val="1"/>
          <w:color w:val="231F20"/>
        </w:rPr>
        <w:t>Remaining Performance Obligations</w:t>
      </w:r>
    </w:p>
    <w:p>
      <w:pPr>
        <w:spacing w:after="0" w:line="1" w:lineRule="exact"/>
        <w:rPr>
          <w:sz w:val="20"/>
          <w:szCs w:val="20"/>
          <w:color w:val="auto"/>
        </w:rPr>
      </w:pPr>
    </w:p>
    <w:p>
      <w:pPr>
        <w:ind w:right="80" w:firstLine="349"/>
        <w:spacing w:after="0" w:line="261" w:lineRule="auto"/>
        <w:rPr>
          <w:sz w:val="20"/>
          <w:szCs w:val="20"/>
          <w:color w:val="auto"/>
        </w:rPr>
      </w:pPr>
      <w:r>
        <w:rPr>
          <w:rFonts w:ascii="Times New Roman" w:cs="Times New Roman" w:eastAsia="Times New Roman" w:hAnsi="Times New Roman"/>
          <w:sz w:val="19"/>
          <w:szCs w:val="19"/>
          <w:color w:val="231F20"/>
        </w:rPr>
        <w:t>Remaining performance obligations reflect only the performance obligations related to agreements for which we have a firm commitment from a Customer to purchase, and exclude variable consideration related to unsatisfied performance obligations. With regard to products, these remaining performance obligations include orders for capital equipment and consumables where control of the products has not passed to the Customer. With regard to service, these remaining performance obligations primarily include installation, certification, and outsourced reprocessing services. As of March 31, 2026, the transaction price allocated to remaining performance obligations was approximately $1,366.2 million. We expect to recognize approximately 56% of the transaction price within one year and approximately 35% beyond one year. The remainder has yet to be scheduled for delivery.</w:t>
      </w:r>
    </w:p>
    <w:p>
      <w:pPr>
        <w:spacing w:after="0" w:line="312"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19"/>
          <w:szCs w:val="19"/>
          <w:b w:val="1"/>
          <w:bCs w:val="1"/>
          <w:color w:val="231F20"/>
        </w:rPr>
        <w:t xml:space="preserve">Accounts Receivable. </w:t>
      </w:r>
      <w:r>
        <w:rPr>
          <w:rFonts w:ascii="Times New Roman" w:cs="Times New Roman" w:eastAsia="Times New Roman" w:hAnsi="Times New Roman"/>
          <w:sz w:val="19"/>
          <w:szCs w:val="19"/>
          <w:color w:val="231F20"/>
        </w:rPr>
        <w:t>Accounts receivable are presented at their face amount, less allowances for sales returns and</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uncollectible accounts. Accounts receivable consist of amounts billed and currently due from Customers and amounts earned but unbilled. We may obtain and perfect a security interest in products sold where allowed by laws and regulations when we have a concern with the Customer's risk profile.</w:t>
      </w:r>
    </w:p>
    <w:p>
      <w:pPr>
        <w:spacing w:after="0" w:line="72" w:lineRule="exact"/>
        <w:rPr>
          <w:sz w:val="20"/>
          <w:szCs w:val="20"/>
          <w:color w:val="auto"/>
        </w:rPr>
      </w:pPr>
    </w:p>
    <w:p>
      <w:pPr>
        <w:ind w:right="140" w:firstLine="349"/>
        <w:spacing w:after="0" w:line="265" w:lineRule="auto"/>
        <w:rPr>
          <w:sz w:val="20"/>
          <w:szCs w:val="20"/>
          <w:color w:val="auto"/>
        </w:rPr>
      </w:pPr>
      <w:r>
        <w:rPr>
          <w:rFonts w:ascii="Times New Roman" w:cs="Times New Roman" w:eastAsia="Times New Roman" w:hAnsi="Times New Roman"/>
          <w:sz w:val="19"/>
          <w:szCs w:val="19"/>
          <w:color w:val="231F20"/>
        </w:rPr>
        <w:t>We maintain an allowance for uncollectible accounts receivable for estimated losses in the collection of amounts owed by Customers. We estimate the allowance based on analyzing a number of factors, including amounts written off historically, Customer payment practices, and general economic conditions. We also analyze significant Customer accounts on a regular basis and record a specific allowance when we become aware of a specific Customer’s inability to pay. As a result, the related accounts receivable are reduced to an amount that we reasonably believe is collectible.</w:t>
      </w:r>
    </w:p>
    <w:p>
      <w:pPr>
        <w:spacing w:after="0" w:line="75" w:lineRule="exact"/>
        <w:rPr>
          <w:sz w:val="20"/>
          <w:szCs w:val="20"/>
          <w:color w:val="auto"/>
        </w:rPr>
      </w:pPr>
    </w:p>
    <w:p>
      <w:pPr>
        <w:ind w:right="40" w:firstLine="349"/>
        <w:spacing w:after="0" w:line="293" w:lineRule="auto"/>
        <w:rPr>
          <w:sz w:val="20"/>
          <w:szCs w:val="20"/>
          <w:color w:val="auto"/>
        </w:rPr>
      </w:pPr>
      <w:r>
        <w:rPr>
          <w:rFonts w:ascii="Times New Roman" w:cs="Times New Roman" w:eastAsia="Times New Roman" w:hAnsi="Times New Roman"/>
          <w:sz w:val="19"/>
          <w:szCs w:val="19"/>
          <w:color w:val="231F20"/>
        </w:rPr>
        <w:t>We maintain an allowance for sales returns based upon known returns and estimated returns for both capital equipment and consumables. We estimate returns of capital equipment and consumables based upon recent historical experience.</w:t>
      </w:r>
    </w:p>
    <w:p>
      <w:pPr>
        <w:spacing w:after="0" w:line="45" w:lineRule="exact"/>
        <w:rPr>
          <w:sz w:val="20"/>
          <w:szCs w:val="20"/>
          <w:color w:val="auto"/>
        </w:rPr>
      </w:pPr>
    </w:p>
    <w:p>
      <w:pPr>
        <w:ind w:right="340"/>
        <w:spacing w:after="0" w:line="297" w:lineRule="auto"/>
        <w:rPr>
          <w:sz w:val="20"/>
          <w:szCs w:val="20"/>
          <w:color w:val="auto"/>
        </w:rPr>
      </w:pPr>
      <w:r>
        <w:rPr>
          <w:rFonts w:ascii="Times New Roman" w:cs="Times New Roman" w:eastAsia="Times New Roman" w:hAnsi="Times New Roman"/>
          <w:sz w:val="19"/>
          <w:szCs w:val="19"/>
          <w:b w:val="1"/>
          <w:bCs w:val="1"/>
          <w:color w:val="231F20"/>
        </w:rPr>
        <w:t xml:space="preserve">Inventories, net. </w:t>
      </w:r>
      <w:r>
        <w:rPr>
          <w:rFonts w:ascii="Times New Roman" w:cs="Times New Roman" w:eastAsia="Times New Roman" w:hAnsi="Times New Roman"/>
          <w:sz w:val="19"/>
          <w:szCs w:val="19"/>
          <w:color w:val="231F20"/>
        </w:rPr>
        <w:t>Inventories are stated at the lower of their cost and net realizable value determined by the first-in, first-out</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cost method. Inventory costs include material, labor, and overhead.</w:t>
      </w:r>
    </w:p>
    <w:p>
      <w:pPr>
        <w:spacing w:after="0" w:line="45" w:lineRule="exact"/>
        <w:rPr>
          <w:sz w:val="20"/>
          <w:szCs w:val="20"/>
          <w:color w:val="auto"/>
        </w:rPr>
      </w:pPr>
    </w:p>
    <w:p>
      <w:pPr>
        <w:ind w:firstLine="349"/>
        <w:spacing w:after="0" w:line="268" w:lineRule="auto"/>
        <w:rPr>
          <w:sz w:val="20"/>
          <w:szCs w:val="20"/>
          <w:color w:val="auto"/>
        </w:rPr>
      </w:pPr>
      <w:r>
        <w:rPr>
          <w:rFonts w:ascii="Times New Roman" w:cs="Times New Roman" w:eastAsia="Times New Roman" w:hAnsi="Times New Roman"/>
          <w:sz w:val="19"/>
          <w:szCs w:val="19"/>
          <w:color w:val="231F20"/>
        </w:rPr>
        <w:t>We review inventory on an ongoing basis, considering factors such as deterioration, obsolescence, and other items. We record an allowance for estimated losses when the facts and circumstances indicate that particular inventories will not be usable. If future market conditions vary from those projected, and our estimates prove to be inaccurate, we may be required to write-down inventory values and record an adjustment to Cost of revenues.</w:t>
      </w:r>
    </w:p>
    <w:p>
      <w:pPr>
        <w:spacing w:after="0" w:line="68"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9"/>
          <w:szCs w:val="19"/>
          <w:b w:val="1"/>
          <w:bCs w:val="1"/>
          <w:color w:val="231F20"/>
        </w:rPr>
        <w:t xml:space="preserve">Property, Plant, and Equipment. </w:t>
      </w:r>
      <w:r>
        <w:rPr>
          <w:rFonts w:ascii="Times New Roman" w:cs="Times New Roman" w:eastAsia="Times New Roman" w:hAnsi="Times New Roman"/>
          <w:sz w:val="19"/>
          <w:szCs w:val="19"/>
          <w:color w:val="231F20"/>
        </w:rPr>
        <w:t>Our property, plant, and equipment consists of land and land improvements, buildings and</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leasehold improvements, machinery and equipment, information systems, cobalt-60, and construction in progress. Property, plant, and equipment are presented at cost less accumulated depreciation and depletion. We capitalize additions and improvements. Repairs and maintenance are charged to expense as they are incurred.</w:t>
      </w:r>
    </w:p>
    <w:p>
      <w:pPr>
        <w:sectPr>
          <w:pgSz w:w="11880" w:h="15480" w:orient="portrait"/>
          <w:cols w:equalWidth="0" w:num="1">
            <w:col w:w="9960"/>
          </w:cols>
          <w:pgMar w:left="960" w:top="250" w:right="960" w:bottom="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61</w:t>
      </w:r>
    </w:p>
    <w:p>
      <w:pPr>
        <w:sectPr>
          <w:pgSz w:w="11880" w:h="15480" w:orient="portrait"/>
          <w:cols w:equalWidth="0" w:num="1">
            <w:col w:w="9960"/>
          </w:cols>
          <w:pgMar w:left="960" w:top="250" w:right="960" w:bottom="0"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140" w:firstLine="349"/>
        <w:spacing w:after="0" w:line="268" w:lineRule="auto"/>
        <w:rPr>
          <w:sz w:val="20"/>
          <w:szCs w:val="20"/>
          <w:color w:val="auto"/>
        </w:rPr>
      </w:pPr>
      <w:r>
        <w:rPr>
          <w:rFonts w:ascii="Times New Roman" w:cs="Times New Roman" w:eastAsia="Times New Roman" w:hAnsi="Times New Roman"/>
          <w:sz w:val="19"/>
          <w:szCs w:val="19"/>
          <w:color w:val="231F20"/>
        </w:rPr>
        <w:t>Land is not depreciated and construction in progress is not depreciated until placed in service. Depreciation of most assets is computed on the cost less the estimated salvage value by using the straight-line method over the estimated remaining useful lives. Depletion of radioisotope is computed using the annual decay factor of the material, which is similar to the sum-of-the-years-digits method.</w:t>
      </w:r>
    </w:p>
    <w:p>
      <w:pPr>
        <w:spacing w:after="0" w:line="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We generally depreciate or deplete property, plant, and equipment over the useful lives presented in the following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231F20"/>
              </w:rPr>
              <w:t>Asset Type</w:t>
            </w:r>
          </w:p>
        </w:tc>
        <w:tc>
          <w:tcPr>
            <w:tcW w:w="3800" w:type="dxa"/>
            <w:vAlign w:val="bottom"/>
          </w:tcPr>
          <w:p>
            <w:pPr>
              <w:jc w:val="right"/>
              <w:ind w:right="166"/>
              <w:spacing w:after="0"/>
              <w:rPr>
                <w:sz w:val="20"/>
                <w:szCs w:val="20"/>
                <w:color w:val="auto"/>
              </w:rPr>
            </w:pPr>
            <w:r>
              <w:rPr>
                <w:rFonts w:ascii="Times New Roman" w:cs="Times New Roman" w:eastAsia="Times New Roman" w:hAnsi="Times New Roman"/>
                <w:sz w:val="17"/>
                <w:szCs w:val="17"/>
                <w:color w:val="231F20"/>
              </w:rPr>
              <w:t>Useful Life</w:t>
            </w:r>
          </w:p>
        </w:tc>
        <w:tc>
          <w:tcPr>
            <w:tcW w:w="0" w:type="dxa"/>
            <w:vAlign w:val="bottom"/>
          </w:tcPr>
          <w:p>
            <w:pPr>
              <w:spacing w:after="0"/>
              <w:rPr>
                <w:sz w:val="1"/>
                <w:szCs w:val="1"/>
                <w:color w:val="auto"/>
              </w:rPr>
            </w:pPr>
          </w:p>
        </w:tc>
      </w:tr>
      <w:tr>
        <w:trPr>
          <w:trHeight w:val="231"/>
        </w:trPr>
        <w:tc>
          <w:tcPr>
            <w:tcW w:w="6160" w:type="dxa"/>
            <w:vAlign w:val="bottom"/>
            <w:tcBorders>
              <w:bottom w:val="single" w:sz="8" w:color="231F20"/>
            </w:tcBorders>
            <w:vMerge w:val="continue"/>
          </w:tcPr>
          <w:p>
            <w:pPr>
              <w:spacing w:after="0"/>
              <w:rPr>
                <w:sz w:val="20"/>
                <w:szCs w:val="20"/>
                <w:color w:val="auto"/>
              </w:rPr>
            </w:pPr>
          </w:p>
        </w:tc>
        <w:tc>
          <w:tcPr>
            <w:tcW w:w="3800" w:type="dxa"/>
            <w:vAlign w:val="bottom"/>
            <w:tcBorders>
              <w:bottom w:val="single" w:sz="8" w:color="231F20"/>
            </w:tcBorders>
          </w:tcPr>
          <w:p>
            <w:pPr>
              <w:jc w:val="right"/>
              <w:ind w:right="326"/>
              <w:spacing w:after="0"/>
              <w:rPr>
                <w:sz w:val="20"/>
                <w:szCs w:val="20"/>
                <w:color w:val="auto"/>
              </w:rPr>
            </w:pPr>
            <w:r>
              <w:rPr>
                <w:rFonts w:ascii="Times New Roman" w:cs="Times New Roman" w:eastAsia="Times New Roman" w:hAnsi="Times New Roman"/>
                <w:sz w:val="17"/>
                <w:szCs w:val="17"/>
                <w:color w:val="231F20"/>
              </w:rPr>
              <w:t>(years)</w:t>
            </w:r>
          </w:p>
        </w:tc>
        <w:tc>
          <w:tcPr>
            <w:tcW w:w="0" w:type="dxa"/>
            <w:vAlign w:val="bottom"/>
          </w:tcPr>
          <w:p>
            <w:pPr>
              <w:spacing w:after="0"/>
              <w:rPr>
                <w:sz w:val="1"/>
                <w:szCs w:val="1"/>
                <w:color w:val="auto"/>
              </w:rPr>
            </w:pPr>
          </w:p>
        </w:tc>
      </w:tr>
      <w:tr>
        <w:trPr>
          <w:trHeight w:val="254"/>
        </w:trPr>
        <w:tc>
          <w:tcPr>
            <w:tcW w:w="616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Land improvements</w:t>
            </w:r>
          </w:p>
        </w:tc>
        <w:tc>
          <w:tcPr>
            <w:tcW w:w="38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3-40</w:t>
            </w:r>
          </w:p>
        </w:tc>
        <w:tc>
          <w:tcPr>
            <w:tcW w:w="0" w:type="dxa"/>
            <w:vAlign w:val="bottom"/>
          </w:tcPr>
          <w:p>
            <w:pPr>
              <w:spacing w:after="0"/>
              <w:rPr>
                <w:sz w:val="1"/>
                <w:szCs w:val="1"/>
                <w:color w:val="auto"/>
              </w:rPr>
            </w:pPr>
          </w:p>
        </w:tc>
      </w:tr>
      <w:tr>
        <w:trPr>
          <w:trHeight w:val="277"/>
        </w:trPr>
        <w:tc>
          <w:tcPr>
            <w:tcW w:w="616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Buildings and leasehold improvements</w:t>
            </w:r>
          </w:p>
        </w:tc>
        <w:tc>
          <w:tcPr>
            <w:tcW w:w="38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2-50</w:t>
            </w:r>
          </w:p>
        </w:tc>
        <w:tc>
          <w:tcPr>
            <w:tcW w:w="0" w:type="dxa"/>
            <w:vAlign w:val="bottom"/>
          </w:tcPr>
          <w:p>
            <w:pPr>
              <w:spacing w:after="0"/>
              <w:rPr>
                <w:sz w:val="1"/>
                <w:szCs w:val="1"/>
                <w:color w:val="auto"/>
              </w:rPr>
            </w:pPr>
          </w:p>
        </w:tc>
      </w:tr>
      <w:tr>
        <w:trPr>
          <w:trHeight w:val="277"/>
        </w:trPr>
        <w:tc>
          <w:tcPr>
            <w:tcW w:w="616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Machinery and equipment</w:t>
            </w:r>
          </w:p>
        </w:tc>
        <w:tc>
          <w:tcPr>
            <w:tcW w:w="38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2-20</w:t>
            </w:r>
          </w:p>
        </w:tc>
        <w:tc>
          <w:tcPr>
            <w:tcW w:w="0" w:type="dxa"/>
            <w:vAlign w:val="bottom"/>
          </w:tcPr>
          <w:p>
            <w:pPr>
              <w:spacing w:after="0"/>
              <w:rPr>
                <w:sz w:val="1"/>
                <w:szCs w:val="1"/>
                <w:color w:val="auto"/>
              </w:rPr>
            </w:pPr>
          </w:p>
        </w:tc>
      </w:tr>
      <w:tr>
        <w:trPr>
          <w:trHeight w:val="277"/>
        </w:trPr>
        <w:tc>
          <w:tcPr>
            <w:tcW w:w="616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Information Systems</w:t>
            </w:r>
          </w:p>
        </w:tc>
        <w:tc>
          <w:tcPr>
            <w:tcW w:w="38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2-20</w:t>
            </w:r>
          </w:p>
        </w:tc>
        <w:tc>
          <w:tcPr>
            <w:tcW w:w="0" w:type="dxa"/>
            <w:vAlign w:val="bottom"/>
          </w:tcPr>
          <w:p>
            <w:pPr>
              <w:spacing w:after="0"/>
              <w:rPr>
                <w:sz w:val="1"/>
                <w:szCs w:val="1"/>
                <w:color w:val="auto"/>
              </w:rPr>
            </w:pPr>
          </w:p>
        </w:tc>
      </w:tr>
      <w:tr>
        <w:trPr>
          <w:trHeight w:val="277"/>
        </w:trPr>
        <w:tc>
          <w:tcPr>
            <w:tcW w:w="616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Cobalt-60</w:t>
            </w:r>
          </w:p>
        </w:tc>
        <w:tc>
          <w:tcPr>
            <w:tcW w:w="38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20</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880" w:firstLine="349"/>
        <w:spacing w:after="0" w:line="274" w:lineRule="auto"/>
        <w:rPr>
          <w:sz w:val="20"/>
          <w:szCs w:val="20"/>
          <w:color w:val="auto"/>
        </w:rPr>
      </w:pPr>
      <w:r>
        <w:rPr>
          <w:rFonts w:ascii="Times New Roman" w:cs="Times New Roman" w:eastAsia="Times New Roman" w:hAnsi="Times New Roman"/>
          <w:sz w:val="19"/>
          <w:szCs w:val="19"/>
          <w:color w:val="231F20"/>
        </w:rPr>
        <w:t>When we sell, retire, or dispose of property, plant, and equipment, we remove the asset’s cost and accumulated depreciation from our Consolidated Balance Sheet. We recognize the net gain or loss on the sale or disposition in the Consolidated Statements of Income in the period when the transaction occurs.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 xml:space="preserve">Interest. </w:t>
      </w:r>
      <w:r>
        <w:rPr>
          <w:rFonts w:ascii="Times New Roman" w:cs="Times New Roman" w:eastAsia="Times New Roman" w:hAnsi="Times New Roman"/>
          <w:sz w:val="19"/>
          <w:szCs w:val="19"/>
          <w:color w:val="231F20"/>
        </w:rPr>
        <w:t>We capitalize interest costs incurred during the construction of long-lived assets. We capitalized interest costs of</w:t>
      </w:r>
    </w:p>
    <w:p>
      <w:pPr>
        <w:spacing w:after="0" w:line="38"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9"/>
          <w:szCs w:val="19"/>
          <w:color w:val="231F20"/>
        </w:rPr>
        <w:t>$12.0 million and $7.2 million for the years ended March 31, 2026 and 2025, respectively. Total interest expense for the years ended March 31, 2026, 2025, and 2024 was $60.7 million, $86.3 million, and $144.4 million, respectively.</w:t>
      </w:r>
    </w:p>
    <w:p>
      <w:pPr>
        <w:spacing w:after="0" w:line="6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9"/>
          <w:szCs w:val="19"/>
          <w:b w:val="1"/>
          <w:bCs w:val="1"/>
          <w:color w:val="231F20"/>
        </w:rPr>
        <w:t xml:space="preserve">Identifiable Intangible Assets. </w:t>
      </w:r>
      <w:r>
        <w:rPr>
          <w:rFonts w:ascii="Times New Roman" w:cs="Times New Roman" w:eastAsia="Times New Roman" w:hAnsi="Times New Roman"/>
          <w:sz w:val="19"/>
          <w:szCs w:val="19"/>
          <w:color w:val="231F20"/>
        </w:rPr>
        <w:t>Our identifiable intangible assets include product technology rights, trademarks, licenses, non-compete agreements, and Customer and vendor relationships. We record these assets at cost, or when acquired as part of a business acquisition, at estimated fair value. Determining the fair value of identifiable intangible assets requires management’s judgment and often involves the use of significant estimates and assumptions, including assumptions with respect to forecasted revenue growth rates, forecasted profit margins, and Customer attrition rates, among other items. We generally amortize identifiable intangible assets over periods ranging from 5 to 20 years using the straight-line method. Our intangible assets also include indefinite lived assets including certain trademarks and tradenames that were acquired in connection with business combinations. These assets are tested at least annually for impairment.</w:t>
      </w:r>
    </w:p>
    <w:p>
      <w:pPr>
        <w:spacing w:after="0" w:line="78"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19"/>
          <w:szCs w:val="19"/>
          <w:b w:val="1"/>
          <w:bCs w:val="1"/>
          <w:color w:val="231F20"/>
        </w:rPr>
        <w:t xml:space="preserve">Investments. </w:t>
      </w:r>
      <w:r>
        <w:rPr>
          <w:rFonts w:ascii="Times New Roman" w:cs="Times New Roman" w:eastAsia="Times New Roman" w:hAnsi="Times New Roman"/>
          <w:sz w:val="19"/>
          <w:szCs w:val="19"/>
          <w:color w:val="231F20"/>
        </w:rPr>
        <w:t>Investments in marketable securities are stated at fair value. Changes in the fair value of these investments are</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recorded in the Other (income) expense line of the Consolidated Statements of Income. Investments without readily determinable fair values, are measured at cost, less any impairment, adjusted for changes resulting from observable price changes in orderly transactions for an identical or similar investment of the same issuer.</w:t>
      </w:r>
    </w:p>
    <w:p>
      <w:pPr>
        <w:spacing w:after="0" w:line="72"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9"/>
          <w:szCs w:val="19"/>
          <w:color w:val="231F20"/>
        </w:rPr>
        <w:t>The cost of equity method investments includes the purchase price plus transaction-related costs that are directly attributable to the investments. The investments are subsequently adjusted to recognize the Company's proportionate share of the investees' earnings or losses, distributions received, amortization of basis differences, and impairments, if any, with the impacts on our earnings recorded within Other (income) expense on the Consolidated Statements of Income.</w:t>
      </w:r>
    </w:p>
    <w:p>
      <w:pPr>
        <w:spacing w:after="0" w:line="72"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9"/>
          <w:szCs w:val="19"/>
          <w:color w:val="231F20"/>
        </w:rPr>
        <w:t>Where the cost of the Company's investment exceeds our proportionate share of the underlying book value of our investees' net assets, the excess is attributed to basis differences between the fair value and carrying amount of the identifiable assets and liabilities. Basis differences associated with depreciable or amortizable assets are amortized over their estimated useful lives.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These investments are included in Other assets on our Consolidated Balance Sheets.</w:t>
      </w:r>
    </w:p>
    <w:p>
      <w:pPr>
        <w:spacing w:after="0" w:line="12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9"/>
          <w:szCs w:val="19"/>
          <w:b w:val="1"/>
          <w:bCs w:val="1"/>
          <w:color w:val="231F20"/>
        </w:rPr>
        <w:t xml:space="preserve">Asset Impairment Losses. </w:t>
      </w:r>
      <w:r>
        <w:rPr>
          <w:rFonts w:ascii="Times New Roman" w:cs="Times New Roman" w:eastAsia="Times New Roman" w:hAnsi="Times New Roman"/>
          <w:sz w:val="19"/>
          <w:szCs w:val="19"/>
          <w:color w:val="231F20"/>
        </w:rPr>
        <w:t>Property, plant, equipment, and identifiable intangible assets are reviewed for impairment when</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indicators of impairment exist and circumstances indicate that the carrying value of such assets may not be recoverable. Impaired assets are recorded at the lower of carrying value or estimated fair value. We monitor for such indicators on an ongoing basis and if an impairment exists, we record the loss in the Consolidated Statements of Income during that period. We also evaluate our equity method investments for impairment whenever events or changes in circumstances indicate that the carrying amount of the investment may not be recoverable.</w:t>
      </w:r>
    </w:p>
    <w:p>
      <w:pPr>
        <w:sectPr>
          <w:pgSz w:w="11880" w:h="15480" w:orient="portrait"/>
          <w:cols w:equalWidth="0" w:num="1">
            <w:col w:w="9960"/>
          </w:cols>
          <w:pgMar w:left="960" w:top="25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62</w:t>
      </w:r>
    </w:p>
    <w:p>
      <w:pPr>
        <w:sectPr>
          <w:pgSz w:w="11880" w:h="15480" w:orient="portrait"/>
          <w:cols w:equalWidth="0" w:num="1">
            <w:col w:w="9960"/>
          </w:cols>
          <w:pgMar w:left="960" w:top="250" w:right="960" w:bottom="0"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b w:val="1"/>
          <w:bCs w:val="1"/>
          <w:color w:val="231F20"/>
        </w:rPr>
        <w:t xml:space="preserve">Asset Retirement Obligations. </w:t>
      </w:r>
      <w:r>
        <w:rPr>
          <w:rFonts w:ascii="Times New Roman" w:cs="Times New Roman" w:eastAsia="Times New Roman" w:hAnsi="Times New Roman"/>
          <w:sz w:val="19"/>
          <w:szCs w:val="19"/>
          <w:color w:val="231F20"/>
        </w:rPr>
        <w:t>We incur retirement obligations for certain assets. We record initial liabilities for the asset</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retirement obligations ("ARO") at fair value. Recognition of ARO includes estimating the present value of a liability and offsetting asset, the subsequent accretion of that liability and depletion of the asset, and a periodic review of the ARO liability estimates and discount rates used in the analysis. We provide additional information about our asset retirement obligations in Note 7 titled, “Property, Plant, and Equipment.”</w:t>
      </w:r>
    </w:p>
    <w:p>
      <w:pPr>
        <w:spacing w:after="0" w:line="70"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9"/>
          <w:szCs w:val="19"/>
          <w:b w:val="1"/>
          <w:bCs w:val="1"/>
          <w:color w:val="231F20"/>
        </w:rPr>
        <w:t xml:space="preserve">Acquisitions of Business. </w:t>
      </w:r>
      <w:r>
        <w:rPr>
          <w:rFonts w:ascii="Times New Roman" w:cs="Times New Roman" w:eastAsia="Times New Roman" w:hAnsi="Times New Roman"/>
          <w:sz w:val="19"/>
          <w:szCs w:val="19"/>
          <w:color w:val="231F20"/>
        </w:rPr>
        <w:t>Assets acquired and liabilities assumed in a business combination are accounted for at fair value on</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the date of acquisition. Costs related to the acquisition are expensed as incurred.</w:t>
      </w:r>
    </w:p>
    <w:p>
      <w:pPr>
        <w:spacing w:after="0" w:line="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9"/>
          <w:szCs w:val="19"/>
          <w:b w:val="1"/>
          <w:bCs w:val="1"/>
          <w:color w:val="231F20"/>
        </w:rPr>
        <w:t xml:space="preserve">Goodwill. </w:t>
      </w:r>
      <w:r>
        <w:rPr>
          <w:rFonts w:ascii="Times New Roman" w:cs="Times New Roman" w:eastAsia="Times New Roman" w:hAnsi="Times New Roman"/>
          <w:sz w:val="19"/>
          <w:szCs w:val="19"/>
          <w:color w:val="231F20"/>
        </w:rPr>
        <w:t>We perform our annual impairment test for goodwill in the third quarter of each year. We may consider qualitative</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indicators of the fair value of a reporting unit when it is unlikely that a reporting unit has impaired goodwill. We may also utilize a discounted cash flow analysis that requires certain assumptions and estimates be made regarding market conditions and our future profitability. We review the book value compared to the fair value at the reporting unit level. We calculate the fair value of our reporting units based on the present value of estimated future cash flows. Management's judgment is necessary to evaluate the impact of operating and macroeconomic changes and to estimate future cash flows to measure fair value. Assumptions used in our impairment evaluations, such as forecasted growth rates and cost of capital, are consistent with internal projections, strategic plans, and operating plans. We believe such assumptions and estimates are also comparable to those that would be used by other marketplace participants.</w:t>
      </w:r>
    </w:p>
    <w:p>
      <w:pPr>
        <w:spacing w:after="0" w:line="7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9"/>
          <w:szCs w:val="19"/>
          <w:b w:val="1"/>
          <w:bCs w:val="1"/>
          <w:color w:val="231F20"/>
        </w:rPr>
        <w:t xml:space="preserve">Self-Insurance Liabilities. </w:t>
      </w:r>
      <w:r>
        <w:rPr>
          <w:rFonts w:ascii="Times New Roman" w:cs="Times New Roman" w:eastAsia="Times New Roman" w:hAnsi="Times New Roman"/>
          <w:sz w:val="19"/>
          <w:szCs w:val="19"/>
          <w:color w:val="231F20"/>
        </w:rPr>
        <w:t>We record a liability for self-insured risks that we retain for general and product liabilities,</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workers’ compensation, and automobile liabilities based on actuarial calculations. We use our historical loss experience and actuarial methods to calculate the liability. This liability includes estimates for both known losses and incurred but not reported claims. We review the assumptions used to calculate the estimated liability at least annually to evaluate the adequacy of the amount recorded. We maintain insurance policies to cover losses greater than our estimated liability, which are subject to the terms and conditions of those policies. We are also self-insured for certain employee medical claims. We estimate a liability for incurred but not reported claims based upon recent claims experience. Liability amounts are recorded in the "Accrued expenses and other" and "Other liabilities" lines of our Consolidated Balance Sheets.</w:t>
      </w:r>
    </w:p>
    <w:p>
      <w:pPr>
        <w:spacing w:after="0" w:line="7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9"/>
          <w:szCs w:val="19"/>
          <w:b w:val="1"/>
          <w:bCs w:val="1"/>
          <w:color w:val="231F20"/>
        </w:rPr>
        <w:t xml:space="preserve">Benefit Plans. </w:t>
      </w:r>
      <w:r>
        <w:rPr>
          <w:rFonts w:ascii="Times New Roman" w:cs="Times New Roman" w:eastAsia="Times New Roman" w:hAnsi="Times New Roman"/>
          <w:sz w:val="19"/>
          <w:szCs w:val="19"/>
          <w:color w:val="231F20"/>
        </w:rPr>
        <w:t>We sponsor defined benefit pension plans. We also sponsor a post-retirement benefits plan for certain former</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employees. We determine our costs and obligations related to these plans by evaluating input from third-party professional advisers. These costs and obligations are affected by assumptions including the discount rate, expected long-term rate of return on plan assets, the annual rate of change in compensation for eligible employees, estimated changes in costs of healthcare benefits, and other factors. We review the assumptions used on an annual basis.</w:t>
      </w:r>
    </w:p>
    <w:p>
      <w:pPr>
        <w:spacing w:after="0" w:line="74" w:lineRule="exact"/>
        <w:rPr>
          <w:sz w:val="20"/>
          <w:szCs w:val="20"/>
          <w:color w:val="auto"/>
        </w:rPr>
      </w:pPr>
    </w:p>
    <w:p>
      <w:pPr>
        <w:ind w:right="180" w:firstLine="349"/>
        <w:spacing w:after="0" w:line="263" w:lineRule="auto"/>
        <w:rPr>
          <w:sz w:val="20"/>
          <w:szCs w:val="20"/>
          <w:color w:val="auto"/>
        </w:rPr>
      </w:pPr>
      <w:r>
        <w:rPr>
          <w:rFonts w:ascii="Times New Roman" w:cs="Times New Roman" w:eastAsia="Times New Roman" w:hAnsi="Times New Roman"/>
          <w:sz w:val="19"/>
          <w:szCs w:val="19"/>
          <w:color w:val="231F20"/>
        </w:rPr>
        <w:t>We recognize an asset for the overfunded status or a liability for the underfunded status of defined benefit pension and post-retirement benefits plans in our Consolidated Balance Sheets. This amount is measured as the difference between the fair value of plan assets and the benefit obligation (the projected benefit obligation for pension plans and the accumulated post-retirement benefit obligation for other post-retirement benefit plans). Changes in the funded status of the plans are recorded in other comprehensive income in the year they occur. We measure plan assets and obligations as of the balance sheet date. We provide additional information about our pension and other post-retirement benefits plans in Note 11 titled, “Benefit Plans.”</w:t>
      </w:r>
    </w:p>
    <w:p>
      <w:pPr>
        <w:spacing w:after="0" w:line="7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b w:val="1"/>
          <w:bCs w:val="1"/>
          <w:color w:val="231F20"/>
        </w:rPr>
        <w:t xml:space="preserve">Foreign Currency Translation. </w:t>
      </w:r>
      <w:r>
        <w:rPr>
          <w:rFonts w:ascii="Times New Roman" w:cs="Times New Roman" w:eastAsia="Times New Roman" w:hAnsi="Times New Roman"/>
          <w:sz w:val="19"/>
          <w:szCs w:val="19"/>
          <w:color w:val="231F20"/>
        </w:rPr>
        <w:t>Our reporting currency is United States Dollars ("USD"). Most of our operations use their</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local currency as their functional currency. Financial statements of subsidiaries are translated into USD using the exchange rate at each balance sheet date for assets and liabilities and a weighted average exchange rate for each period for revenues, expenses, gains and losses. Translation adjustments for subsidiaries whose local currency is their functional currency are recorded as a component of accumulated other comprehensive income (loss) within equity. Transactions with equity method investees are recorded in their transactional currency and converted to the functional currency of the investor. The carrying amount of the investment is translated from the functional currency of the investor to USD, with translation adjustments recorded in accumulated other comprehensive income (loss) within equity. Transaction gains and losses resulting from fluctuations in currency exchange rates on transactions denominated in currencies other than the functional currency are recognized as incurred in the accompanying Consolidated Statements of Income, except for certain intercompany balances designated as long-term in nature.</w:t>
      </w:r>
    </w:p>
    <w:p>
      <w:pPr>
        <w:sectPr>
          <w:pgSz w:w="11880" w:h="15480" w:orient="portrait"/>
          <w:cols w:equalWidth="0" w:num="1">
            <w:col w:w="9960"/>
          </w:cols>
          <w:pgMar w:left="960" w:top="25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63</w:t>
      </w:r>
    </w:p>
    <w:p>
      <w:pPr>
        <w:sectPr>
          <w:pgSz w:w="11880" w:h="15480" w:orient="portrait"/>
          <w:cols w:equalWidth="0" w:num="1">
            <w:col w:w="9960"/>
          </w:cols>
          <w:pgMar w:left="960" w:top="251" w:right="960" w:bottom="0" w:gutter="0" w:footer="0" w:header="0"/>
          <w:type w:val="continuous"/>
        </w:sectPr>
      </w:pPr>
    </w:p>
    <w:bookmarkStart w:id="64" w:name="page65"/>
    <w:bookmarkEnd w:id="64"/>
    <w:p>
      <w:pPr>
        <w:jc w:val="center"/>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9"/>
          <w:szCs w:val="19"/>
          <w:b w:val="1"/>
          <w:bCs w:val="1"/>
          <w:color w:val="231F20"/>
        </w:rPr>
        <w:t xml:space="preserve">Forward and Swap Contracts. </w:t>
      </w:r>
      <w:r>
        <w:rPr>
          <w:rFonts w:ascii="Times New Roman" w:cs="Times New Roman" w:eastAsia="Times New Roman" w:hAnsi="Times New Roman"/>
          <w:sz w:val="19"/>
          <w:szCs w:val="19"/>
          <w:color w:val="231F20"/>
        </w:rPr>
        <w:t>We enter into foreign currency forward contracts to hedge assets and liabilities denominated</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in foreign currencies, including intercompany transactions. We may also enter into commodity swap contracts to hedge price changes in nickel that impact raw materials included in our Cost of revenues. We may also hold foreign currency forward contracts to hedge a portion of our expected non-U.S. dollar denominated earnings against our reporting currency, the U.S. dollar. We do not use derivative financial instruments for speculative purposes. These contracts are marked to market, with gains and losses recognized within Selling, general, and administrative expenses or Cost of revenues in the accompanying Consolidated Statements of Income.</w:t>
      </w:r>
    </w:p>
    <w:p>
      <w:pPr>
        <w:spacing w:after="0" w:line="77" w:lineRule="exact"/>
        <w:rPr>
          <w:sz w:val="20"/>
          <w:szCs w:val="20"/>
          <w:color w:val="auto"/>
        </w:rPr>
      </w:pPr>
    </w:p>
    <w:p>
      <w:pPr>
        <w:ind w:right="280"/>
        <w:spacing w:after="0" w:line="276" w:lineRule="auto"/>
        <w:rPr>
          <w:sz w:val="20"/>
          <w:szCs w:val="20"/>
          <w:color w:val="auto"/>
        </w:rPr>
      </w:pPr>
      <w:r>
        <w:rPr>
          <w:rFonts w:ascii="Times New Roman" w:cs="Times New Roman" w:eastAsia="Times New Roman" w:hAnsi="Times New Roman"/>
          <w:sz w:val="19"/>
          <w:szCs w:val="19"/>
          <w:b w:val="1"/>
          <w:bCs w:val="1"/>
          <w:color w:val="231F20"/>
        </w:rPr>
        <w:t xml:space="preserve">Warranty. </w:t>
      </w:r>
      <w:r>
        <w:rPr>
          <w:rFonts w:ascii="Times New Roman" w:cs="Times New Roman" w:eastAsia="Times New Roman" w:hAnsi="Times New Roman"/>
          <w:sz w:val="19"/>
          <w:szCs w:val="19"/>
          <w:color w:val="231F20"/>
        </w:rPr>
        <w:t>Warranties are provided on the sale of certain of our products and services and an accrual for estimated future</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claims is recorded at the time revenues are recognized. We estimate warranty expense based primarily on historical warranty claim experience.</w:t>
      </w:r>
    </w:p>
    <w:p>
      <w:pPr>
        <w:spacing w:after="0" w:line="61"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9"/>
          <w:szCs w:val="19"/>
          <w:b w:val="1"/>
          <w:bCs w:val="1"/>
          <w:color w:val="231F20"/>
        </w:rPr>
        <w:t xml:space="preserve">Shipping and Handling. </w:t>
      </w:r>
      <w:r>
        <w:rPr>
          <w:rFonts w:ascii="Times New Roman" w:cs="Times New Roman" w:eastAsia="Times New Roman" w:hAnsi="Times New Roman"/>
          <w:sz w:val="19"/>
          <w:szCs w:val="19"/>
          <w:color w:val="231F20"/>
        </w:rPr>
        <w:t>We record shipping and handling costs in Cost of revenues. Shipping and handling costs charged to</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Customers are recorded as revenues in the period the product revenues are recognized.</w:t>
      </w:r>
    </w:p>
    <w:p>
      <w:pPr>
        <w:spacing w:after="0" w:line="41"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9"/>
          <w:szCs w:val="19"/>
          <w:b w:val="1"/>
          <w:bCs w:val="1"/>
          <w:color w:val="231F20"/>
        </w:rPr>
        <w:t xml:space="preserve">Advertising Expenses. </w:t>
      </w:r>
      <w:r>
        <w:rPr>
          <w:rFonts w:ascii="Times New Roman" w:cs="Times New Roman" w:eastAsia="Times New Roman" w:hAnsi="Times New Roman"/>
          <w:sz w:val="19"/>
          <w:szCs w:val="19"/>
          <w:color w:val="231F20"/>
        </w:rPr>
        <w:t>Costs incurred for communicating, advertising and promoting our products are generally expensed</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when incurred as a component of Selling, general, and administrative expenses. We incurred $20.3 million, $19.9 million, and $25.5 million of advertising costs during the years ended March 31, 2026, 2025, and 2024, respectively.</w:t>
      </w:r>
    </w:p>
    <w:p>
      <w:pPr>
        <w:spacing w:after="0" w:line="61" w:lineRule="exact"/>
        <w:rPr>
          <w:sz w:val="20"/>
          <w:szCs w:val="20"/>
          <w:color w:val="auto"/>
        </w:rPr>
      </w:pPr>
    </w:p>
    <w:p>
      <w:pPr>
        <w:jc w:val="both"/>
        <w:ind w:right="380"/>
        <w:spacing w:after="0" w:line="276" w:lineRule="auto"/>
        <w:rPr>
          <w:sz w:val="20"/>
          <w:szCs w:val="20"/>
          <w:color w:val="auto"/>
        </w:rPr>
      </w:pPr>
      <w:r>
        <w:rPr>
          <w:rFonts w:ascii="Times New Roman" w:cs="Times New Roman" w:eastAsia="Times New Roman" w:hAnsi="Times New Roman"/>
          <w:sz w:val="19"/>
          <w:szCs w:val="19"/>
          <w:b w:val="1"/>
          <w:bCs w:val="1"/>
          <w:color w:val="231F20"/>
        </w:rPr>
        <w:t xml:space="preserve">Research and Development. </w:t>
      </w:r>
      <w:r>
        <w:rPr>
          <w:rFonts w:ascii="Times New Roman" w:cs="Times New Roman" w:eastAsia="Times New Roman" w:hAnsi="Times New Roman"/>
          <w:sz w:val="19"/>
          <w:szCs w:val="19"/>
          <w:color w:val="231F20"/>
        </w:rPr>
        <w:t>We incur research and development costs associated with commercial products and expense</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these costs as incurred. If a Customer reimburses us for research and development costs, the costs are charged to the related contracts as Cost of revenues.</w:t>
      </w:r>
    </w:p>
    <w:p>
      <w:pPr>
        <w:spacing w:after="0" w:line="6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9"/>
          <w:szCs w:val="19"/>
          <w:b w:val="1"/>
          <w:bCs w:val="1"/>
          <w:color w:val="231F20"/>
        </w:rPr>
        <w:t xml:space="preserve">Income Taxes. </w:t>
      </w:r>
      <w:r>
        <w:rPr>
          <w:rFonts w:ascii="Times New Roman" w:cs="Times New Roman" w:eastAsia="Times New Roman" w:hAnsi="Times New Roman"/>
          <w:sz w:val="19"/>
          <w:szCs w:val="19"/>
          <w:color w:val="231F20"/>
        </w:rPr>
        <w:t>We defer income taxes for all temporary differences between pre-tax financial and taxable income and between</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the book and tax basis of assets and liabilities. We record valuation allowances to reduce net deferred tax assets to an amount that we expect will more-likely-than-not be realized. In making such a determination, we consider all available information, including scheduled reversals of deferred tax liabilities, projected future taxable income, tax planning strategies, and if applicable, any carryback claims that can be filed. In the event we were to determine that we would be able to realize our deferred income tax assets in the future in excess of their net recorded amount, we would make an adjustment to the valuation allowance which would reduce the provision for income taxes and the effective tax rate.</w:t>
      </w:r>
    </w:p>
    <w:p>
      <w:pPr>
        <w:spacing w:after="0" w:line="81" w:lineRule="exact"/>
        <w:rPr>
          <w:sz w:val="20"/>
          <w:szCs w:val="20"/>
          <w:color w:val="auto"/>
        </w:rPr>
      </w:pPr>
    </w:p>
    <w:p>
      <w:pPr>
        <w:ind w:firstLine="349"/>
        <w:spacing w:after="0" w:line="258" w:lineRule="auto"/>
        <w:rPr>
          <w:sz w:val="20"/>
          <w:szCs w:val="20"/>
          <w:color w:val="auto"/>
        </w:rPr>
      </w:pPr>
      <w:r>
        <w:rPr>
          <w:rFonts w:ascii="Times New Roman" w:cs="Times New Roman" w:eastAsia="Times New Roman" w:hAnsi="Times New Roman"/>
          <w:sz w:val="19"/>
          <w:szCs w:val="19"/>
          <w:color w:val="231F20"/>
        </w:rPr>
        <w:t>We evaluate uncertain tax positions in accordance with a two-step process. The first step is recognition: The determination of whether or not it is more-likely-than-not that a tax position will be sustained upon examination, including resolution of any related appeals or litigation processes, based on the technical merits of the position. In evaluating whether a tax position has met the more-likely-than-not recognition threshold, we presume that the position will be examined by the appropriate tax authority and that the tax authority will have full knowledge of all relevant information. The second step is measurement: A tax position that meets the more-likely-than-not threshold is measured to determine the amount of benefit to recognize in the financial statements. The measurement process requires the determination of the range of possible settlement amounts and the probability of achieving each of the possible settlements. The tax position is measured at the largest amount of benefit that is greater than fifty percent likely of being realized upon ultimate settlement. No tax benefits are recognized for positions that do not meet the more-likely-than-not threshold. Tax positions that previously failed to meet the more-likely-than-not threshold are recognized in the first subsequent financial reporting period in which that threshold is met. Previously recognized tax positions that no longer meet the more-likely-than-not recognition threshold are derecognized in the first subsequent financial reporting period in which the threshold is no longer met. We describe income taxes further in Note 10 titled, “Income Taxes.”</w:t>
      </w:r>
    </w:p>
    <w:p>
      <w:pPr>
        <w:spacing w:after="0" w:line="8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b w:val="1"/>
          <w:bCs w:val="1"/>
          <w:color w:val="231F20"/>
        </w:rPr>
        <w:t xml:space="preserve">Share-Based Compensation. </w:t>
      </w:r>
      <w:r>
        <w:rPr>
          <w:rFonts w:ascii="Times New Roman" w:cs="Times New Roman" w:eastAsia="Times New Roman" w:hAnsi="Times New Roman"/>
          <w:sz w:val="19"/>
          <w:szCs w:val="19"/>
          <w:color w:val="231F20"/>
        </w:rPr>
        <w:t>We describe share-based compensation in Note 16 titled, “Share-Based Compensation.” We</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measure the cost of employee services received in exchange for an award of equity instruments based on the grant-date fair value of the award. The expense is classified as Cost of revenues, Selling, general, and administrative expenses or Research and development expenses in a manner consistent with the employee’s compensation and benefits. These costs are recognized in the Consolidated Statements of Income over the period during which an employee is required to provide service in exchange for the award.</w:t>
      </w:r>
    </w:p>
    <w:p>
      <w:pPr>
        <w:sectPr>
          <w:pgSz w:w="11880" w:h="15480" w:orient="portrait"/>
          <w:cols w:equalWidth="0" w:num="1">
            <w:col w:w="9960"/>
          </w:cols>
          <w:pgMar w:left="960" w:top="25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64</w:t>
      </w:r>
    </w:p>
    <w:p>
      <w:pPr>
        <w:sectPr>
          <w:pgSz w:w="11880" w:h="15480" w:orient="portrait"/>
          <w:cols w:equalWidth="0" w:num="1">
            <w:col w:w="9960"/>
          </w:cols>
          <w:pgMar w:left="960" w:top="250" w:right="960" w:bottom="0" w:gutter="0" w:footer="0" w:header="0"/>
          <w:type w:val="continuous"/>
        </w:sectPr>
      </w:pPr>
    </w:p>
    <w:bookmarkStart w:id="65" w:name="page66"/>
    <w:bookmarkEnd w:id="65"/>
    <w:p>
      <w:pPr>
        <w:jc w:val="center"/>
        <w:ind w:right="-119"/>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7"/>
          <w:szCs w:val="27"/>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b w:val="1"/>
          <w:bCs w:val="1"/>
          <w:color w:val="231F20"/>
        </w:rPr>
        <w:t xml:space="preserve">Restructuring. </w:t>
      </w:r>
      <w:r>
        <w:rPr>
          <w:rFonts w:ascii="Times New Roman" w:cs="Times New Roman" w:eastAsia="Times New Roman" w:hAnsi="Times New Roman"/>
          <w:sz w:val="19"/>
          <w:szCs w:val="19"/>
          <w:color w:val="231F20"/>
        </w:rPr>
        <w:t>We recognize restructuring expenses associated with actions designed to enhance profitability and improve</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efficiency of our operations. Severance and other compensation related costs include severance, medical benefits, and other termination benefits. For ongoing benefit arrangements, a liability is recognized when it is probable that employees will be entitled to benefits and the amount can be reasonably estimated. For one-time benefit arrangements, a liability is incurred and must be accrued at the date the plan is communicated to employees, unless they will be retained beyond a minimum retention period. In this case, the liability is calculated at the date the plan is communicated to employees and is accrued ratably over the future service period. Asset impairment expenses primarily relate to adjustments in the carrying value of facilities and machinery and equipment associated with restructuring actions to their estimated fair value. In addition, the remaining useful lives of other property, plant, and equipment associated with the restructuring actions are re-evaluated, which may result in the acceleration of depreciation and amortization of certain assets. Other restructuring expenses are expensed as incurred. Product rationalization charges relate to inventory write-downs and are recognized in Cost of revenues in the Consolidated Statements of Income</w:t>
      </w:r>
      <w:r>
        <w:rPr>
          <w:rFonts w:ascii="Arial" w:cs="Arial" w:eastAsia="Arial" w:hAnsi="Arial"/>
          <w:sz w:val="22"/>
          <w:szCs w:val="22"/>
          <w:color w:val="231F20"/>
        </w:rPr>
        <w:t>.</w:t>
      </w:r>
      <w:r>
        <w:rPr>
          <w:rFonts w:ascii="Times New Roman" w:cs="Times New Roman" w:eastAsia="Times New Roman" w:hAnsi="Times New Roman"/>
          <w:sz w:val="19"/>
          <w:szCs w:val="19"/>
          <w:color w:val="231F20"/>
        </w:rPr>
        <w:t xml:space="preserve"> For additional information regarding our recent restructurings, refer to Note 2 titled, "Restructuring."</w:t>
      </w:r>
    </w:p>
    <w:p>
      <w:pPr>
        <w:sectPr>
          <w:pgSz w:w="11880" w:h="15480" w:orient="portrait"/>
          <w:cols w:equalWidth="0" w:num="1">
            <w:col w:w="9840"/>
          </w:cols>
          <w:pgMar w:left="960" w:top="250"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231F20"/>
        </w:rPr>
        <w:t>65</w:t>
      </w:r>
    </w:p>
    <w:p>
      <w:pPr>
        <w:sectPr>
          <w:pgSz w:w="11880" w:h="15480" w:orient="portrait"/>
          <w:cols w:equalWidth="0" w:num="1">
            <w:col w:w="9840"/>
          </w:cols>
          <w:pgMar w:left="960" w:top="250" w:right="1080" w:bottom="0" w:gutter="0" w:footer="0" w:header="0"/>
          <w:type w:val="continuous"/>
        </w:sectPr>
      </w:pPr>
    </w:p>
    <w:bookmarkStart w:id="66" w:name="page67"/>
    <w:bookmarkEnd w:id="66"/>
    <w:p>
      <w:pPr>
        <w:jc w:val="center"/>
        <w:ind w:right="-99"/>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7"/>
          <w:szCs w:val="27"/>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Recently Issued Accounting Standards Impacting the Company</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Recently Issued Accounting Standards Impacting the Company are presented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108585</wp:posOffset>
            </wp:positionV>
            <wp:extent cx="6272530" cy="6651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extLst>
                    </a:blip>
                    <a:srcRect/>
                    <a:stretch>
                      <a:fillRect/>
                    </a:stretch>
                  </pic:blipFill>
                  <pic:spPr bwMode="auto">
                    <a:xfrm>
                      <a:off x="0" y="0"/>
                      <a:ext cx="6272530" cy="6651625"/>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60" w:type="dxa"/>
            <w:vAlign w:val="bottom"/>
          </w:tcPr>
          <w:p>
            <w:pPr>
              <w:spacing w:after="0"/>
              <w:rPr>
                <w:sz w:val="17"/>
                <w:szCs w:val="17"/>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231F20"/>
              </w:rPr>
              <w:t>Date of</w:t>
            </w:r>
          </w:p>
        </w:tc>
        <w:tc>
          <w:tcPr>
            <w:tcW w:w="3880" w:type="dxa"/>
            <w:vAlign w:val="bottom"/>
          </w:tcPr>
          <w:p>
            <w:pPr>
              <w:spacing w:after="0"/>
              <w:rPr>
                <w:sz w:val="17"/>
                <w:szCs w:val="17"/>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231F20"/>
              </w:rPr>
              <w:t>Date of</w:t>
            </w:r>
          </w:p>
        </w:tc>
        <w:tc>
          <w:tcPr>
            <w:tcW w:w="25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231F20"/>
              </w:rPr>
              <w:t>Effect on the financial</w:t>
            </w:r>
          </w:p>
        </w:tc>
        <w:tc>
          <w:tcPr>
            <w:tcW w:w="0" w:type="dxa"/>
            <w:vAlign w:val="bottom"/>
          </w:tcPr>
          <w:p>
            <w:pPr>
              <w:spacing w:after="0"/>
              <w:rPr>
                <w:sz w:val="1"/>
                <w:szCs w:val="1"/>
                <w:color w:val="auto"/>
              </w:rPr>
            </w:pPr>
          </w:p>
        </w:tc>
      </w:tr>
      <w:tr>
        <w:trPr>
          <w:trHeight w:val="175"/>
        </w:trPr>
        <w:tc>
          <w:tcPr>
            <w:tcW w:w="1560" w:type="dxa"/>
            <w:vAlign w:val="bottom"/>
            <w:vMerge w:val="restart"/>
          </w:tcPr>
          <w:p>
            <w:pPr>
              <w:ind w:left="400"/>
              <w:spacing w:after="0"/>
              <w:rPr>
                <w:sz w:val="20"/>
                <w:szCs w:val="20"/>
                <w:color w:val="auto"/>
              </w:rPr>
            </w:pPr>
            <w:r>
              <w:rPr>
                <w:rFonts w:ascii="Times New Roman" w:cs="Times New Roman" w:eastAsia="Times New Roman" w:hAnsi="Times New Roman"/>
                <w:sz w:val="17"/>
                <w:szCs w:val="17"/>
                <w:b w:val="1"/>
                <w:bCs w:val="1"/>
                <w:color w:val="231F20"/>
              </w:rPr>
              <w:t>Standard</w:t>
            </w:r>
          </w:p>
        </w:tc>
        <w:tc>
          <w:tcPr>
            <w:tcW w:w="1040" w:type="dxa"/>
            <w:vAlign w:val="bottom"/>
            <w:vMerge w:val="continue"/>
          </w:tcPr>
          <w:p>
            <w:pPr>
              <w:spacing w:after="0"/>
              <w:rPr>
                <w:sz w:val="15"/>
                <w:szCs w:val="15"/>
                <w:color w:val="auto"/>
              </w:rPr>
            </w:pPr>
          </w:p>
        </w:tc>
        <w:tc>
          <w:tcPr>
            <w:tcW w:w="3880" w:type="dxa"/>
            <w:vAlign w:val="bottom"/>
            <w:vMerge w:val="restart"/>
          </w:tcPr>
          <w:p>
            <w:pPr>
              <w:ind w:left="1520"/>
              <w:spacing w:after="0"/>
              <w:rPr>
                <w:sz w:val="20"/>
                <w:szCs w:val="20"/>
                <w:color w:val="auto"/>
              </w:rPr>
            </w:pPr>
            <w:r>
              <w:rPr>
                <w:rFonts w:ascii="Times New Roman" w:cs="Times New Roman" w:eastAsia="Times New Roman" w:hAnsi="Times New Roman"/>
                <w:sz w:val="17"/>
                <w:szCs w:val="17"/>
                <w:b w:val="1"/>
                <w:bCs w:val="1"/>
                <w:color w:val="231F20"/>
              </w:rPr>
              <w:t>Description</w:t>
            </w:r>
          </w:p>
        </w:tc>
        <w:tc>
          <w:tcPr>
            <w:tcW w:w="880" w:type="dxa"/>
            <w:vAlign w:val="bottom"/>
            <w:vMerge w:val="continue"/>
          </w:tcPr>
          <w:p>
            <w:pPr>
              <w:spacing w:after="0"/>
              <w:rPr>
                <w:sz w:val="15"/>
                <w:szCs w:val="15"/>
                <w:color w:val="auto"/>
              </w:rPr>
            </w:pPr>
          </w:p>
        </w:tc>
        <w:tc>
          <w:tcPr>
            <w:tcW w:w="250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231F20"/>
              </w:rPr>
              <w:t>statements or other significant</w:t>
            </w:r>
          </w:p>
        </w:tc>
        <w:tc>
          <w:tcPr>
            <w:tcW w:w="0" w:type="dxa"/>
            <w:vAlign w:val="bottom"/>
          </w:tcPr>
          <w:p>
            <w:pPr>
              <w:spacing w:after="0"/>
              <w:rPr>
                <w:sz w:val="1"/>
                <w:szCs w:val="1"/>
                <w:color w:val="auto"/>
              </w:rPr>
            </w:pPr>
          </w:p>
        </w:tc>
      </w:tr>
      <w:tr>
        <w:trPr>
          <w:trHeight w:val="231"/>
        </w:trPr>
        <w:tc>
          <w:tcPr>
            <w:tcW w:w="1560" w:type="dxa"/>
            <w:vAlign w:val="bottom"/>
            <w:tcBorders>
              <w:bottom w:val="single" w:sz="8" w:color="231F20"/>
            </w:tcBorders>
            <w:vMerge w:val="continue"/>
          </w:tcPr>
          <w:p>
            <w:pPr>
              <w:spacing w:after="0"/>
              <w:rPr>
                <w:sz w:val="20"/>
                <w:szCs w:val="20"/>
                <w:color w:val="auto"/>
              </w:rPr>
            </w:pPr>
          </w:p>
        </w:tc>
        <w:tc>
          <w:tcPr>
            <w:tcW w:w="10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7"/>
                <w:szCs w:val="17"/>
                <w:b w:val="1"/>
                <w:bCs w:val="1"/>
                <w:color w:val="231F20"/>
              </w:rPr>
              <w:t>Issuance</w:t>
            </w:r>
          </w:p>
        </w:tc>
        <w:tc>
          <w:tcPr>
            <w:tcW w:w="3880" w:type="dxa"/>
            <w:vAlign w:val="bottom"/>
            <w:tcBorders>
              <w:bottom w:val="single" w:sz="8" w:color="231F20"/>
            </w:tcBorders>
            <w:vMerge w:val="continue"/>
          </w:tcPr>
          <w:p>
            <w:pPr>
              <w:spacing w:after="0"/>
              <w:rPr>
                <w:sz w:val="20"/>
                <w:szCs w:val="20"/>
                <w:color w:val="auto"/>
              </w:rPr>
            </w:pPr>
          </w:p>
        </w:tc>
        <w:tc>
          <w:tcPr>
            <w:tcW w:w="8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7"/>
                <w:szCs w:val="17"/>
                <w:b w:val="1"/>
                <w:bCs w:val="1"/>
                <w:color w:val="231F20"/>
              </w:rPr>
              <w:t>Adoption</w:t>
            </w:r>
          </w:p>
        </w:tc>
        <w:tc>
          <w:tcPr>
            <w:tcW w:w="25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7"/>
                <w:szCs w:val="17"/>
                <w:b w:val="1"/>
                <w:bCs w:val="1"/>
                <w:color w:val="231F20"/>
              </w:rPr>
              <w:t>matters</w:t>
            </w:r>
          </w:p>
        </w:tc>
        <w:tc>
          <w:tcPr>
            <w:tcW w:w="0" w:type="dxa"/>
            <w:vAlign w:val="bottom"/>
          </w:tcPr>
          <w:p>
            <w:pPr>
              <w:spacing w:after="0"/>
              <w:rPr>
                <w:sz w:val="1"/>
                <w:szCs w:val="1"/>
                <w:color w:val="auto"/>
              </w:rPr>
            </w:pPr>
          </w:p>
        </w:tc>
      </w:tr>
      <w:tr>
        <w:trPr>
          <w:trHeight w:val="257"/>
        </w:trPr>
        <w:tc>
          <w:tcPr>
            <w:tcW w:w="6480" w:type="dxa"/>
            <w:vAlign w:val="bottom"/>
            <w:tcBorders>
              <w:bottom w:val="single" w:sz="8" w:color="231F20"/>
            </w:tcBorders>
            <w:gridSpan w:val="3"/>
          </w:tcPr>
          <w:p>
            <w:pPr>
              <w:ind w:left="60"/>
              <w:spacing w:after="0"/>
              <w:rPr>
                <w:sz w:val="20"/>
                <w:szCs w:val="20"/>
                <w:color w:val="auto"/>
              </w:rPr>
            </w:pPr>
            <w:r>
              <w:rPr>
                <w:rFonts w:ascii="Times New Roman" w:cs="Times New Roman" w:eastAsia="Times New Roman" w:hAnsi="Times New Roman"/>
                <w:sz w:val="19"/>
                <w:szCs w:val="19"/>
                <w:color w:val="231F20"/>
              </w:rPr>
              <w:t>Standards that have been adopted in fiscal 2026</w:t>
            </w:r>
          </w:p>
        </w:tc>
        <w:tc>
          <w:tcPr>
            <w:tcW w:w="880" w:type="dxa"/>
            <w:vAlign w:val="bottom"/>
            <w:tcBorders>
              <w:bottom w:val="single" w:sz="8" w:color="231F20"/>
            </w:tcBorders>
          </w:tcPr>
          <w:p>
            <w:pPr>
              <w:spacing w:after="0"/>
              <w:rPr>
                <w:sz w:val="22"/>
                <w:szCs w:val="22"/>
                <w:color w:val="auto"/>
              </w:rPr>
            </w:pPr>
          </w:p>
        </w:tc>
        <w:tc>
          <w:tcPr>
            <w:tcW w:w="2500" w:type="dxa"/>
            <w:vAlign w:val="bottom"/>
            <w:tcBorders>
              <w:bottom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1560" w:type="dxa"/>
            <w:vAlign w:val="bottom"/>
          </w:tcPr>
          <w:p>
            <w:pPr>
              <w:ind w:left="60"/>
              <w:spacing w:after="0" w:line="176" w:lineRule="exact"/>
              <w:rPr>
                <w:sz w:val="20"/>
                <w:szCs w:val="20"/>
                <w:color w:val="auto"/>
              </w:rPr>
            </w:pPr>
            <w:r>
              <w:rPr>
                <w:rFonts w:ascii="Times New Roman" w:cs="Times New Roman" w:eastAsia="Times New Roman" w:hAnsi="Times New Roman"/>
                <w:sz w:val="19"/>
                <w:szCs w:val="19"/>
                <w:color w:val="231F20"/>
              </w:rPr>
              <w:t>ASU 2023-09</w:t>
            </w:r>
          </w:p>
        </w:tc>
        <w:tc>
          <w:tcPr>
            <w:tcW w:w="1040" w:type="dxa"/>
            <w:vAlign w:val="bottom"/>
          </w:tcPr>
          <w:p>
            <w:pPr>
              <w:jc w:val="center"/>
              <w:spacing w:after="0" w:line="176" w:lineRule="exact"/>
              <w:rPr>
                <w:sz w:val="20"/>
                <w:szCs w:val="20"/>
                <w:color w:val="auto"/>
              </w:rPr>
            </w:pPr>
            <w:r>
              <w:rPr>
                <w:rFonts w:ascii="Times New Roman" w:cs="Times New Roman" w:eastAsia="Times New Roman" w:hAnsi="Times New Roman"/>
                <w:sz w:val="19"/>
                <w:szCs w:val="19"/>
                <w:color w:val="231F20"/>
              </w:rPr>
              <w:t>December</w:t>
            </w:r>
          </w:p>
        </w:tc>
        <w:tc>
          <w:tcPr>
            <w:tcW w:w="3880" w:type="dxa"/>
            <w:vAlign w:val="bottom"/>
          </w:tcPr>
          <w:p>
            <w:pPr>
              <w:ind w:left="100"/>
              <w:spacing w:after="0" w:line="176" w:lineRule="exact"/>
              <w:rPr>
                <w:sz w:val="20"/>
                <w:szCs w:val="20"/>
                <w:color w:val="auto"/>
              </w:rPr>
            </w:pPr>
            <w:r>
              <w:rPr>
                <w:rFonts w:ascii="Times New Roman" w:cs="Times New Roman" w:eastAsia="Times New Roman" w:hAnsi="Times New Roman"/>
                <w:sz w:val="19"/>
                <w:szCs w:val="19"/>
                <w:color w:val="231F20"/>
              </w:rPr>
              <w:t>The standard provides guidance to enhance</w:t>
            </w:r>
          </w:p>
        </w:tc>
        <w:tc>
          <w:tcPr>
            <w:tcW w:w="880" w:type="dxa"/>
            <w:vAlign w:val="bottom"/>
          </w:tcPr>
          <w:p>
            <w:pPr>
              <w:jc w:val="center"/>
              <w:spacing w:after="0" w:line="176" w:lineRule="exact"/>
              <w:rPr>
                <w:sz w:val="20"/>
                <w:szCs w:val="20"/>
                <w:color w:val="auto"/>
              </w:rPr>
            </w:pPr>
            <w:r>
              <w:rPr>
                <w:rFonts w:ascii="Times New Roman" w:cs="Times New Roman" w:eastAsia="Times New Roman" w:hAnsi="Times New Roman"/>
                <w:sz w:val="19"/>
                <w:szCs w:val="19"/>
                <w:color w:val="231F20"/>
              </w:rPr>
              <w:t>Fourth</w:t>
            </w:r>
          </w:p>
        </w:tc>
        <w:tc>
          <w:tcPr>
            <w:tcW w:w="2500" w:type="dxa"/>
            <w:vAlign w:val="bottom"/>
          </w:tcPr>
          <w:p>
            <w:pPr>
              <w:ind w:left="100"/>
              <w:spacing w:after="0" w:line="176" w:lineRule="exact"/>
              <w:rPr>
                <w:sz w:val="20"/>
                <w:szCs w:val="20"/>
                <w:color w:val="auto"/>
              </w:rPr>
            </w:pPr>
            <w:r>
              <w:rPr>
                <w:rFonts w:ascii="Times New Roman" w:cs="Times New Roman" w:eastAsia="Times New Roman" w:hAnsi="Times New Roman"/>
                <w:sz w:val="19"/>
                <w:szCs w:val="19"/>
                <w:color w:val="231F20"/>
              </w:rPr>
              <w:t>We adopted this standard on</w:t>
            </w:r>
          </w:p>
        </w:tc>
        <w:tc>
          <w:tcPr>
            <w:tcW w:w="0" w:type="dxa"/>
            <w:vAlign w:val="bottom"/>
          </w:tcPr>
          <w:p>
            <w:pPr>
              <w:spacing w:after="0"/>
              <w:rPr>
                <w:sz w:val="1"/>
                <w:szCs w:val="1"/>
                <w:color w:val="auto"/>
              </w:rPr>
            </w:pPr>
          </w:p>
        </w:tc>
      </w:tr>
      <w:tr>
        <w:trPr>
          <w:trHeight w:val="194"/>
        </w:trPr>
        <w:tc>
          <w:tcPr>
            <w:tcW w:w="156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231F20"/>
              </w:rPr>
              <w:t>"Income Taxes</w:t>
            </w:r>
          </w:p>
        </w:tc>
        <w:tc>
          <w:tcPr>
            <w:tcW w:w="1040" w:type="dxa"/>
            <w:vAlign w:val="bottom"/>
          </w:tcPr>
          <w:p>
            <w:pPr>
              <w:jc w:val="center"/>
              <w:spacing w:after="0" w:line="194" w:lineRule="exact"/>
              <w:rPr>
                <w:sz w:val="20"/>
                <w:szCs w:val="20"/>
                <w:color w:val="auto"/>
              </w:rPr>
            </w:pPr>
            <w:r>
              <w:rPr>
                <w:rFonts w:ascii="Times New Roman" w:cs="Times New Roman" w:eastAsia="Times New Roman" w:hAnsi="Times New Roman"/>
                <w:sz w:val="19"/>
                <w:szCs w:val="19"/>
                <w:color w:val="231F20"/>
              </w:rPr>
              <w:t>2023</w:t>
            </w:r>
          </w:p>
        </w:tc>
        <w:tc>
          <w:tcPr>
            <w:tcW w:w="388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disclosures related to effective tax rate</w:t>
            </w:r>
          </w:p>
        </w:tc>
        <w:tc>
          <w:tcPr>
            <w:tcW w:w="880" w:type="dxa"/>
            <w:vAlign w:val="bottom"/>
          </w:tcPr>
          <w:p>
            <w:pPr>
              <w:jc w:val="center"/>
              <w:spacing w:after="0" w:line="194" w:lineRule="exact"/>
              <w:rPr>
                <w:sz w:val="20"/>
                <w:szCs w:val="20"/>
                <w:color w:val="auto"/>
              </w:rPr>
            </w:pPr>
            <w:r>
              <w:rPr>
                <w:rFonts w:ascii="Times New Roman" w:cs="Times New Roman" w:eastAsia="Times New Roman" w:hAnsi="Times New Roman"/>
                <w:sz w:val="19"/>
                <w:szCs w:val="19"/>
                <w:color w:val="231F20"/>
              </w:rPr>
              <w:t>Quarter</w:t>
            </w:r>
          </w:p>
        </w:tc>
        <w:tc>
          <w:tcPr>
            <w:tcW w:w="250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a prospective basis in fiscal</w:t>
            </w:r>
          </w:p>
        </w:tc>
        <w:tc>
          <w:tcPr>
            <w:tcW w:w="0" w:type="dxa"/>
            <w:vAlign w:val="bottom"/>
          </w:tcPr>
          <w:p>
            <w:pPr>
              <w:spacing w:after="0"/>
              <w:rPr>
                <w:sz w:val="1"/>
                <w:szCs w:val="1"/>
                <w:color w:val="auto"/>
              </w:rPr>
            </w:pPr>
          </w:p>
        </w:tc>
      </w:tr>
      <w:tr>
        <w:trPr>
          <w:trHeight w:val="194"/>
        </w:trPr>
        <w:tc>
          <w:tcPr>
            <w:tcW w:w="156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231F20"/>
              </w:rPr>
              <w:t>(Topic 740)</w:t>
            </w:r>
          </w:p>
        </w:tc>
        <w:tc>
          <w:tcPr>
            <w:tcW w:w="1040" w:type="dxa"/>
            <w:vAlign w:val="bottom"/>
          </w:tcPr>
          <w:p>
            <w:pPr>
              <w:spacing w:after="0"/>
              <w:rPr>
                <w:sz w:val="16"/>
                <w:szCs w:val="16"/>
                <w:color w:val="auto"/>
              </w:rPr>
            </w:pPr>
          </w:p>
        </w:tc>
        <w:tc>
          <w:tcPr>
            <w:tcW w:w="388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reconciliations, requiring separate disclosure of</w:t>
            </w:r>
          </w:p>
        </w:tc>
        <w:tc>
          <w:tcPr>
            <w:tcW w:w="880" w:type="dxa"/>
            <w:vAlign w:val="bottom"/>
          </w:tcPr>
          <w:p>
            <w:pPr>
              <w:jc w:val="center"/>
              <w:spacing w:after="0" w:line="194" w:lineRule="exact"/>
              <w:rPr>
                <w:sz w:val="20"/>
                <w:szCs w:val="20"/>
                <w:color w:val="auto"/>
              </w:rPr>
            </w:pPr>
            <w:r>
              <w:rPr>
                <w:rFonts w:ascii="Times New Roman" w:cs="Times New Roman" w:eastAsia="Times New Roman" w:hAnsi="Times New Roman"/>
                <w:sz w:val="19"/>
                <w:szCs w:val="19"/>
                <w:color w:val="231F20"/>
              </w:rPr>
              <w:t>Fiscal</w:t>
            </w:r>
          </w:p>
        </w:tc>
        <w:tc>
          <w:tcPr>
            <w:tcW w:w="250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2026. Refer to Note 10 titled,</w:t>
            </w:r>
          </w:p>
        </w:tc>
        <w:tc>
          <w:tcPr>
            <w:tcW w:w="0" w:type="dxa"/>
            <w:vAlign w:val="bottom"/>
          </w:tcPr>
          <w:p>
            <w:pPr>
              <w:spacing w:after="0"/>
              <w:rPr>
                <w:sz w:val="1"/>
                <w:szCs w:val="1"/>
                <w:color w:val="auto"/>
              </w:rPr>
            </w:pPr>
          </w:p>
        </w:tc>
      </w:tr>
      <w:tr>
        <w:trPr>
          <w:trHeight w:val="194"/>
        </w:trPr>
        <w:tc>
          <w:tcPr>
            <w:tcW w:w="156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231F20"/>
              </w:rPr>
              <w:t>Improvements to</w:t>
            </w:r>
          </w:p>
        </w:tc>
        <w:tc>
          <w:tcPr>
            <w:tcW w:w="1040" w:type="dxa"/>
            <w:vAlign w:val="bottom"/>
          </w:tcPr>
          <w:p>
            <w:pPr>
              <w:spacing w:after="0"/>
              <w:rPr>
                <w:sz w:val="16"/>
                <w:szCs w:val="16"/>
                <w:color w:val="auto"/>
              </w:rPr>
            </w:pPr>
          </w:p>
        </w:tc>
        <w:tc>
          <w:tcPr>
            <w:tcW w:w="388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certain categories and further disaggregation of</w:t>
            </w:r>
          </w:p>
        </w:tc>
        <w:tc>
          <w:tcPr>
            <w:tcW w:w="880" w:type="dxa"/>
            <w:vAlign w:val="bottom"/>
          </w:tcPr>
          <w:p>
            <w:pPr>
              <w:jc w:val="center"/>
              <w:spacing w:after="0" w:line="194" w:lineRule="exact"/>
              <w:rPr>
                <w:sz w:val="20"/>
                <w:szCs w:val="20"/>
                <w:color w:val="auto"/>
              </w:rPr>
            </w:pPr>
            <w:r>
              <w:rPr>
                <w:rFonts w:ascii="Times New Roman" w:cs="Times New Roman" w:eastAsia="Times New Roman" w:hAnsi="Times New Roman"/>
                <w:sz w:val="19"/>
                <w:szCs w:val="19"/>
                <w:color w:val="231F20"/>
              </w:rPr>
              <w:t>2026</w:t>
            </w:r>
          </w:p>
        </w:tc>
        <w:tc>
          <w:tcPr>
            <w:tcW w:w="250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"Income Taxes" for enhanced</w:t>
            </w:r>
          </w:p>
        </w:tc>
        <w:tc>
          <w:tcPr>
            <w:tcW w:w="0" w:type="dxa"/>
            <w:vAlign w:val="bottom"/>
          </w:tcPr>
          <w:p>
            <w:pPr>
              <w:spacing w:after="0"/>
              <w:rPr>
                <w:sz w:val="1"/>
                <w:szCs w:val="1"/>
                <w:color w:val="auto"/>
              </w:rPr>
            </w:pPr>
          </w:p>
        </w:tc>
      </w:tr>
      <w:tr>
        <w:trPr>
          <w:trHeight w:val="194"/>
        </w:trPr>
        <w:tc>
          <w:tcPr>
            <w:tcW w:w="156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231F20"/>
              </w:rPr>
              <w:t>Income Tax</w:t>
            </w:r>
          </w:p>
        </w:tc>
        <w:tc>
          <w:tcPr>
            <w:tcW w:w="1040" w:type="dxa"/>
            <w:vAlign w:val="bottom"/>
          </w:tcPr>
          <w:p>
            <w:pPr>
              <w:spacing w:after="0"/>
              <w:rPr>
                <w:sz w:val="16"/>
                <w:szCs w:val="16"/>
                <w:color w:val="auto"/>
              </w:rPr>
            </w:pPr>
          </w:p>
        </w:tc>
        <w:tc>
          <w:tcPr>
            <w:tcW w:w="388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items that meet a quantitative threshold. It also</w:t>
            </w:r>
          </w:p>
        </w:tc>
        <w:tc>
          <w:tcPr>
            <w:tcW w:w="880" w:type="dxa"/>
            <w:vAlign w:val="bottom"/>
          </w:tcPr>
          <w:p>
            <w:pPr>
              <w:spacing w:after="0"/>
              <w:rPr>
                <w:sz w:val="16"/>
                <w:szCs w:val="16"/>
                <w:color w:val="auto"/>
              </w:rPr>
            </w:pPr>
          </w:p>
        </w:tc>
        <w:tc>
          <w:tcPr>
            <w:tcW w:w="250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disclosures.</w:t>
            </w:r>
          </w:p>
        </w:tc>
        <w:tc>
          <w:tcPr>
            <w:tcW w:w="0" w:type="dxa"/>
            <w:vAlign w:val="bottom"/>
          </w:tcPr>
          <w:p>
            <w:pPr>
              <w:spacing w:after="0"/>
              <w:rPr>
                <w:sz w:val="1"/>
                <w:szCs w:val="1"/>
                <w:color w:val="auto"/>
              </w:rPr>
            </w:pPr>
          </w:p>
        </w:tc>
      </w:tr>
      <w:tr>
        <w:trPr>
          <w:trHeight w:val="194"/>
        </w:trPr>
        <w:tc>
          <w:tcPr>
            <w:tcW w:w="156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231F20"/>
              </w:rPr>
              <w:t>Disclosures."</w:t>
            </w:r>
          </w:p>
        </w:tc>
        <w:tc>
          <w:tcPr>
            <w:tcW w:w="1040" w:type="dxa"/>
            <w:vAlign w:val="bottom"/>
          </w:tcPr>
          <w:p>
            <w:pPr>
              <w:spacing w:after="0"/>
              <w:rPr>
                <w:sz w:val="16"/>
                <w:szCs w:val="16"/>
                <w:color w:val="auto"/>
              </w:rPr>
            </w:pPr>
          </w:p>
        </w:tc>
        <w:tc>
          <w:tcPr>
            <w:tcW w:w="388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addresses disclosures of income taxes paid (net</w:t>
            </w:r>
          </w:p>
        </w:tc>
        <w:tc>
          <w:tcPr>
            <w:tcW w:w="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8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of refunds), requiring disaggregation by</w:t>
            </w:r>
          </w:p>
        </w:tc>
        <w:tc>
          <w:tcPr>
            <w:tcW w:w="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8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federal, state, and foreign, and disclosure of</w:t>
            </w:r>
          </w:p>
        </w:tc>
        <w:tc>
          <w:tcPr>
            <w:tcW w:w="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8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individual jurisdictions that meet a quantitative</w:t>
            </w:r>
          </w:p>
        </w:tc>
        <w:tc>
          <w:tcPr>
            <w:tcW w:w="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8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threshold. The standard also requires</w:t>
            </w:r>
          </w:p>
        </w:tc>
        <w:tc>
          <w:tcPr>
            <w:tcW w:w="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8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disclosure of income (loss) from continuing</w:t>
            </w:r>
          </w:p>
        </w:tc>
        <w:tc>
          <w:tcPr>
            <w:tcW w:w="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8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operations before income taxes, disaggregated</w:t>
            </w:r>
          </w:p>
        </w:tc>
        <w:tc>
          <w:tcPr>
            <w:tcW w:w="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8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between domestic and foreign, and income tax</w:t>
            </w:r>
          </w:p>
        </w:tc>
        <w:tc>
          <w:tcPr>
            <w:tcW w:w="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8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expense (or benefit) disaggregated by federal,</w:t>
            </w:r>
          </w:p>
        </w:tc>
        <w:tc>
          <w:tcPr>
            <w:tcW w:w="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8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state, and foreign. Finally, the standard</w:t>
            </w:r>
          </w:p>
        </w:tc>
        <w:tc>
          <w:tcPr>
            <w:tcW w:w="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8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removes the requirement for certain</w:t>
            </w:r>
          </w:p>
        </w:tc>
        <w:tc>
          <w:tcPr>
            <w:tcW w:w="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8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disclosures related to changes in unrecognized</w:t>
            </w:r>
          </w:p>
        </w:tc>
        <w:tc>
          <w:tcPr>
            <w:tcW w:w="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8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tax benefits and certain amounts of temporary</w:t>
            </w:r>
          </w:p>
        </w:tc>
        <w:tc>
          <w:tcPr>
            <w:tcW w:w="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8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differences. The amendments in this standard</w:t>
            </w:r>
          </w:p>
        </w:tc>
        <w:tc>
          <w:tcPr>
            <w:tcW w:w="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8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are effective for annual periods beginning after</w:t>
            </w:r>
          </w:p>
        </w:tc>
        <w:tc>
          <w:tcPr>
            <w:tcW w:w="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December 15, 2024.</w:t>
            </w:r>
          </w:p>
        </w:tc>
        <w:tc>
          <w:tcPr>
            <w:tcW w:w="8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1"/>
        </w:trPr>
        <w:tc>
          <w:tcPr>
            <w:tcW w:w="6480" w:type="dxa"/>
            <w:vAlign w:val="bottom"/>
            <w:tcBorders>
              <w:bottom w:val="single" w:sz="8" w:color="231F20"/>
            </w:tcBorders>
            <w:gridSpan w:val="3"/>
          </w:tcPr>
          <w:p>
            <w:pPr>
              <w:spacing w:after="0"/>
              <w:rPr>
                <w:sz w:val="24"/>
                <w:szCs w:val="24"/>
                <w:color w:val="auto"/>
              </w:rPr>
            </w:pPr>
          </w:p>
        </w:tc>
        <w:tc>
          <w:tcPr>
            <w:tcW w:w="880" w:type="dxa"/>
            <w:vAlign w:val="bottom"/>
            <w:tcBorders>
              <w:bottom w:val="single" w:sz="8" w:color="231F20"/>
            </w:tcBorders>
          </w:tcPr>
          <w:p>
            <w:pPr>
              <w:spacing w:after="0"/>
              <w:rPr>
                <w:sz w:val="24"/>
                <w:szCs w:val="24"/>
                <w:color w:val="auto"/>
              </w:rPr>
            </w:pPr>
          </w:p>
        </w:tc>
        <w:tc>
          <w:tcPr>
            <w:tcW w:w="250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80" w:type="dxa"/>
            <w:vAlign w:val="bottom"/>
            <w:tcBorders>
              <w:bottom w:val="single" w:sz="8" w:color="231F20"/>
            </w:tcBorders>
            <w:gridSpan w:val="3"/>
          </w:tcPr>
          <w:p>
            <w:pPr>
              <w:ind w:left="60"/>
              <w:spacing w:after="0"/>
              <w:rPr>
                <w:sz w:val="20"/>
                <w:szCs w:val="20"/>
                <w:color w:val="auto"/>
              </w:rPr>
            </w:pPr>
            <w:r>
              <w:rPr>
                <w:rFonts w:ascii="Times New Roman" w:cs="Times New Roman" w:eastAsia="Times New Roman" w:hAnsi="Times New Roman"/>
                <w:sz w:val="19"/>
                <w:szCs w:val="19"/>
                <w:color w:val="231F20"/>
              </w:rPr>
              <w:t>Standards that have not yet been adopted.</w:t>
            </w:r>
          </w:p>
        </w:tc>
        <w:tc>
          <w:tcPr>
            <w:tcW w:w="880" w:type="dxa"/>
            <w:vAlign w:val="bottom"/>
            <w:tcBorders>
              <w:bottom w:val="single" w:sz="8" w:color="231F20"/>
            </w:tcBorders>
          </w:tcPr>
          <w:p>
            <w:pPr>
              <w:spacing w:after="0"/>
              <w:rPr>
                <w:sz w:val="22"/>
                <w:szCs w:val="22"/>
                <w:color w:val="auto"/>
              </w:rPr>
            </w:pPr>
          </w:p>
        </w:tc>
        <w:tc>
          <w:tcPr>
            <w:tcW w:w="2500" w:type="dxa"/>
            <w:vAlign w:val="bottom"/>
            <w:tcBorders>
              <w:bottom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1560" w:type="dxa"/>
            <w:vAlign w:val="bottom"/>
          </w:tcPr>
          <w:p>
            <w:pPr>
              <w:ind w:left="60"/>
              <w:spacing w:after="0" w:line="176" w:lineRule="exact"/>
              <w:rPr>
                <w:sz w:val="20"/>
                <w:szCs w:val="20"/>
                <w:color w:val="auto"/>
              </w:rPr>
            </w:pPr>
            <w:r>
              <w:rPr>
                <w:rFonts w:ascii="Times New Roman" w:cs="Times New Roman" w:eastAsia="Times New Roman" w:hAnsi="Times New Roman"/>
                <w:sz w:val="19"/>
                <w:szCs w:val="19"/>
                <w:color w:val="231F20"/>
              </w:rPr>
              <w:t>ASU 2024-03</w:t>
            </w:r>
          </w:p>
        </w:tc>
        <w:tc>
          <w:tcPr>
            <w:tcW w:w="1040" w:type="dxa"/>
            <w:vAlign w:val="bottom"/>
          </w:tcPr>
          <w:p>
            <w:pPr>
              <w:jc w:val="center"/>
              <w:spacing w:after="0" w:line="176" w:lineRule="exact"/>
              <w:rPr>
                <w:sz w:val="20"/>
                <w:szCs w:val="20"/>
                <w:color w:val="auto"/>
              </w:rPr>
            </w:pPr>
            <w:r>
              <w:rPr>
                <w:rFonts w:ascii="Times New Roman" w:cs="Times New Roman" w:eastAsia="Times New Roman" w:hAnsi="Times New Roman"/>
                <w:sz w:val="19"/>
                <w:szCs w:val="19"/>
                <w:color w:val="231F20"/>
              </w:rPr>
              <w:t>November</w:t>
            </w:r>
          </w:p>
        </w:tc>
        <w:tc>
          <w:tcPr>
            <w:tcW w:w="3880" w:type="dxa"/>
            <w:vAlign w:val="bottom"/>
          </w:tcPr>
          <w:p>
            <w:pPr>
              <w:ind w:left="100"/>
              <w:spacing w:after="0" w:line="176" w:lineRule="exact"/>
              <w:rPr>
                <w:sz w:val="20"/>
                <w:szCs w:val="20"/>
                <w:color w:val="auto"/>
              </w:rPr>
            </w:pPr>
            <w:r>
              <w:rPr>
                <w:rFonts w:ascii="Times New Roman" w:cs="Times New Roman" w:eastAsia="Times New Roman" w:hAnsi="Times New Roman"/>
                <w:sz w:val="19"/>
                <w:szCs w:val="19"/>
                <w:color w:val="231F20"/>
              </w:rPr>
              <w:t>The standard provides guidance to enhance</w:t>
            </w:r>
          </w:p>
        </w:tc>
        <w:tc>
          <w:tcPr>
            <w:tcW w:w="880" w:type="dxa"/>
            <w:vAlign w:val="bottom"/>
          </w:tcPr>
          <w:p>
            <w:pPr>
              <w:jc w:val="center"/>
              <w:spacing w:after="0" w:line="176" w:lineRule="exact"/>
              <w:rPr>
                <w:sz w:val="20"/>
                <w:szCs w:val="20"/>
                <w:color w:val="auto"/>
              </w:rPr>
            </w:pPr>
            <w:r>
              <w:rPr>
                <w:rFonts w:ascii="Times New Roman" w:cs="Times New Roman" w:eastAsia="Times New Roman" w:hAnsi="Times New Roman"/>
                <w:sz w:val="19"/>
                <w:szCs w:val="19"/>
                <w:color w:val="231F20"/>
              </w:rPr>
              <w:t>NA</w:t>
            </w:r>
          </w:p>
        </w:tc>
        <w:tc>
          <w:tcPr>
            <w:tcW w:w="2500" w:type="dxa"/>
            <w:vAlign w:val="bottom"/>
          </w:tcPr>
          <w:p>
            <w:pPr>
              <w:ind w:left="100"/>
              <w:spacing w:after="0" w:line="176" w:lineRule="exact"/>
              <w:rPr>
                <w:sz w:val="20"/>
                <w:szCs w:val="20"/>
                <w:color w:val="auto"/>
              </w:rPr>
            </w:pPr>
            <w:r>
              <w:rPr>
                <w:rFonts w:ascii="Times New Roman" w:cs="Times New Roman" w:eastAsia="Times New Roman" w:hAnsi="Times New Roman"/>
                <w:sz w:val="19"/>
                <w:szCs w:val="19"/>
                <w:color w:val="231F20"/>
              </w:rPr>
              <w:t>We are currently assessing</w:t>
            </w:r>
          </w:p>
        </w:tc>
        <w:tc>
          <w:tcPr>
            <w:tcW w:w="0" w:type="dxa"/>
            <w:vAlign w:val="bottom"/>
          </w:tcPr>
          <w:p>
            <w:pPr>
              <w:spacing w:after="0"/>
              <w:rPr>
                <w:sz w:val="1"/>
                <w:szCs w:val="1"/>
                <w:color w:val="auto"/>
              </w:rPr>
            </w:pPr>
          </w:p>
        </w:tc>
      </w:tr>
      <w:tr>
        <w:trPr>
          <w:trHeight w:val="194"/>
        </w:trPr>
        <w:tc>
          <w:tcPr>
            <w:tcW w:w="156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231F20"/>
              </w:rPr>
              <w:t>"Income</w:t>
            </w:r>
          </w:p>
        </w:tc>
        <w:tc>
          <w:tcPr>
            <w:tcW w:w="1040" w:type="dxa"/>
            <w:vAlign w:val="bottom"/>
          </w:tcPr>
          <w:p>
            <w:pPr>
              <w:jc w:val="center"/>
              <w:spacing w:after="0" w:line="194" w:lineRule="exact"/>
              <w:rPr>
                <w:sz w:val="20"/>
                <w:szCs w:val="20"/>
                <w:color w:val="auto"/>
              </w:rPr>
            </w:pPr>
            <w:r>
              <w:rPr>
                <w:rFonts w:ascii="Times New Roman" w:cs="Times New Roman" w:eastAsia="Times New Roman" w:hAnsi="Times New Roman"/>
                <w:sz w:val="19"/>
                <w:szCs w:val="19"/>
                <w:color w:val="231F20"/>
              </w:rPr>
              <w:t>2024</w:t>
            </w:r>
          </w:p>
        </w:tc>
        <w:tc>
          <w:tcPr>
            <w:tcW w:w="388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disclosures related to the disaggregation of</w:t>
            </w:r>
          </w:p>
        </w:tc>
        <w:tc>
          <w:tcPr>
            <w:tcW w:w="880" w:type="dxa"/>
            <w:vAlign w:val="bottom"/>
          </w:tcPr>
          <w:p>
            <w:pPr>
              <w:spacing w:after="0"/>
              <w:rPr>
                <w:sz w:val="16"/>
                <w:szCs w:val="16"/>
                <w:color w:val="auto"/>
              </w:rPr>
            </w:pPr>
          </w:p>
        </w:tc>
        <w:tc>
          <w:tcPr>
            <w:tcW w:w="250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the impact of this standard</w:t>
            </w:r>
          </w:p>
        </w:tc>
        <w:tc>
          <w:tcPr>
            <w:tcW w:w="0" w:type="dxa"/>
            <w:vAlign w:val="bottom"/>
          </w:tcPr>
          <w:p>
            <w:pPr>
              <w:spacing w:after="0"/>
              <w:rPr>
                <w:sz w:val="1"/>
                <w:szCs w:val="1"/>
                <w:color w:val="auto"/>
              </w:rPr>
            </w:pPr>
          </w:p>
        </w:tc>
      </w:tr>
      <w:tr>
        <w:trPr>
          <w:trHeight w:val="194"/>
        </w:trPr>
        <w:tc>
          <w:tcPr>
            <w:tcW w:w="156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231F20"/>
              </w:rPr>
              <w:t>Statement -</w:t>
            </w:r>
          </w:p>
        </w:tc>
        <w:tc>
          <w:tcPr>
            <w:tcW w:w="1040" w:type="dxa"/>
            <w:vAlign w:val="bottom"/>
          </w:tcPr>
          <w:p>
            <w:pPr>
              <w:spacing w:after="0"/>
              <w:rPr>
                <w:sz w:val="16"/>
                <w:szCs w:val="16"/>
                <w:color w:val="auto"/>
              </w:rPr>
            </w:pPr>
          </w:p>
        </w:tc>
        <w:tc>
          <w:tcPr>
            <w:tcW w:w="388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income statement expenses. The standard</w:t>
            </w:r>
          </w:p>
        </w:tc>
        <w:tc>
          <w:tcPr>
            <w:tcW w:w="880" w:type="dxa"/>
            <w:vAlign w:val="bottom"/>
          </w:tcPr>
          <w:p>
            <w:pPr>
              <w:spacing w:after="0"/>
              <w:rPr>
                <w:sz w:val="16"/>
                <w:szCs w:val="16"/>
                <w:color w:val="auto"/>
              </w:rPr>
            </w:pPr>
          </w:p>
        </w:tc>
        <w:tc>
          <w:tcPr>
            <w:tcW w:w="250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update on our disclosures in</w:t>
            </w:r>
          </w:p>
        </w:tc>
        <w:tc>
          <w:tcPr>
            <w:tcW w:w="0" w:type="dxa"/>
            <w:vAlign w:val="bottom"/>
          </w:tcPr>
          <w:p>
            <w:pPr>
              <w:spacing w:after="0"/>
              <w:rPr>
                <w:sz w:val="1"/>
                <w:szCs w:val="1"/>
                <w:color w:val="auto"/>
              </w:rPr>
            </w:pPr>
          </w:p>
        </w:tc>
      </w:tr>
      <w:tr>
        <w:trPr>
          <w:trHeight w:val="194"/>
        </w:trPr>
        <w:tc>
          <w:tcPr>
            <w:tcW w:w="156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231F20"/>
              </w:rPr>
              <w:t>Reporting</w:t>
            </w:r>
          </w:p>
        </w:tc>
        <w:tc>
          <w:tcPr>
            <w:tcW w:w="1040" w:type="dxa"/>
            <w:vAlign w:val="bottom"/>
          </w:tcPr>
          <w:p>
            <w:pPr>
              <w:spacing w:after="0"/>
              <w:rPr>
                <w:sz w:val="16"/>
                <w:szCs w:val="16"/>
                <w:color w:val="auto"/>
              </w:rPr>
            </w:pPr>
          </w:p>
        </w:tc>
        <w:tc>
          <w:tcPr>
            <w:tcW w:w="388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requires, in the notes to the financial</w:t>
            </w:r>
          </w:p>
        </w:tc>
        <w:tc>
          <w:tcPr>
            <w:tcW w:w="880" w:type="dxa"/>
            <w:vAlign w:val="bottom"/>
          </w:tcPr>
          <w:p>
            <w:pPr>
              <w:spacing w:after="0"/>
              <w:rPr>
                <w:sz w:val="16"/>
                <w:szCs w:val="16"/>
                <w:color w:val="auto"/>
              </w:rPr>
            </w:pPr>
          </w:p>
        </w:tc>
        <w:tc>
          <w:tcPr>
            <w:tcW w:w="250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the notes to the consolidated</w:t>
            </w:r>
          </w:p>
        </w:tc>
        <w:tc>
          <w:tcPr>
            <w:tcW w:w="0" w:type="dxa"/>
            <w:vAlign w:val="bottom"/>
          </w:tcPr>
          <w:p>
            <w:pPr>
              <w:spacing w:after="0"/>
              <w:rPr>
                <w:sz w:val="1"/>
                <w:szCs w:val="1"/>
                <w:color w:val="auto"/>
              </w:rPr>
            </w:pPr>
          </w:p>
        </w:tc>
      </w:tr>
      <w:tr>
        <w:trPr>
          <w:trHeight w:val="194"/>
        </w:trPr>
        <w:tc>
          <w:tcPr>
            <w:tcW w:w="156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231F20"/>
              </w:rPr>
              <w:t>Comprehensive</w:t>
            </w:r>
          </w:p>
        </w:tc>
        <w:tc>
          <w:tcPr>
            <w:tcW w:w="1040" w:type="dxa"/>
            <w:vAlign w:val="bottom"/>
          </w:tcPr>
          <w:p>
            <w:pPr>
              <w:spacing w:after="0"/>
              <w:rPr>
                <w:sz w:val="16"/>
                <w:szCs w:val="16"/>
                <w:color w:val="auto"/>
              </w:rPr>
            </w:pPr>
          </w:p>
        </w:tc>
        <w:tc>
          <w:tcPr>
            <w:tcW w:w="388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statements, disclosure of specified information</w:t>
            </w:r>
          </w:p>
        </w:tc>
        <w:tc>
          <w:tcPr>
            <w:tcW w:w="880" w:type="dxa"/>
            <w:vAlign w:val="bottom"/>
          </w:tcPr>
          <w:p>
            <w:pPr>
              <w:spacing w:after="0"/>
              <w:rPr>
                <w:sz w:val="16"/>
                <w:szCs w:val="16"/>
                <w:color w:val="auto"/>
              </w:rPr>
            </w:pPr>
          </w:p>
        </w:tc>
        <w:tc>
          <w:tcPr>
            <w:tcW w:w="250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financial statements.</w:t>
            </w:r>
          </w:p>
        </w:tc>
        <w:tc>
          <w:tcPr>
            <w:tcW w:w="0" w:type="dxa"/>
            <w:vAlign w:val="bottom"/>
          </w:tcPr>
          <w:p>
            <w:pPr>
              <w:spacing w:after="0"/>
              <w:rPr>
                <w:sz w:val="1"/>
                <w:szCs w:val="1"/>
                <w:color w:val="auto"/>
              </w:rPr>
            </w:pPr>
          </w:p>
        </w:tc>
      </w:tr>
      <w:tr>
        <w:trPr>
          <w:trHeight w:val="194"/>
        </w:trPr>
        <w:tc>
          <w:tcPr>
            <w:tcW w:w="156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231F20"/>
              </w:rPr>
              <w:t>Income -</w:t>
            </w:r>
          </w:p>
        </w:tc>
        <w:tc>
          <w:tcPr>
            <w:tcW w:w="1040" w:type="dxa"/>
            <w:vAlign w:val="bottom"/>
          </w:tcPr>
          <w:p>
            <w:pPr>
              <w:spacing w:after="0"/>
              <w:rPr>
                <w:sz w:val="16"/>
                <w:szCs w:val="16"/>
                <w:color w:val="auto"/>
              </w:rPr>
            </w:pPr>
          </w:p>
        </w:tc>
        <w:tc>
          <w:tcPr>
            <w:tcW w:w="388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about certain costs and expenses which</w:t>
            </w:r>
          </w:p>
        </w:tc>
        <w:tc>
          <w:tcPr>
            <w:tcW w:w="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6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231F20"/>
              </w:rPr>
              <w:t>Expense</w:t>
            </w:r>
          </w:p>
        </w:tc>
        <w:tc>
          <w:tcPr>
            <w:tcW w:w="1040" w:type="dxa"/>
            <w:vAlign w:val="bottom"/>
          </w:tcPr>
          <w:p>
            <w:pPr>
              <w:spacing w:after="0"/>
              <w:rPr>
                <w:sz w:val="16"/>
                <w:szCs w:val="16"/>
                <w:color w:val="auto"/>
              </w:rPr>
            </w:pPr>
          </w:p>
        </w:tc>
        <w:tc>
          <w:tcPr>
            <w:tcW w:w="388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includes purchases of inventory, employee</w:t>
            </w:r>
          </w:p>
        </w:tc>
        <w:tc>
          <w:tcPr>
            <w:tcW w:w="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6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231F20"/>
              </w:rPr>
              <w:t>Disaggregation</w:t>
            </w:r>
          </w:p>
        </w:tc>
        <w:tc>
          <w:tcPr>
            <w:tcW w:w="1040" w:type="dxa"/>
            <w:vAlign w:val="bottom"/>
          </w:tcPr>
          <w:p>
            <w:pPr>
              <w:spacing w:after="0"/>
              <w:rPr>
                <w:sz w:val="16"/>
                <w:szCs w:val="16"/>
                <w:color w:val="auto"/>
              </w:rPr>
            </w:pPr>
          </w:p>
        </w:tc>
        <w:tc>
          <w:tcPr>
            <w:tcW w:w="388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compensation, depreciation, and intangible</w:t>
            </w:r>
          </w:p>
        </w:tc>
        <w:tc>
          <w:tcPr>
            <w:tcW w:w="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6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231F20"/>
              </w:rPr>
              <w:t>Disclosures</w:t>
            </w:r>
          </w:p>
        </w:tc>
        <w:tc>
          <w:tcPr>
            <w:tcW w:w="1040" w:type="dxa"/>
            <w:vAlign w:val="bottom"/>
          </w:tcPr>
          <w:p>
            <w:pPr>
              <w:spacing w:after="0"/>
              <w:rPr>
                <w:sz w:val="16"/>
                <w:szCs w:val="16"/>
                <w:color w:val="auto"/>
              </w:rPr>
            </w:pPr>
          </w:p>
        </w:tc>
        <w:tc>
          <w:tcPr>
            <w:tcW w:w="388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asset amortization included in each relevant</w:t>
            </w:r>
          </w:p>
        </w:tc>
        <w:tc>
          <w:tcPr>
            <w:tcW w:w="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6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231F20"/>
              </w:rPr>
              <w:t>(Subtopic</w:t>
            </w:r>
          </w:p>
        </w:tc>
        <w:tc>
          <w:tcPr>
            <w:tcW w:w="1040" w:type="dxa"/>
            <w:vAlign w:val="bottom"/>
          </w:tcPr>
          <w:p>
            <w:pPr>
              <w:spacing w:after="0"/>
              <w:rPr>
                <w:sz w:val="16"/>
                <w:szCs w:val="16"/>
                <w:color w:val="auto"/>
              </w:rPr>
            </w:pPr>
          </w:p>
        </w:tc>
        <w:tc>
          <w:tcPr>
            <w:tcW w:w="388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expense caption. The standard also requires</w:t>
            </w:r>
          </w:p>
        </w:tc>
        <w:tc>
          <w:tcPr>
            <w:tcW w:w="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6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231F20"/>
              </w:rPr>
              <w:t>220-40)</w:t>
            </w:r>
          </w:p>
        </w:tc>
        <w:tc>
          <w:tcPr>
            <w:tcW w:w="1040" w:type="dxa"/>
            <w:vAlign w:val="bottom"/>
          </w:tcPr>
          <w:p>
            <w:pPr>
              <w:spacing w:after="0"/>
              <w:rPr>
                <w:sz w:val="16"/>
                <w:szCs w:val="16"/>
                <w:color w:val="auto"/>
              </w:rPr>
            </w:pPr>
          </w:p>
        </w:tc>
        <w:tc>
          <w:tcPr>
            <w:tcW w:w="388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amounts that are already required to be</w:t>
            </w:r>
          </w:p>
        </w:tc>
        <w:tc>
          <w:tcPr>
            <w:tcW w:w="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6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231F20"/>
              </w:rPr>
              <w:t>Disaggregation of</w:t>
            </w:r>
          </w:p>
        </w:tc>
        <w:tc>
          <w:tcPr>
            <w:tcW w:w="1040" w:type="dxa"/>
            <w:vAlign w:val="bottom"/>
          </w:tcPr>
          <w:p>
            <w:pPr>
              <w:spacing w:after="0"/>
              <w:rPr>
                <w:sz w:val="16"/>
                <w:szCs w:val="16"/>
                <w:color w:val="auto"/>
              </w:rPr>
            </w:pPr>
          </w:p>
        </w:tc>
        <w:tc>
          <w:tcPr>
            <w:tcW w:w="388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disclosed under U.S. GAAP in the same</w:t>
            </w:r>
          </w:p>
        </w:tc>
        <w:tc>
          <w:tcPr>
            <w:tcW w:w="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6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231F20"/>
              </w:rPr>
              <w:t>Income</w:t>
            </w:r>
          </w:p>
        </w:tc>
        <w:tc>
          <w:tcPr>
            <w:tcW w:w="1040" w:type="dxa"/>
            <w:vAlign w:val="bottom"/>
          </w:tcPr>
          <w:p>
            <w:pPr>
              <w:spacing w:after="0"/>
              <w:rPr>
                <w:sz w:val="16"/>
                <w:szCs w:val="16"/>
                <w:color w:val="auto"/>
              </w:rPr>
            </w:pPr>
          </w:p>
        </w:tc>
        <w:tc>
          <w:tcPr>
            <w:tcW w:w="388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disclosure as the other disaggregation</w:t>
            </w:r>
          </w:p>
        </w:tc>
        <w:tc>
          <w:tcPr>
            <w:tcW w:w="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6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231F20"/>
              </w:rPr>
              <w:t>Statement</w:t>
            </w:r>
          </w:p>
        </w:tc>
        <w:tc>
          <w:tcPr>
            <w:tcW w:w="1040" w:type="dxa"/>
            <w:vAlign w:val="bottom"/>
          </w:tcPr>
          <w:p>
            <w:pPr>
              <w:spacing w:after="0"/>
              <w:rPr>
                <w:sz w:val="16"/>
                <w:szCs w:val="16"/>
                <w:color w:val="auto"/>
              </w:rPr>
            </w:pPr>
          </w:p>
        </w:tc>
        <w:tc>
          <w:tcPr>
            <w:tcW w:w="388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requirements, disclosure of a qualitative</w:t>
            </w:r>
          </w:p>
        </w:tc>
        <w:tc>
          <w:tcPr>
            <w:tcW w:w="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6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231F20"/>
              </w:rPr>
              <w:t>Expenses."</w:t>
            </w:r>
          </w:p>
        </w:tc>
        <w:tc>
          <w:tcPr>
            <w:tcW w:w="1040" w:type="dxa"/>
            <w:vAlign w:val="bottom"/>
          </w:tcPr>
          <w:p>
            <w:pPr>
              <w:spacing w:after="0"/>
              <w:rPr>
                <w:sz w:val="16"/>
                <w:szCs w:val="16"/>
                <w:color w:val="auto"/>
              </w:rPr>
            </w:pPr>
          </w:p>
        </w:tc>
        <w:tc>
          <w:tcPr>
            <w:tcW w:w="388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description of the amounts remaining in</w:t>
            </w:r>
          </w:p>
        </w:tc>
        <w:tc>
          <w:tcPr>
            <w:tcW w:w="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8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relevant expense captions that are not</w:t>
            </w:r>
          </w:p>
        </w:tc>
        <w:tc>
          <w:tcPr>
            <w:tcW w:w="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80" w:type="dxa"/>
            <w:vAlign w:val="bottom"/>
          </w:tcPr>
          <w:p>
            <w:pPr>
              <w:ind w:left="100"/>
              <w:spacing w:after="0" w:line="215" w:lineRule="exact"/>
              <w:rPr>
                <w:sz w:val="20"/>
                <w:szCs w:val="20"/>
                <w:color w:val="auto"/>
              </w:rPr>
            </w:pPr>
            <w:r>
              <w:rPr>
                <w:rFonts w:ascii="Times New Roman" w:cs="Times New Roman" w:eastAsia="Times New Roman" w:hAnsi="Times New Roman"/>
                <w:sz w:val="19"/>
                <w:szCs w:val="19"/>
                <w:color w:val="231F20"/>
              </w:rPr>
              <w:t>separately disaggregated quantitatively, and</w:t>
            </w:r>
          </w:p>
        </w:tc>
        <w:tc>
          <w:tcPr>
            <w:tcW w:w="8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2700"/>
        <w:spacing w:after="0" w:line="213" w:lineRule="auto"/>
        <w:rPr>
          <w:sz w:val="20"/>
          <w:szCs w:val="20"/>
          <w:color w:val="auto"/>
        </w:rPr>
      </w:pPr>
      <w:r>
        <w:rPr>
          <w:rFonts w:ascii="Times New Roman" w:cs="Times New Roman" w:eastAsia="Times New Roman" w:hAnsi="Times New Roman"/>
          <w:sz w:val="19"/>
          <w:szCs w:val="19"/>
          <w:color w:val="231F20"/>
        </w:rPr>
        <w:t>disclosure of the total amount of selling</w:t>
      </w:r>
    </w:p>
    <w:p>
      <w:pPr>
        <w:ind w:left="2700"/>
        <w:spacing w:after="0" w:line="213" w:lineRule="auto"/>
        <w:rPr>
          <w:sz w:val="20"/>
          <w:szCs w:val="20"/>
          <w:color w:val="auto"/>
        </w:rPr>
      </w:pPr>
      <w:r>
        <w:rPr>
          <w:rFonts w:ascii="Times New Roman" w:cs="Times New Roman" w:eastAsia="Times New Roman" w:hAnsi="Times New Roman"/>
          <w:sz w:val="19"/>
          <w:szCs w:val="19"/>
          <w:color w:val="231F20"/>
        </w:rPr>
        <w:t>expenses and, in annual reporting periods, an</w:t>
      </w:r>
    </w:p>
    <w:p>
      <w:pPr>
        <w:ind w:left="2700"/>
        <w:spacing w:after="0" w:line="213" w:lineRule="auto"/>
        <w:rPr>
          <w:sz w:val="20"/>
          <w:szCs w:val="20"/>
          <w:color w:val="auto"/>
        </w:rPr>
      </w:pPr>
      <w:r>
        <w:rPr>
          <w:rFonts w:ascii="Times New Roman" w:cs="Times New Roman" w:eastAsia="Times New Roman" w:hAnsi="Times New Roman"/>
          <w:sz w:val="19"/>
          <w:szCs w:val="19"/>
          <w:color w:val="231F20"/>
        </w:rPr>
        <w:t>entity's definition of selling expenses. The</w:t>
      </w:r>
    </w:p>
    <w:p>
      <w:pPr>
        <w:ind w:left="2700"/>
        <w:spacing w:after="0" w:line="213" w:lineRule="auto"/>
        <w:rPr>
          <w:sz w:val="20"/>
          <w:szCs w:val="20"/>
          <w:color w:val="auto"/>
        </w:rPr>
      </w:pPr>
      <w:r>
        <w:rPr>
          <w:rFonts w:ascii="Times New Roman" w:cs="Times New Roman" w:eastAsia="Times New Roman" w:hAnsi="Times New Roman"/>
          <w:sz w:val="19"/>
          <w:szCs w:val="19"/>
          <w:color w:val="231F20"/>
        </w:rPr>
        <w:t>amendments in this standard are effective for</w:t>
      </w:r>
    </w:p>
    <w:p>
      <w:pPr>
        <w:ind w:left="2700"/>
        <w:spacing w:after="0" w:line="213" w:lineRule="auto"/>
        <w:rPr>
          <w:sz w:val="20"/>
          <w:szCs w:val="20"/>
          <w:color w:val="auto"/>
        </w:rPr>
      </w:pPr>
      <w:r>
        <w:rPr>
          <w:rFonts w:ascii="Times New Roman" w:cs="Times New Roman" w:eastAsia="Times New Roman" w:hAnsi="Times New Roman"/>
          <w:sz w:val="19"/>
          <w:szCs w:val="19"/>
          <w:color w:val="231F20"/>
        </w:rPr>
        <w:t>annual periods beginning after December 15,</w:t>
      </w:r>
    </w:p>
    <w:p>
      <w:pPr>
        <w:ind w:left="2700"/>
        <w:spacing w:after="0" w:line="213" w:lineRule="auto"/>
        <w:rPr>
          <w:sz w:val="20"/>
          <w:szCs w:val="20"/>
          <w:color w:val="auto"/>
        </w:rPr>
      </w:pPr>
      <w:r>
        <w:rPr>
          <w:rFonts w:ascii="Times New Roman" w:cs="Times New Roman" w:eastAsia="Times New Roman" w:hAnsi="Times New Roman"/>
          <w:sz w:val="19"/>
          <w:szCs w:val="19"/>
          <w:color w:val="231F20"/>
        </w:rPr>
        <w:t>2026, and interim periods beginning after</w:t>
      </w:r>
    </w:p>
    <w:p>
      <w:pPr>
        <w:spacing w:after="0" w:line="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9"/>
          <w:szCs w:val="19"/>
          <w:color w:val="231F20"/>
        </w:rPr>
        <w:t>December 15, 2027.</w:t>
      </w:r>
    </w:p>
    <w:p>
      <w:pPr>
        <w:sectPr>
          <w:pgSz w:w="11880" w:h="15480" w:orient="portrait"/>
          <w:cols w:equalWidth="0" w:num="1">
            <w:col w:w="9860"/>
          </w:cols>
          <w:pgMar w:left="960" w:top="250"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231F20"/>
        </w:rPr>
        <w:t>66</w:t>
      </w:r>
    </w:p>
    <w:p>
      <w:pPr>
        <w:sectPr>
          <w:pgSz w:w="11880" w:h="15480" w:orient="portrait"/>
          <w:cols w:equalWidth="0" w:num="1">
            <w:col w:w="9860"/>
          </w:cols>
          <w:pgMar w:left="960" w:top="250" w:right="1060" w:bottom="0" w:gutter="0" w:footer="0" w:header="0"/>
          <w:type w:val="continuous"/>
        </w:sectPr>
      </w:pPr>
    </w:p>
    <w:bookmarkStart w:id="67" w:name="page68"/>
    <w:bookmarkEnd w:id="67"/>
    <w:p>
      <w:pPr>
        <w:jc w:val="center"/>
        <w:ind w:right="-99"/>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7"/>
          <w:szCs w:val="27"/>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582930</wp:posOffset>
            </wp:positionV>
            <wp:extent cx="627253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extLst>
                    </a:blip>
                    <a:srcRect/>
                    <a:stretch>
                      <a:fillRect/>
                    </a:stretch>
                  </pic:blipFill>
                  <pic:spPr bwMode="auto">
                    <a:xfrm>
                      <a:off x="0" y="0"/>
                      <a:ext cx="627253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1520" w:type="dxa"/>
            <w:vAlign w:val="bottom"/>
            <w:tcBorders>
              <w:top w:val="single" w:sz="8" w:color="231F20"/>
              <w:left w:val="single" w:sz="8" w:color="231F20"/>
            </w:tcBorders>
          </w:tcPr>
          <w:p>
            <w:pPr>
              <w:ind w:left="60"/>
              <w:spacing w:after="0" w:line="195" w:lineRule="exact"/>
              <w:rPr>
                <w:sz w:val="20"/>
                <w:szCs w:val="20"/>
                <w:color w:val="auto"/>
              </w:rPr>
            </w:pPr>
            <w:r>
              <w:rPr>
                <w:rFonts w:ascii="Times New Roman" w:cs="Times New Roman" w:eastAsia="Times New Roman" w:hAnsi="Times New Roman"/>
                <w:sz w:val="19"/>
                <w:szCs w:val="19"/>
                <w:color w:val="231F20"/>
              </w:rPr>
              <w:t>ASU 2025-05</w:t>
            </w:r>
          </w:p>
        </w:tc>
        <w:tc>
          <w:tcPr>
            <w:tcW w:w="1080" w:type="dxa"/>
            <w:vAlign w:val="bottom"/>
            <w:tcBorders>
              <w:top w:val="single" w:sz="8" w:color="231F20"/>
            </w:tcBorders>
          </w:tcPr>
          <w:p>
            <w:pPr>
              <w:ind w:left="100"/>
              <w:spacing w:after="0" w:line="195" w:lineRule="exact"/>
              <w:rPr>
                <w:sz w:val="20"/>
                <w:szCs w:val="20"/>
                <w:color w:val="auto"/>
              </w:rPr>
            </w:pPr>
            <w:r>
              <w:rPr>
                <w:rFonts w:ascii="Times New Roman" w:cs="Times New Roman" w:eastAsia="Times New Roman" w:hAnsi="Times New Roman"/>
                <w:sz w:val="19"/>
                <w:szCs w:val="19"/>
                <w:color w:val="231F20"/>
              </w:rPr>
              <w:t>July</w:t>
            </w:r>
          </w:p>
        </w:tc>
        <w:tc>
          <w:tcPr>
            <w:tcW w:w="3860" w:type="dxa"/>
            <w:vAlign w:val="bottom"/>
            <w:tcBorders>
              <w:top w:val="single" w:sz="8" w:color="231F20"/>
            </w:tcBorders>
          </w:tcPr>
          <w:p>
            <w:pPr>
              <w:ind w:left="100"/>
              <w:spacing w:after="0" w:line="195" w:lineRule="exact"/>
              <w:rPr>
                <w:sz w:val="20"/>
                <w:szCs w:val="20"/>
                <w:color w:val="auto"/>
              </w:rPr>
            </w:pPr>
            <w:r>
              <w:rPr>
                <w:rFonts w:ascii="Times New Roman" w:cs="Times New Roman" w:eastAsia="Times New Roman" w:hAnsi="Times New Roman"/>
                <w:sz w:val="19"/>
                <w:szCs w:val="19"/>
                <w:color w:val="231F20"/>
              </w:rPr>
              <w:t>The standard introduces a practical expedient</w:t>
            </w:r>
          </w:p>
        </w:tc>
        <w:tc>
          <w:tcPr>
            <w:tcW w:w="800" w:type="dxa"/>
            <w:vAlign w:val="bottom"/>
            <w:tcBorders>
              <w:top w:val="single" w:sz="8" w:color="231F20"/>
            </w:tcBorders>
          </w:tcPr>
          <w:p>
            <w:pPr>
              <w:ind w:left="100"/>
              <w:spacing w:after="0" w:line="195" w:lineRule="exact"/>
              <w:rPr>
                <w:sz w:val="20"/>
                <w:szCs w:val="20"/>
                <w:color w:val="auto"/>
              </w:rPr>
            </w:pPr>
            <w:r>
              <w:rPr>
                <w:rFonts w:ascii="Times New Roman" w:cs="Times New Roman" w:eastAsia="Times New Roman" w:hAnsi="Times New Roman"/>
                <w:sz w:val="19"/>
                <w:szCs w:val="19"/>
                <w:color w:val="231F20"/>
              </w:rPr>
              <w:t>NA</w:t>
            </w:r>
          </w:p>
        </w:tc>
        <w:tc>
          <w:tcPr>
            <w:tcW w:w="2600" w:type="dxa"/>
            <w:vAlign w:val="bottom"/>
            <w:tcBorders>
              <w:top w:val="single" w:sz="8" w:color="231F20"/>
              <w:right w:val="single" w:sz="8" w:color="231F20"/>
            </w:tcBorders>
          </w:tcPr>
          <w:p>
            <w:pPr>
              <w:ind w:left="200"/>
              <w:spacing w:after="0" w:line="195" w:lineRule="exact"/>
              <w:rPr>
                <w:sz w:val="20"/>
                <w:szCs w:val="20"/>
                <w:color w:val="auto"/>
              </w:rPr>
            </w:pPr>
            <w:r>
              <w:rPr>
                <w:rFonts w:ascii="Times New Roman" w:cs="Times New Roman" w:eastAsia="Times New Roman" w:hAnsi="Times New Roman"/>
                <w:sz w:val="19"/>
                <w:szCs w:val="19"/>
                <w:color w:val="231F20"/>
              </w:rPr>
              <w:t>We are currently assessing</w:t>
            </w:r>
          </w:p>
        </w:tc>
      </w:tr>
      <w:tr>
        <w:trPr>
          <w:trHeight w:val="194"/>
        </w:trPr>
        <w:tc>
          <w:tcPr>
            <w:tcW w:w="1520" w:type="dxa"/>
            <w:vAlign w:val="bottom"/>
            <w:tcBorders>
              <w:left w:val="single" w:sz="8" w:color="231F20"/>
            </w:tcBorders>
          </w:tcPr>
          <w:p>
            <w:pPr>
              <w:ind w:left="60"/>
              <w:spacing w:after="0" w:line="194" w:lineRule="exact"/>
              <w:rPr>
                <w:sz w:val="20"/>
                <w:szCs w:val="20"/>
                <w:color w:val="auto"/>
              </w:rPr>
            </w:pPr>
            <w:r>
              <w:rPr>
                <w:rFonts w:ascii="Times New Roman" w:cs="Times New Roman" w:eastAsia="Times New Roman" w:hAnsi="Times New Roman"/>
                <w:sz w:val="19"/>
                <w:szCs w:val="19"/>
                <w:color w:val="231F20"/>
              </w:rPr>
              <w:t>"Financial</w:t>
            </w:r>
          </w:p>
        </w:tc>
        <w:tc>
          <w:tcPr>
            <w:tcW w:w="108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2025</w:t>
            </w: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allowing entities to assume current economic</w:t>
            </w:r>
          </w:p>
        </w:tc>
        <w:tc>
          <w:tcPr>
            <w:tcW w:w="800" w:type="dxa"/>
            <w:vAlign w:val="bottom"/>
          </w:tcPr>
          <w:p>
            <w:pPr>
              <w:spacing w:after="0"/>
              <w:rPr>
                <w:sz w:val="16"/>
                <w:szCs w:val="16"/>
                <w:color w:val="auto"/>
              </w:rPr>
            </w:pPr>
          </w:p>
        </w:tc>
        <w:tc>
          <w:tcPr>
            <w:tcW w:w="2600" w:type="dxa"/>
            <w:vAlign w:val="bottom"/>
            <w:tcBorders>
              <w:right w:val="single" w:sz="8" w:color="231F20"/>
            </w:tcBorders>
          </w:tcPr>
          <w:p>
            <w:pPr>
              <w:ind w:left="200"/>
              <w:spacing w:after="0" w:line="194" w:lineRule="exact"/>
              <w:rPr>
                <w:sz w:val="20"/>
                <w:szCs w:val="20"/>
                <w:color w:val="auto"/>
              </w:rPr>
            </w:pPr>
            <w:r>
              <w:rPr>
                <w:rFonts w:ascii="Times New Roman" w:cs="Times New Roman" w:eastAsia="Times New Roman" w:hAnsi="Times New Roman"/>
                <w:sz w:val="19"/>
                <w:szCs w:val="19"/>
                <w:color w:val="231F20"/>
              </w:rPr>
              <w:t>the impact of this standard</w:t>
            </w:r>
          </w:p>
        </w:tc>
      </w:tr>
      <w:tr>
        <w:trPr>
          <w:trHeight w:val="194"/>
        </w:trPr>
        <w:tc>
          <w:tcPr>
            <w:tcW w:w="1520" w:type="dxa"/>
            <w:vAlign w:val="bottom"/>
            <w:tcBorders>
              <w:left w:val="single" w:sz="8" w:color="231F20"/>
            </w:tcBorders>
          </w:tcPr>
          <w:p>
            <w:pPr>
              <w:ind w:left="60"/>
              <w:spacing w:after="0" w:line="194" w:lineRule="exact"/>
              <w:rPr>
                <w:sz w:val="20"/>
                <w:szCs w:val="20"/>
                <w:color w:val="auto"/>
              </w:rPr>
            </w:pPr>
            <w:r>
              <w:rPr>
                <w:rFonts w:ascii="Times New Roman" w:cs="Times New Roman" w:eastAsia="Times New Roman" w:hAnsi="Times New Roman"/>
                <w:sz w:val="19"/>
                <w:szCs w:val="19"/>
                <w:color w:val="231F20"/>
              </w:rPr>
              <w:t>Instruments -</w:t>
            </w: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conditions, as of the balance sheet date, remain</w:t>
            </w:r>
          </w:p>
        </w:tc>
        <w:tc>
          <w:tcPr>
            <w:tcW w:w="800" w:type="dxa"/>
            <w:vAlign w:val="bottom"/>
          </w:tcPr>
          <w:p>
            <w:pPr>
              <w:spacing w:after="0"/>
              <w:rPr>
                <w:sz w:val="16"/>
                <w:szCs w:val="16"/>
                <w:color w:val="auto"/>
              </w:rPr>
            </w:pPr>
          </w:p>
        </w:tc>
        <w:tc>
          <w:tcPr>
            <w:tcW w:w="2600" w:type="dxa"/>
            <w:vAlign w:val="bottom"/>
            <w:tcBorders>
              <w:right w:val="single" w:sz="8" w:color="231F20"/>
            </w:tcBorders>
          </w:tcPr>
          <w:p>
            <w:pPr>
              <w:ind w:left="200"/>
              <w:spacing w:after="0" w:line="194" w:lineRule="exact"/>
              <w:rPr>
                <w:sz w:val="20"/>
                <w:szCs w:val="20"/>
                <w:color w:val="auto"/>
              </w:rPr>
            </w:pPr>
            <w:r>
              <w:rPr>
                <w:rFonts w:ascii="Times New Roman" w:cs="Times New Roman" w:eastAsia="Times New Roman" w:hAnsi="Times New Roman"/>
                <w:sz w:val="19"/>
                <w:szCs w:val="19"/>
                <w:color w:val="231F20"/>
              </w:rPr>
              <w:t>update on our disclosures in</w:t>
            </w:r>
          </w:p>
        </w:tc>
      </w:tr>
      <w:tr>
        <w:trPr>
          <w:trHeight w:val="194"/>
        </w:trPr>
        <w:tc>
          <w:tcPr>
            <w:tcW w:w="1520" w:type="dxa"/>
            <w:vAlign w:val="bottom"/>
            <w:tcBorders>
              <w:left w:val="single" w:sz="8" w:color="231F20"/>
            </w:tcBorders>
          </w:tcPr>
          <w:p>
            <w:pPr>
              <w:ind w:left="60"/>
              <w:spacing w:after="0" w:line="194" w:lineRule="exact"/>
              <w:rPr>
                <w:sz w:val="20"/>
                <w:szCs w:val="20"/>
                <w:color w:val="auto"/>
              </w:rPr>
            </w:pPr>
            <w:r>
              <w:rPr>
                <w:rFonts w:ascii="Times New Roman" w:cs="Times New Roman" w:eastAsia="Times New Roman" w:hAnsi="Times New Roman"/>
                <w:sz w:val="19"/>
                <w:szCs w:val="19"/>
                <w:color w:val="231F20"/>
              </w:rPr>
              <w:t>Credit Losses</w:t>
            </w: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unchanged when estimating expected credit</w:t>
            </w:r>
          </w:p>
        </w:tc>
        <w:tc>
          <w:tcPr>
            <w:tcW w:w="800" w:type="dxa"/>
            <w:vAlign w:val="bottom"/>
          </w:tcPr>
          <w:p>
            <w:pPr>
              <w:spacing w:after="0"/>
              <w:rPr>
                <w:sz w:val="16"/>
                <w:szCs w:val="16"/>
                <w:color w:val="auto"/>
              </w:rPr>
            </w:pPr>
          </w:p>
        </w:tc>
        <w:tc>
          <w:tcPr>
            <w:tcW w:w="2600" w:type="dxa"/>
            <w:vAlign w:val="bottom"/>
            <w:tcBorders>
              <w:right w:val="single" w:sz="8" w:color="231F20"/>
            </w:tcBorders>
          </w:tcPr>
          <w:p>
            <w:pPr>
              <w:ind w:left="200"/>
              <w:spacing w:after="0" w:line="194" w:lineRule="exact"/>
              <w:rPr>
                <w:sz w:val="20"/>
                <w:szCs w:val="20"/>
                <w:color w:val="auto"/>
              </w:rPr>
            </w:pPr>
            <w:r>
              <w:rPr>
                <w:rFonts w:ascii="Times New Roman" w:cs="Times New Roman" w:eastAsia="Times New Roman" w:hAnsi="Times New Roman"/>
                <w:sz w:val="19"/>
                <w:szCs w:val="19"/>
                <w:color w:val="231F20"/>
              </w:rPr>
              <w:t>the notes to the consolidated</w:t>
            </w:r>
          </w:p>
        </w:tc>
      </w:tr>
      <w:tr>
        <w:trPr>
          <w:trHeight w:val="194"/>
        </w:trPr>
        <w:tc>
          <w:tcPr>
            <w:tcW w:w="1520" w:type="dxa"/>
            <w:vAlign w:val="bottom"/>
            <w:tcBorders>
              <w:left w:val="single" w:sz="8" w:color="231F20"/>
            </w:tcBorders>
          </w:tcPr>
          <w:p>
            <w:pPr>
              <w:ind w:left="60"/>
              <w:spacing w:after="0" w:line="194" w:lineRule="exact"/>
              <w:rPr>
                <w:sz w:val="20"/>
                <w:szCs w:val="20"/>
                <w:color w:val="auto"/>
              </w:rPr>
            </w:pPr>
            <w:r>
              <w:rPr>
                <w:rFonts w:ascii="Times New Roman" w:cs="Times New Roman" w:eastAsia="Times New Roman" w:hAnsi="Times New Roman"/>
                <w:sz w:val="19"/>
                <w:szCs w:val="19"/>
                <w:color w:val="231F20"/>
              </w:rPr>
              <w:t>(Topic 326)</w:t>
            </w: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losses for current trade receivables and</w:t>
            </w:r>
          </w:p>
        </w:tc>
        <w:tc>
          <w:tcPr>
            <w:tcW w:w="800" w:type="dxa"/>
            <w:vAlign w:val="bottom"/>
          </w:tcPr>
          <w:p>
            <w:pPr>
              <w:spacing w:after="0"/>
              <w:rPr>
                <w:sz w:val="16"/>
                <w:szCs w:val="16"/>
                <w:color w:val="auto"/>
              </w:rPr>
            </w:pPr>
          </w:p>
        </w:tc>
        <w:tc>
          <w:tcPr>
            <w:tcW w:w="2600" w:type="dxa"/>
            <w:vAlign w:val="bottom"/>
            <w:tcBorders>
              <w:right w:val="single" w:sz="8" w:color="231F20"/>
            </w:tcBorders>
          </w:tcPr>
          <w:p>
            <w:pPr>
              <w:ind w:left="200"/>
              <w:spacing w:after="0" w:line="194" w:lineRule="exact"/>
              <w:rPr>
                <w:sz w:val="20"/>
                <w:szCs w:val="20"/>
                <w:color w:val="auto"/>
              </w:rPr>
            </w:pPr>
            <w:r>
              <w:rPr>
                <w:rFonts w:ascii="Times New Roman" w:cs="Times New Roman" w:eastAsia="Times New Roman" w:hAnsi="Times New Roman"/>
                <w:sz w:val="19"/>
                <w:szCs w:val="19"/>
                <w:color w:val="231F20"/>
              </w:rPr>
              <w:t>financial statements.</w:t>
            </w:r>
          </w:p>
        </w:tc>
      </w:tr>
      <w:tr>
        <w:trPr>
          <w:trHeight w:val="194"/>
        </w:trPr>
        <w:tc>
          <w:tcPr>
            <w:tcW w:w="1520" w:type="dxa"/>
            <w:vAlign w:val="bottom"/>
            <w:tcBorders>
              <w:left w:val="single" w:sz="8" w:color="231F20"/>
            </w:tcBorders>
          </w:tcPr>
          <w:p>
            <w:pPr>
              <w:ind w:left="60"/>
              <w:spacing w:after="0" w:line="194" w:lineRule="exact"/>
              <w:rPr>
                <w:sz w:val="20"/>
                <w:szCs w:val="20"/>
                <w:color w:val="auto"/>
              </w:rPr>
            </w:pPr>
            <w:r>
              <w:rPr>
                <w:rFonts w:ascii="Times New Roman" w:cs="Times New Roman" w:eastAsia="Times New Roman" w:hAnsi="Times New Roman"/>
                <w:sz w:val="19"/>
                <w:szCs w:val="19"/>
                <w:color w:val="231F20"/>
              </w:rPr>
              <w:t>Measurement of</w:t>
            </w: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contract assets. The guidance is effective for</w:t>
            </w:r>
          </w:p>
        </w:tc>
        <w:tc>
          <w:tcPr>
            <w:tcW w:w="800" w:type="dxa"/>
            <w:vAlign w:val="bottom"/>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r>
      <w:tr>
        <w:trPr>
          <w:trHeight w:val="194"/>
        </w:trPr>
        <w:tc>
          <w:tcPr>
            <w:tcW w:w="1520" w:type="dxa"/>
            <w:vAlign w:val="bottom"/>
            <w:tcBorders>
              <w:left w:val="single" w:sz="8" w:color="231F20"/>
            </w:tcBorders>
          </w:tcPr>
          <w:p>
            <w:pPr>
              <w:ind w:left="60"/>
              <w:spacing w:after="0" w:line="194" w:lineRule="exact"/>
              <w:rPr>
                <w:sz w:val="20"/>
                <w:szCs w:val="20"/>
                <w:color w:val="auto"/>
              </w:rPr>
            </w:pPr>
            <w:r>
              <w:rPr>
                <w:rFonts w:ascii="Times New Roman" w:cs="Times New Roman" w:eastAsia="Times New Roman" w:hAnsi="Times New Roman"/>
                <w:sz w:val="19"/>
                <w:szCs w:val="19"/>
                <w:color w:val="231F20"/>
              </w:rPr>
              <w:t>Credit Losses for</w:t>
            </w: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fiscal years beginning after December 15,</w:t>
            </w:r>
          </w:p>
        </w:tc>
        <w:tc>
          <w:tcPr>
            <w:tcW w:w="800" w:type="dxa"/>
            <w:vAlign w:val="bottom"/>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r>
      <w:tr>
        <w:trPr>
          <w:trHeight w:val="194"/>
        </w:trPr>
        <w:tc>
          <w:tcPr>
            <w:tcW w:w="1520" w:type="dxa"/>
            <w:vAlign w:val="bottom"/>
            <w:tcBorders>
              <w:left w:val="single" w:sz="8" w:color="231F20"/>
            </w:tcBorders>
          </w:tcPr>
          <w:p>
            <w:pPr>
              <w:ind w:left="60"/>
              <w:spacing w:after="0" w:line="194" w:lineRule="exact"/>
              <w:rPr>
                <w:sz w:val="20"/>
                <w:szCs w:val="20"/>
                <w:color w:val="auto"/>
              </w:rPr>
            </w:pPr>
            <w:r>
              <w:rPr>
                <w:rFonts w:ascii="Times New Roman" w:cs="Times New Roman" w:eastAsia="Times New Roman" w:hAnsi="Times New Roman"/>
                <w:sz w:val="19"/>
                <w:szCs w:val="19"/>
                <w:color w:val="231F20"/>
              </w:rPr>
              <w:t>Accounts</w:t>
            </w: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2025, including interim periods, with early</w:t>
            </w:r>
          </w:p>
        </w:tc>
        <w:tc>
          <w:tcPr>
            <w:tcW w:w="800" w:type="dxa"/>
            <w:vAlign w:val="bottom"/>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r>
      <w:tr>
        <w:trPr>
          <w:trHeight w:val="194"/>
        </w:trPr>
        <w:tc>
          <w:tcPr>
            <w:tcW w:w="1520" w:type="dxa"/>
            <w:vAlign w:val="bottom"/>
            <w:tcBorders>
              <w:left w:val="single" w:sz="8" w:color="231F20"/>
            </w:tcBorders>
          </w:tcPr>
          <w:p>
            <w:pPr>
              <w:ind w:left="60"/>
              <w:spacing w:after="0" w:line="194" w:lineRule="exact"/>
              <w:rPr>
                <w:sz w:val="20"/>
                <w:szCs w:val="20"/>
                <w:color w:val="auto"/>
              </w:rPr>
            </w:pPr>
            <w:r>
              <w:rPr>
                <w:rFonts w:ascii="Times New Roman" w:cs="Times New Roman" w:eastAsia="Times New Roman" w:hAnsi="Times New Roman"/>
                <w:sz w:val="19"/>
                <w:szCs w:val="19"/>
                <w:color w:val="231F20"/>
              </w:rPr>
              <w:t>Receivable and</w:t>
            </w: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adoption permitted.</w:t>
            </w:r>
          </w:p>
        </w:tc>
        <w:tc>
          <w:tcPr>
            <w:tcW w:w="800" w:type="dxa"/>
            <w:vAlign w:val="bottom"/>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r>
      <w:tr>
        <w:trPr>
          <w:trHeight w:val="253"/>
        </w:trPr>
        <w:tc>
          <w:tcPr>
            <w:tcW w:w="1520" w:type="dxa"/>
            <w:vAlign w:val="bottom"/>
            <w:tcBorders>
              <w:left w:val="single" w:sz="8" w:color="231F20"/>
            </w:tcBorders>
          </w:tcPr>
          <w:p>
            <w:pPr>
              <w:ind w:left="60"/>
              <w:spacing w:after="0"/>
              <w:rPr>
                <w:sz w:val="20"/>
                <w:szCs w:val="20"/>
                <w:color w:val="auto"/>
              </w:rPr>
            </w:pPr>
            <w:r>
              <w:rPr>
                <w:rFonts w:ascii="Times New Roman" w:cs="Times New Roman" w:eastAsia="Times New Roman" w:hAnsi="Times New Roman"/>
                <w:sz w:val="19"/>
                <w:szCs w:val="19"/>
                <w:color w:val="231F20"/>
              </w:rPr>
              <w:t>Contract Assets."</w:t>
            </w:r>
          </w:p>
        </w:tc>
        <w:tc>
          <w:tcPr>
            <w:tcW w:w="108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0" w:type="dxa"/>
            <w:vAlign w:val="bottom"/>
            <w:tcBorders>
              <w:right w:val="single" w:sz="8" w:color="231F20"/>
            </w:tcBorders>
          </w:tcPr>
          <w:p>
            <w:pPr>
              <w:spacing w:after="0"/>
              <w:rPr>
                <w:sz w:val="21"/>
                <w:szCs w:val="21"/>
                <w:color w:val="auto"/>
              </w:rPr>
            </w:pPr>
          </w:p>
        </w:tc>
      </w:tr>
      <w:tr>
        <w:trPr>
          <w:trHeight w:val="386"/>
        </w:trPr>
        <w:tc>
          <w:tcPr>
            <w:tcW w:w="1520" w:type="dxa"/>
            <w:vAlign w:val="bottom"/>
            <w:tcBorders>
              <w:left w:val="single" w:sz="8" w:color="231F20"/>
              <w:bottom w:val="single" w:sz="8" w:color="231F20"/>
            </w:tcBorders>
          </w:tcPr>
          <w:p>
            <w:pPr>
              <w:spacing w:after="0"/>
              <w:rPr>
                <w:sz w:val="24"/>
                <w:szCs w:val="24"/>
                <w:color w:val="auto"/>
              </w:rPr>
            </w:pPr>
          </w:p>
        </w:tc>
        <w:tc>
          <w:tcPr>
            <w:tcW w:w="1080" w:type="dxa"/>
            <w:vAlign w:val="bottom"/>
            <w:tcBorders>
              <w:bottom w:val="single" w:sz="8" w:color="231F20"/>
            </w:tcBorders>
          </w:tcPr>
          <w:p>
            <w:pPr>
              <w:spacing w:after="0"/>
              <w:rPr>
                <w:sz w:val="24"/>
                <w:szCs w:val="24"/>
                <w:color w:val="auto"/>
              </w:rPr>
            </w:pPr>
          </w:p>
        </w:tc>
        <w:tc>
          <w:tcPr>
            <w:tcW w:w="3860" w:type="dxa"/>
            <w:vAlign w:val="bottom"/>
            <w:tcBorders>
              <w:bottom w:val="single" w:sz="8" w:color="231F20"/>
            </w:tcBorders>
          </w:tcPr>
          <w:p>
            <w:pPr>
              <w:spacing w:after="0"/>
              <w:rPr>
                <w:sz w:val="24"/>
                <w:szCs w:val="24"/>
                <w:color w:val="auto"/>
              </w:rPr>
            </w:pPr>
          </w:p>
        </w:tc>
        <w:tc>
          <w:tcPr>
            <w:tcW w:w="800" w:type="dxa"/>
            <w:vAlign w:val="bottom"/>
            <w:tcBorders>
              <w:bottom w:val="single" w:sz="8" w:color="231F20"/>
            </w:tcBorders>
          </w:tcPr>
          <w:p>
            <w:pPr>
              <w:spacing w:after="0"/>
              <w:rPr>
                <w:sz w:val="24"/>
                <w:szCs w:val="24"/>
                <w:color w:val="auto"/>
              </w:rPr>
            </w:pPr>
          </w:p>
        </w:tc>
        <w:tc>
          <w:tcPr>
            <w:tcW w:w="2600" w:type="dxa"/>
            <w:vAlign w:val="bottom"/>
            <w:tcBorders>
              <w:bottom w:val="single" w:sz="8" w:color="231F20"/>
              <w:right w:val="single" w:sz="8" w:color="231F20"/>
            </w:tcBorders>
          </w:tcPr>
          <w:p>
            <w:pPr>
              <w:spacing w:after="0"/>
              <w:rPr>
                <w:sz w:val="24"/>
                <w:szCs w:val="24"/>
                <w:color w:val="auto"/>
              </w:rPr>
            </w:pPr>
          </w:p>
        </w:tc>
      </w:tr>
      <w:tr>
        <w:trPr>
          <w:trHeight w:val="175"/>
        </w:trPr>
        <w:tc>
          <w:tcPr>
            <w:tcW w:w="1520" w:type="dxa"/>
            <w:vAlign w:val="bottom"/>
            <w:tcBorders>
              <w:left w:val="single" w:sz="8" w:color="231F20"/>
            </w:tcBorders>
          </w:tcPr>
          <w:p>
            <w:pPr>
              <w:ind w:left="60"/>
              <w:spacing w:after="0" w:line="175" w:lineRule="exact"/>
              <w:rPr>
                <w:sz w:val="20"/>
                <w:szCs w:val="20"/>
                <w:color w:val="auto"/>
              </w:rPr>
            </w:pPr>
            <w:r>
              <w:rPr>
                <w:rFonts w:ascii="Times New Roman" w:cs="Times New Roman" w:eastAsia="Times New Roman" w:hAnsi="Times New Roman"/>
                <w:sz w:val="19"/>
                <w:szCs w:val="19"/>
                <w:color w:val="231F20"/>
              </w:rPr>
              <w:t>ASU 2025-06</w:t>
            </w:r>
          </w:p>
        </w:tc>
        <w:tc>
          <w:tcPr>
            <w:tcW w:w="1080" w:type="dxa"/>
            <w:vAlign w:val="bottom"/>
          </w:tcPr>
          <w:p>
            <w:pPr>
              <w:jc w:val="center"/>
              <w:spacing w:after="0" w:line="175" w:lineRule="exact"/>
              <w:rPr>
                <w:sz w:val="20"/>
                <w:szCs w:val="20"/>
                <w:color w:val="auto"/>
              </w:rPr>
            </w:pPr>
            <w:r>
              <w:rPr>
                <w:rFonts w:ascii="Times New Roman" w:cs="Times New Roman" w:eastAsia="Times New Roman" w:hAnsi="Times New Roman"/>
                <w:sz w:val="19"/>
                <w:szCs w:val="19"/>
                <w:color w:val="231F20"/>
              </w:rPr>
              <w:t>September</w:t>
            </w:r>
          </w:p>
        </w:tc>
        <w:tc>
          <w:tcPr>
            <w:tcW w:w="3860" w:type="dxa"/>
            <w:vAlign w:val="bottom"/>
          </w:tcPr>
          <w:p>
            <w:pPr>
              <w:ind w:left="100"/>
              <w:spacing w:after="0" w:line="175" w:lineRule="exact"/>
              <w:rPr>
                <w:sz w:val="20"/>
                <w:szCs w:val="20"/>
                <w:color w:val="auto"/>
              </w:rPr>
            </w:pPr>
            <w:r>
              <w:rPr>
                <w:rFonts w:ascii="Times New Roman" w:cs="Times New Roman" w:eastAsia="Times New Roman" w:hAnsi="Times New Roman"/>
                <w:sz w:val="19"/>
                <w:szCs w:val="19"/>
                <w:color w:val="231F20"/>
              </w:rPr>
              <w:t>The standard removes all references to</w:t>
            </w:r>
          </w:p>
        </w:tc>
        <w:tc>
          <w:tcPr>
            <w:tcW w:w="800" w:type="dxa"/>
            <w:vAlign w:val="bottom"/>
          </w:tcPr>
          <w:p>
            <w:pPr>
              <w:ind w:left="320"/>
              <w:spacing w:after="0" w:line="175" w:lineRule="exact"/>
              <w:rPr>
                <w:sz w:val="20"/>
                <w:szCs w:val="20"/>
                <w:color w:val="auto"/>
              </w:rPr>
            </w:pPr>
            <w:r>
              <w:rPr>
                <w:rFonts w:ascii="Times New Roman" w:cs="Times New Roman" w:eastAsia="Times New Roman" w:hAnsi="Times New Roman"/>
                <w:sz w:val="19"/>
                <w:szCs w:val="19"/>
                <w:color w:val="231F20"/>
              </w:rPr>
              <w:t>NA</w:t>
            </w:r>
          </w:p>
        </w:tc>
        <w:tc>
          <w:tcPr>
            <w:tcW w:w="2600" w:type="dxa"/>
            <w:vAlign w:val="bottom"/>
            <w:tcBorders>
              <w:right w:val="single" w:sz="8" w:color="231F20"/>
            </w:tcBorders>
          </w:tcPr>
          <w:p>
            <w:pPr>
              <w:ind w:left="200"/>
              <w:spacing w:after="0" w:line="175" w:lineRule="exact"/>
              <w:rPr>
                <w:sz w:val="20"/>
                <w:szCs w:val="20"/>
                <w:color w:val="auto"/>
              </w:rPr>
            </w:pPr>
            <w:r>
              <w:rPr>
                <w:rFonts w:ascii="Times New Roman" w:cs="Times New Roman" w:eastAsia="Times New Roman" w:hAnsi="Times New Roman"/>
                <w:sz w:val="19"/>
                <w:szCs w:val="19"/>
                <w:color w:val="231F20"/>
              </w:rPr>
              <w:t>We are in the process of</w:t>
            </w:r>
          </w:p>
        </w:tc>
      </w:tr>
      <w:tr>
        <w:trPr>
          <w:trHeight w:val="194"/>
        </w:trPr>
        <w:tc>
          <w:tcPr>
            <w:tcW w:w="1520" w:type="dxa"/>
            <w:vAlign w:val="bottom"/>
            <w:tcBorders>
              <w:left w:val="single" w:sz="8" w:color="231F20"/>
            </w:tcBorders>
          </w:tcPr>
          <w:p>
            <w:pPr>
              <w:ind w:left="60"/>
              <w:spacing w:after="0" w:line="194" w:lineRule="exact"/>
              <w:rPr>
                <w:sz w:val="20"/>
                <w:szCs w:val="20"/>
                <w:color w:val="auto"/>
              </w:rPr>
            </w:pPr>
            <w:r>
              <w:rPr>
                <w:rFonts w:ascii="Times New Roman" w:cs="Times New Roman" w:eastAsia="Times New Roman" w:hAnsi="Times New Roman"/>
                <w:sz w:val="19"/>
                <w:szCs w:val="19"/>
                <w:color w:val="231F20"/>
              </w:rPr>
              <w:t>"Intangibles -</w:t>
            </w:r>
          </w:p>
        </w:tc>
        <w:tc>
          <w:tcPr>
            <w:tcW w:w="1080" w:type="dxa"/>
            <w:vAlign w:val="bottom"/>
          </w:tcPr>
          <w:p>
            <w:pPr>
              <w:jc w:val="center"/>
              <w:spacing w:after="0" w:line="194" w:lineRule="exact"/>
              <w:rPr>
                <w:sz w:val="20"/>
                <w:szCs w:val="20"/>
                <w:color w:val="auto"/>
              </w:rPr>
            </w:pPr>
            <w:r>
              <w:rPr>
                <w:rFonts w:ascii="Times New Roman" w:cs="Times New Roman" w:eastAsia="Times New Roman" w:hAnsi="Times New Roman"/>
                <w:sz w:val="19"/>
                <w:szCs w:val="19"/>
                <w:color w:val="231F20"/>
              </w:rPr>
              <w:t>2025</w:t>
            </w: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prescriptive and sequential software</w:t>
            </w:r>
          </w:p>
        </w:tc>
        <w:tc>
          <w:tcPr>
            <w:tcW w:w="800" w:type="dxa"/>
            <w:vAlign w:val="bottom"/>
          </w:tcPr>
          <w:p>
            <w:pPr>
              <w:spacing w:after="0"/>
              <w:rPr>
                <w:sz w:val="16"/>
                <w:szCs w:val="16"/>
                <w:color w:val="auto"/>
              </w:rPr>
            </w:pPr>
          </w:p>
        </w:tc>
        <w:tc>
          <w:tcPr>
            <w:tcW w:w="2600" w:type="dxa"/>
            <w:vAlign w:val="bottom"/>
            <w:tcBorders>
              <w:right w:val="single" w:sz="8" w:color="231F20"/>
            </w:tcBorders>
          </w:tcPr>
          <w:p>
            <w:pPr>
              <w:ind w:left="200"/>
              <w:spacing w:after="0" w:line="194" w:lineRule="exact"/>
              <w:rPr>
                <w:sz w:val="20"/>
                <w:szCs w:val="20"/>
                <w:color w:val="auto"/>
              </w:rPr>
            </w:pPr>
            <w:r>
              <w:rPr>
                <w:rFonts w:ascii="Times New Roman" w:cs="Times New Roman" w:eastAsia="Times New Roman" w:hAnsi="Times New Roman"/>
                <w:sz w:val="19"/>
                <w:szCs w:val="19"/>
                <w:color w:val="231F20"/>
              </w:rPr>
              <w:t>evaluating the impact that the</w:t>
            </w:r>
          </w:p>
        </w:tc>
      </w:tr>
      <w:tr>
        <w:trPr>
          <w:trHeight w:val="194"/>
        </w:trPr>
        <w:tc>
          <w:tcPr>
            <w:tcW w:w="1520" w:type="dxa"/>
            <w:vAlign w:val="bottom"/>
            <w:tcBorders>
              <w:left w:val="single" w:sz="8" w:color="231F20"/>
            </w:tcBorders>
          </w:tcPr>
          <w:p>
            <w:pPr>
              <w:ind w:left="60"/>
              <w:spacing w:after="0" w:line="194" w:lineRule="exact"/>
              <w:rPr>
                <w:sz w:val="20"/>
                <w:szCs w:val="20"/>
                <w:color w:val="auto"/>
              </w:rPr>
            </w:pPr>
            <w:r>
              <w:rPr>
                <w:rFonts w:ascii="Times New Roman" w:cs="Times New Roman" w:eastAsia="Times New Roman" w:hAnsi="Times New Roman"/>
                <w:sz w:val="19"/>
                <w:szCs w:val="19"/>
                <w:color w:val="231F20"/>
              </w:rPr>
              <w:t>Goodwill and</w:t>
            </w: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development stages and requires entities to</w:t>
            </w:r>
          </w:p>
        </w:tc>
        <w:tc>
          <w:tcPr>
            <w:tcW w:w="800" w:type="dxa"/>
            <w:vAlign w:val="bottom"/>
          </w:tcPr>
          <w:p>
            <w:pPr>
              <w:spacing w:after="0"/>
              <w:rPr>
                <w:sz w:val="16"/>
                <w:szCs w:val="16"/>
                <w:color w:val="auto"/>
              </w:rPr>
            </w:pPr>
          </w:p>
        </w:tc>
        <w:tc>
          <w:tcPr>
            <w:tcW w:w="2600" w:type="dxa"/>
            <w:vAlign w:val="bottom"/>
            <w:tcBorders>
              <w:right w:val="single" w:sz="8" w:color="231F20"/>
            </w:tcBorders>
          </w:tcPr>
          <w:p>
            <w:pPr>
              <w:ind w:left="200"/>
              <w:spacing w:after="0" w:line="194" w:lineRule="exact"/>
              <w:rPr>
                <w:sz w:val="20"/>
                <w:szCs w:val="20"/>
                <w:color w:val="auto"/>
              </w:rPr>
            </w:pPr>
            <w:r>
              <w:rPr>
                <w:rFonts w:ascii="Times New Roman" w:cs="Times New Roman" w:eastAsia="Times New Roman" w:hAnsi="Times New Roman"/>
                <w:sz w:val="19"/>
                <w:szCs w:val="19"/>
                <w:color w:val="231F20"/>
              </w:rPr>
              <w:t>standard update will have on</w:t>
            </w:r>
          </w:p>
        </w:tc>
      </w:tr>
      <w:tr>
        <w:trPr>
          <w:trHeight w:val="194"/>
        </w:trPr>
        <w:tc>
          <w:tcPr>
            <w:tcW w:w="1520" w:type="dxa"/>
            <w:vAlign w:val="bottom"/>
            <w:tcBorders>
              <w:left w:val="single" w:sz="8" w:color="231F20"/>
            </w:tcBorders>
          </w:tcPr>
          <w:p>
            <w:pPr>
              <w:ind w:left="60"/>
              <w:spacing w:after="0" w:line="194" w:lineRule="exact"/>
              <w:rPr>
                <w:sz w:val="20"/>
                <w:szCs w:val="20"/>
                <w:color w:val="auto"/>
              </w:rPr>
            </w:pPr>
            <w:r>
              <w:rPr>
                <w:rFonts w:ascii="Times New Roman" w:cs="Times New Roman" w:eastAsia="Times New Roman" w:hAnsi="Times New Roman"/>
                <w:sz w:val="19"/>
                <w:szCs w:val="19"/>
                <w:color w:val="231F20"/>
              </w:rPr>
              <w:t>Other - Internal-</w:t>
            </w: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begin capitalizing software costs when</w:t>
            </w:r>
          </w:p>
        </w:tc>
        <w:tc>
          <w:tcPr>
            <w:tcW w:w="800" w:type="dxa"/>
            <w:vAlign w:val="bottom"/>
          </w:tcPr>
          <w:p>
            <w:pPr>
              <w:spacing w:after="0"/>
              <w:rPr>
                <w:sz w:val="16"/>
                <w:szCs w:val="16"/>
                <w:color w:val="auto"/>
              </w:rPr>
            </w:pPr>
          </w:p>
        </w:tc>
        <w:tc>
          <w:tcPr>
            <w:tcW w:w="2600" w:type="dxa"/>
            <w:vAlign w:val="bottom"/>
            <w:tcBorders>
              <w:right w:val="single" w:sz="8" w:color="231F20"/>
            </w:tcBorders>
          </w:tcPr>
          <w:p>
            <w:pPr>
              <w:ind w:left="200"/>
              <w:spacing w:after="0" w:line="194" w:lineRule="exact"/>
              <w:rPr>
                <w:sz w:val="20"/>
                <w:szCs w:val="20"/>
                <w:color w:val="auto"/>
              </w:rPr>
            </w:pPr>
            <w:r>
              <w:rPr>
                <w:rFonts w:ascii="Times New Roman" w:cs="Times New Roman" w:eastAsia="Times New Roman" w:hAnsi="Times New Roman"/>
                <w:sz w:val="19"/>
                <w:szCs w:val="19"/>
                <w:color w:val="231F20"/>
              </w:rPr>
              <w:t>our consolidated financial</w:t>
            </w:r>
          </w:p>
        </w:tc>
      </w:tr>
      <w:tr>
        <w:trPr>
          <w:trHeight w:val="194"/>
        </w:trPr>
        <w:tc>
          <w:tcPr>
            <w:tcW w:w="1520" w:type="dxa"/>
            <w:vAlign w:val="bottom"/>
            <w:tcBorders>
              <w:left w:val="single" w:sz="8" w:color="231F20"/>
            </w:tcBorders>
          </w:tcPr>
          <w:p>
            <w:pPr>
              <w:ind w:left="60"/>
              <w:spacing w:after="0" w:line="194" w:lineRule="exact"/>
              <w:rPr>
                <w:sz w:val="20"/>
                <w:szCs w:val="20"/>
                <w:color w:val="auto"/>
              </w:rPr>
            </w:pPr>
            <w:r>
              <w:rPr>
                <w:rFonts w:ascii="Times New Roman" w:cs="Times New Roman" w:eastAsia="Times New Roman" w:hAnsi="Times New Roman"/>
                <w:sz w:val="19"/>
                <w:szCs w:val="19"/>
                <w:color w:val="231F20"/>
              </w:rPr>
              <w:t>Use Software</w:t>
            </w: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management has both authorized and</w:t>
            </w:r>
          </w:p>
        </w:tc>
        <w:tc>
          <w:tcPr>
            <w:tcW w:w="800" w:type="dxa"/>
            <w:vAlign w:val="bottom"/>
          </w:tcPr>
          <w:p>
            <w:pPr>
              <w:spacing w:after="0"/>
              <w:rPr>
                <w:sz w:val="16"/>
                <w:szCs w:val="16"/>
                <w:color w:val="auto"/>
              </w:rPr>
            </w:pPr>
          </w:p>
        </w:tc>
        <w:tc>
          <w:tcPr>
            <w:tcW w:w="2600" w:type="dxa"/>
            <w:vAlign w:val="bottom"/>
            <w:tcBorders>
              <w:right w:val="single" w:sz="8" w:color="231F20"/>
            </w:tcBorders>
          </w:tcPr>
          <w:p>
            <w:pPr>
              <w:ind w:left="200"/>
              <w:spacing w:after="0" w:line="194" w:lineRule="exact"/>
              <w:rPr>
                <w:sz w:val="20"/>
                <w:szCs w:val="20"/>
                <w:color w:val="auto"/>
              </w:rPr>
            </w:pPr>
            <w:r>
              <w:rPr>
                <w:rFonts w:ascii="Times New Roman" w:cs="Times New Roman" w:eastAsia="Times New Roman" w:hAnsi="Times New Roman"/>
                <w:sz w:val="19"/>
                <w:szCs w:val="19"/>
                <w:color w:val="231F20"/>
              </w:rPr>
              <w:t>statements.</w:t>
            </w:r>
          </w:p>
        </w:tc>
      </w:tr>
      <w:tr>
        <w:trPr>
          <w:trHeight w:val="194"/>
        </w:trPr>
        <w:tc>
          <w:tcPr>
            <w:tcW w:w="1520" w:type="dxa"/>
            <w:vAlign w:val="bottom"/>
            <w:tcBorders>
              <w:left w:val="single" w:sz="8" w:color="231F20"/>
            </w:tcBorders>
          </w:tcPr>
          <w:p>
            <w:pPr>
              <w:ind w:left="60"/>
              <w:spacing w:after="0" w:line="194" w:lineRule="exact"/>
              <w:rPr>
                <w:sz w:val="20"/>
                <w:szCs w:val="20"/>
                <w:color w:val="auto"/>
              </w:rPr>
            </w:pPr>
            <w:r>
              <w:rPr>
                <w:rFonts w:ascii="Times New Roman" w:cs="Times New Roman" w:eastAsia="Times New Roman" w:hAnsi="Times New Roman"/>
                <w:sz w:val="19"/>
                <w:szCs w:val="19"/>
                <w:color w:val="231F20"/>
              </w:rPr>
              <w:t>(Subtopic</w:t>
            </w: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committed to funding the software project, and</w:t>
            </w:r>
          </w:p>
        </w:tc>
        <w:tc>
          <w:tcPr>
            <w:tcW w:w="800" w:type="dxa"/>
            <w:vAlign w:val="bottom"/>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r>
      <w:tr>
        <w:trPr>
          <w:trHeight w:val="194"/>
        </w:trPr>
        <w:tc>
          <w:tcPr>
            <w:tcW w:w="1520" w:type="dxa"/>
            <w:vAlign w:val="bottom"/>
            <w:tcBorders>
              <w:left w:val="single" w:sz="8" w:color="231F20"/>
            </w:tcBorders>
          </w:tcPr>
          <w:p>
            <w:pPr>
              <w:ind w:left="60"/>
              <w:spacing w:after="0" w:line="194" w:lineRule="exact"/>
              <w:rPr>
                <w:sz w:val="20"/>
                <w:szCs w:val="20"/>
                <w:color w:val="auto"/>
              </w:rPr>
            </w:pPr>
            <w:r>
              <w:rPr>
                <w:rFonts w:ascii="Times New Roman" w:cs="Times New Roman" w:eastAsia="Times New Roman" w:hAnsi="Times New Roman"/>
                <w:sz w:val="19"/>
                <w:szCs w:val="19"/>
                <w:color w:val="231F20"/>
              </w:rPr>
              <w:t>350-40) Targeted</w:t>
            </w: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it is probable that the project will both be</w:t>
            </w:r>
          </w:p>
        </w:tc>
        <w:tc>
          <w:tcPr>
            <w:tcW w:w="800" w:type="dxa"/>
            <w:vAlign w:val="bottom"/>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r>
      <w:tr>
        <w:trPr>
          <w:trHeight w:val="194"/>
        </w:trPr>
        <w:tc>
          <w:tcPr>
            <w:tcW w:w="1520" w:type="dxa"/>
            <w:vAlign w:val="bottom"/>
            <w:tcBorders>
              <w:left w:val="single" w:sz="8" w:color="231F20"/>
            </w:tcBorders>
          </w:tcPr>
          <w:p>
            <w:pPr>
              <w:ind w:left="60"/>
              <w:spacing w:after="0" w:line="194" w:lineRule="exact"/>
              <w:rPr>
                <w:sz w:val="20"/>
                <w:szCs w:val="20"/>
                <w:color w:val="auto"/>
              </w:rPr>
            </w:pPr>
            <w:r>
              <w:rPr>
                <w:rFonts w:ascii="Times New Roman" w:cs="Times New Roman" w:eastAsia="Times New Roman" w:hAnsi="Times New Roman"/>
                <w:sz w:val="19"/>
                <w:szCs w:val="19"/>
                <w:color w:val="231F20"/>
              </w:rPr>
              <w:t>Improvements to</w:t>
            </w: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completed and the software will be used to</w:t>
            </w:r>
          </w:p>
        </w:tc>
        <w:tc>
          <w:tcPr>
            <w:tcW w:w="800" w:type="dxa"/>
            <w:vAlign w:val="bottom"/>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r>
      <w:tr>
        <w:trPr>
          <w:trHeight w:val="194"/>
        </w:trPr>
        <w:tc>
          <w:tcPr>
            <w:tcW w:w="1520" w:type="dxa"/>
            <w:vAlign w:val="bottom"/>
            <w:tcBorders>
              <w:left w:val="single" w:sz="8" w:color="231F20"/>
            </w:tcBorders>
          </w:tcPr>
          <w:p>
            <w:pPr>
              <w:ind w:left="60"/>
              <w:spacing w:after="0" w:line="194" w:lineRule="exact"/>
              <w:rPr>
                <w:sz w:val="20"/>
                <w:szCs w:val="20"/>
                <w:color w:val="auto"/>
              </w:rPr>
            </w:pPr>
            <w:r>
              <w:rPr>
                <w:rFonts w:ascii="Times New Roman" w:cs="Times New Roman" w:eastAsia="Times New Roman" w:hAnsi="Times New Roman"/>
                <w:sz w:val="19"/>
                <w:szCs w:val="19"/>
                <w:color w:val="231F20"/>
              </w:rPr>
              <w:t>the Accounting</w:t>
            </w: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perform the function intended. Capitalized</w:t>
            </w:r>
          </w:p>
        </w:tc>
        <w:tc>
          <w:tcPr>
            <w:tcW w:w="800" w:type="dxa"/>
            <w:vAlign w:val="bottom"/>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r>
      <w:tr>
        <w:trPr>
          <w:trHeight w:val="194"/>
        </w:trPr>
        <w:tc>
          <w:tcPr>
            <w:tcW w:w="1520" w:type="dxa"/>
            <w:vAlign w:val="bottom"/>
            <w:tcBorders>
              <w:left w:val="single" w:sz="8" w:color="231F20"/>
            </w:tcBorders>
          </w:tcPr>
          <w:p>
            <w:pPr>
              <w:ind w:left="60"/>
              <w:spacing w:after="0" w:line="194" w:lineRule="exact"/>
              <w:rPr>
                <w:sz w:val="20"/>
                <w:szCs w:val="20"/>
                <w:color w:val="auto"/>
              </w:rPr>
            </w:pPr>
            <w:r>
              <w:rPr>
                <w:rFonts w:ascii="Times New Roman" w:cs="Times New Roman" w:eastAsia="Times New Roman" w:hAnsi="Times New Roman"/>
                <w:sz w:val="19"/>
                <w:szCs w:val="19"/>
                <w:color w:val="231F20"/>
              </w:rPr>
              <w:t>for Internal-Use</w:t>
            </w: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internal-use software costs are now subject to</w:t>
            </w:r>
          </w:p>
        </w:tc>
        <w:tc>
          <w:tcPr>
            <w:tcW w:w="800" w:type="dxa"/>
            <w:vAlign w:val="bottom"/>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r>
      <w:tr>
        <w:trPr>
          <w:trHeight w:val="194"/>
        </w:trPr>
        <w:tc>
          <w:tcPr>
            <w:tcW w:w="1520" w:type="dxa"/>
            <w:vAlign w:val="bottom"/>
            <w:tcBorders>
              <w:left w:val="single" w:sz="8" w:color="231F20"/>
            </w:tcBorders>
          </w:tcPr>
          <w:p>
            <w:pPr>
              <w:ind w:left="60"/>
              <w:spacing w:after="0" w:line="194" w:lineRule="exact"/>
              <w:rPr>
                <w:sz w:val="20"/>
                <w:szCs w:val="20"/>
                <w:color w:val="auto"/>
              </w:rPr>
            </w:pPr>
            <w:r>
              <w:rPr>
                <w:rFonts w:ascii="Times New Roman" w:cs="Times New Roman" w:eastAsia="Times New Roman" w:hAnsi="Times New Roman"/>
                <w:sz w:val="19"/>
                <w:szCs w:val="19"/>
                <w:color w:val="231F20"/>
              </w:rPr>
              <w:t>Software</w:t>
            </w: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the same disclosure requirements as property,</w:t>
            </w:r>
          </w:p>
        </w:tc>
        <w:tc>
          <w:tcPr>
            <w:tcW w:w="800" w:type="dxa"/>
            <w:vAlign w:val="bottom"/>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r>
      <w:tr>
        <w:trPr>
          <w:trHeight w:val="194"/>
        </w:trPr>
        <w:tc>
          <w:tcPr>
            <w:tcW w:w="1520" w:type="dxa"/>
            <w:vAlign w:val="bottom"/>
            <w:tcBorders>
              <w:left w:val="single" w:sz="8" w:color="231F20"/>
            </w:tcBorders>
          </w:tcPr>
          <w:p>
            <w:pPr>
              <w:spacing w:after="0"/>
              <w:rPr>
                <w:sz w:val="16"/>
                <w:szCs w:val="16"/>
                <w:color w:val="auto"/>
              </w:rPr>
            </w:pP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plant, and equipment (PPE), even if they are</w:t>
            </w:r>
          </w:p>
        </w:tc>
        <w:tc>
          <w:tcPr>
            <w:tcW w:w="800" w:type="dxa"/>
            <w:vAlign w:val="bottom"/>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r>
      <w:tr>
        <w:trPr>
          <w:trHeight w:val="194"/>
        </w:trPr>
        <w:tc>
          <w:tcPr>
            <w:tcW w:w="1520" w:type="dxa"/>
            <w:vAlign w:val="bottom"/>
            <w:tcBorders>
              <w:left w:val="single" w:sz="8" w:color="231F20"/>
            </w:tcBorders>
          </w:tcPr>
          <w:p>
            <w:pPr>
              <w:spacing w:after="0"/>
              <w:rPr>
                <w:sz w:val="16"/>
                <w:szCs w:val="16"/>
                <w:color w:val="auto"/>
              </w:rPr>
            </w:pP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presented as intangible assets or under a</w:t>
            </w:r>
          </w:p>
        </w:tc>
        <w:tc>
          <w:tcPr>
            <w:tcW w:w="800" w:type="dxa"/>
            <w:vAlign w:val="bottom"/>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r>
      <w:tr>
        <w:trPr>
          <w:trHeight w:val="194"/>
        </w:trPr>
        <w:tc>
          <w:tcPr>
            <w:tcW w:w="1520" w:type="dxa"/>
            <w:vAlign w:val="bottom"/>
            <w:tcBorders>
              <w:left w:val="single" w:sz="8" w:color="231F20"/>
            </w:tcBorders>
          </w:tcPr>
          <w:p>
            <w:pPr>
              <w:spacing w:after="0"/>
              <w:rPr>
                <w:sz w:val="16"/>
                <w:szCs w:val="16"/>
                <w:color w:val="auto"/>
              </w:rPr>
            </w:pP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different line item. The amendments in this</w:t>
            </w:r>
          </w:p>
        </w:tc>
        <w:tc>
          <w:tcPr>
            <w:tcW w:w="800" w:type="dxa"/>
            <w:vAlign w:val="bottom"/>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r>
      <w:tr>
        <w:trPr>
          <w:trHeight w:val="194"/>
        </w:trPr>
        <w:tc>
          <w:tcPr>
            <w:tcW w:w="1520" w:type="dxa"/>
            <w:vAlign w:val="bottom"/>
            <w:tcBorders>
              <w:left w:val="single" w:sz="8" w:color="231F20"/>
            </w:tcBorders>
          </w:tcPr>
          <w:p>
            <w:pPr>
              <w:spacing w:after="0"/>
              <w:rPr>
                <w:sz w:val="16"/>
                <w:szCs w:val="16"/>
                <w:color w:val="auto"/>
              </w:rPr>
            </w:pP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standard are effective for annual periods</w:t>
            </w:r>
          </w:p>
        </w:tc>
        <w:tc>
          <w:tcPr>
            <w:tcW w:w="800" w:type="dxa"/>
            <w:vAlign w:val="bottom"/>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r>
      <w:tr>
        <w:trPr>
          <w:trHeight w:val="194"/>
        </w:trPr>
        <w:tc>
          <w:tcPr>
            <w:tcW w:w="1520" w:type="dxa"/>
            <w:vAlign w:val="bottom"/>
            <w:tcBorders>
              <w:left w:val="single" w:sz="8" w:color="231F20"/>
            </w:tcBorders>
          </w:tcPr>
          <w:p>
            <w:pPr>
              <w:spacing w:after="0"/>
              <w:rPr>
                <w:sz w:val="16"/>
                <w:szCs w:val="16"/>
                <w:color w:val="auto"/>
              </w:rPr>
            </w:pP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beginning after December 15, 2027 and</w:t>
            </w:r>
          </w:p>
        </w:tc>
        <w:tc>
          <w:tcPr>
            <w:tcW w:w="800" w:type="dxa"/>
            <w:vAlign w:val="bottom"/>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r>
      <w:tr>
        <w:trPr>
          <w:trHeight w:val="194"/>
        </w:trPr>
        <w:tc>
          <w:tcPr>
            <w:tcW w:w="1520" w:type="dxa"/>
            <w:vAlign w:val="bottom"/>
            <w:tcBorders>
              <w:left w:val="single" w:sz="8" w:color="231F20"/>
            </w:tcBorders>
          </w:tcPr>
          <w:p>
            <w:pPr>
              <w:spacing w:after="0"/>
              <w:rPr>
                <w:sz w:val="16"/>
                <w:szCs w:val="16"/>
                <w:color w:val="auto"/>
              </w:rPr>
            </w:pP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interim reporting periods within those annual</w:t>
            </w:r>
          </w:p>
        </w:tc>
        <w:tc>
          <w:tcPr>
            <w:tcW w:w="800" w:type="dxa"/>
            <w:vAlign w:val="bottom"/>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r>
      <w:tr>
        <w:trPr>
          <w:trHeight w:val="194"/>
        </w:trPr>
        <w:tc>
          <w:tcPr>
            <w:tcW w:w="1520" w:type="dxa"/>
            <w:vAlign w:val="bottom"/>
            <w:tcBorders>
              <w:left w:val="single" w:sz="8" w:color="231F20"/>
            </w:tcBorders>
          </w:tcPr>
          <w:p>
            <w:pPr>
              <w:spacing w:after="0"/>
              <w:rPr>
                <w:sz w:val="16"/>
                <w:szCs w:val="16"/>
                <w:color w:val="auto"/>
              </w:rPr>
            </w:pP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reporting periods, with early adoption</w:t>
            </w:r>
          </w:p>
        </w:tc>
        <w:tc>
          <w:tcPr>
            <w:tcW w:w="800" w:type="dxa"/>
            <w:vAlign w:val="bottom"/>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r>
      <w:tr>
        <w:trPr>
          <w:trHeight w:val="253"/>
        </w:trPr>
        <w:tc>
          <w:tcPr>
            <w:tcW w:w="1520" w:type="dxa"/>
            <w:vAlign w:val="bottom"/>
            <w:tcBorders>
              <w:left w:val="single" w:sz="8" w:color="231F20"/>
            </w:tcBorders>
          </w:tcPr>
          <w:p>
            <w:pPr>
              <w:spacing w:after="0"/>
              <w:rPr>
                <w:sz w:val="21"/>
                <w:szCs w:val="21"/>
                <w:color w:val="auto"/>
              </w:rPr>
            </w:pPr>
          </w:p>
        </w:tc>
        <w:tc>
          <w:tcPr>
            <w:tcW w:w="1080" w:type="dxa"/>
            <w:vAlign w:val="bottom"/>
          </w:tcPr>
          <w:p>
            <w:pPr>
              <w:spacing w:after="0"/>
              <w:rPr>
                <w:sz w:val="21"/>
                <w:szCs w:val="21"/>
                <w:color w:val="auto"/>
              </w:rPr>
            </w:pPr>
          </w:p>
        </w:tc>
        <w:tc>
          <w:tcPr>
            <w:tcW w:w="386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permitted.</w:t>
            </w:r>
          </w:p>
        </w:tc>
        <w:tc>
          <w:tcPr>
            <w:tcW w:w="800" w:type="dxa"/>
            <w:vAlign w:val="bottom"/>
          </w:tcPr>
          <w:p>
            <w:pPr>
              <w:spacing w:after="0"/>
              <w:rPr>
                <w:sz w:val="21"/>
                <w:szCs w:val="21"/>
                <w:color w:val="auto"/>
              </w:rPr>
            </w:pPr>
          </w:p>
        </w:tc>
        <w:tc>
          <w:tcPr>
            <w:tcW w:w="2600" w:type="dxa"/>
            <w:vAlign w:val="bottom"/>
            <w:tcBorders>
              <w:right w:val="single" w:sz="8" w:color="231F20"/>
            </w:tcBorders>
          </w:tcPr>
          <w:p>
            <w:pPr>
              <w:spacing w:after="0"/>
              <w:rPr>
                <w:sz w:val="21"/>
                <w:szCs w:val="21"/>
                <w:color w:val="auto"/>
              </w:rPr>
            </w:pPr>
          </w:p>
        </w:tc>
      </w:tr>
      <w:tr>
        <w:trPr>
          <w:trHeight w:val="168"/>
        </w:trPr>
        <w:tc>
          <w:tcPr>
            <w:tcW w:w="1520" w:type="dxa"/>
            <w:vAlign w:val="bottom"/>
            <w:tcBorders>
              <w:left w:val="single" w:sz="8" w:color="231F20"/>
              <w:bottom w:val="single" w:sz="8" w:color="231F20"/>
            </w:tcBorders>
          </w:tcPr>
          <w:p>
            <w:pPr>
              <w:spacing w:after="0"/>
              <w:rPr>
                <w:sz w:val="14"/>
                <w:szCs w:val="14"/>
                <w:color w:val="auto"/>
              </w:rPr>
            </w:pPr>
          </w:p>
        </w:tc>
        <w:tc>
          <w:tcPr>
            <w:tcW w:w="1080" w:type="dxa"/>
            <w:vAlign w:val="bottom"/>
            <w:tcBorders>
              <w:bottom w:val="single" w:sz="8" w:color="231F20"/>
            </w:tcBorders>
          </w:tcPr>
          <w:p>
            <w:pPr>
              <w:spacing w:after="0"/>
              <w:rPr>
                <w:sz w:val="14"/>
                <w:szCs w:val="14"/>
                <w:color w:val="auto"/>
              </w:rPr>
            </w:pPr>
          </w:p>
        </w:tc>
        <w:tc>
          <w:tcPr>
            <w:tcW w:w="3860" w:type="dxa"/>
            <w:vAlign w:val="bottom"/>
            <w:tcBorders>
              <w:bottom w:val="single" w:sz="8" w:color="231F20"/>
            </w:tcBorders>
          </w:tcPr>
          <w:p>
            <w:pPr>
              <w:spacing w:after="0"/>
              <w:rPr>
                <w:sz w:val="14"/>
                <w:szCs w:val="14"/>
                <w:color w:val="auto"/>
              </w:rPr>
            </w:pPr>
          </w:p>
        </w:tc>
        <w:tc>
          <w:tcPr>
            <w:tcW w:w="800" w:type="dxa"/>
            <w:vAlign w:val="bottom"/>
            <w:tcBorders>
              <w:bottom w:val="single" w:sz="8" w:color="231F20"/>
            </w:tcBorders>
          </w:tcPr>
          <w:p>
            <w:pPr>
              <w:spacing w:after="0"/>
              <w:rPr>
                <w:sz w:val="14"/>
                <w:szCs w:val="14"/>
                <w:color w:val="auto"/>
              </w:rPr>
            </w:pPr>
          </w:p>
        </w:tc>
        <w:tc>
          <w:tcPr>
            <w:tcW w:w="2600" w:type="dxa"/>
            <w:vAlign w:val="bottom"/>
            <w:tcBorders>
              <w:bottom w:val="single" w:sz="8" w:color="231F20"/>
              <w:right w:val="single" w:sz="8" w:color="231F20"/>
            </w:tcBorders>
          </w:tcPr>
          <w:p>
            <w:pPr>
              <w:spacing w:after="0"/>
              <w:rPr>
                <w:sz w:val="14"/>
                <w:szCs w:val="14"/>
                <w:color w:val="auto"/>
              </w:rPr>
            </w:pPr>
          </w:p>
        </w:tc>
      </w:tr>
      <w:tr>
        <w:trPr>
          <w:trHeight w:val="175"/>
        </w:trPr>
        <w:tc>
          <w:tcPr>
            <w:tcW w:w="1520" w:type="dxa"/>
            <w:vAlign w:val="bottom"/>
            <w:tcBorders>
              <w:left w:val="single" w:sz="8" w:color="231F20"/>
            </w:tcBorders>
          </w:tcPr>
          <w:p>
            <w:pPr>
              <w:ind w:left="60"/>
              <w:spacing w:after="0" w:line="175" w:lineRule="exact"/>
              <w:rPr>
                <w:sz w:val="20"/>
                <w:szCs w:val="20"/>
                <w:color w:val="auto"/>
              </w:rPr>
            </w:pPr>
            <w:r>
              <w:rPr>
                <w:rFonts w:ascii="Times New Roman" w:cs="Times New Roman" w:eastAsia="Times New Roman" w:hAnsi="Times New Roman"/>
                <w:sz w:val="19"/>
                <w:szCs w:val="19"/>
                <w:color w:val="231F20"/>
              </w:rPr>
              <w:t>ASU 2025-10</w:t>
            </w:r>
          </w:p>
        </w:tc>
        <w:tc>
          <w:tcPr>
            <w:tcW w:w="1080" w:type="dxa"/>
            <w:vAlign w:val="bottom"/>
          </w:tcPr>
          <w:p>
            <w:pPr>
              <w:jc w:val="center"/>
              <w:spacing w:after="0" w:line="175" w:lineRule="exact"/>
              <w:rPr>
                <w:sz w:val="20"/>
                <w:szCs w:val="20"/>
                <w:color w:val="auto"/>
              </w:rPr>
            </w:pPr>
            <w:r>
              <w:rPr>
                <w:rFonts w:ascii="Times New Roman" w:cs="Times New Roman" w:eastAsia="Times New Roman" w:hAnsi="Times New Roman"/>
                <w:sz w:val="19"/>
                <w:szCs w:val="19"/>
                <w:color w:val="231F20"/>
              </w:rPr>
              <w:t>December</w:t>
            </w:r>
          </w:p>
        </w:tc>
        <w:tc>
          <w:tcPr>
            <w:tcW w:w="3860" w:type="dxa"/>
            <w:vAlign w:val="bottom"/>
          </w:tcPr>
          <w:p>
            <w:pPr>
              <w:ind w:left="100"/>
              <w:spacing w:after="0" w:line="175" w:lineRule="exact"/>
              <w:rPr>
                <w:sz w:val="20"/>
                <w:szCs w:val="20"/>
                <w:color w:val="auto"/>
              </w:rPr>
            </w:pPr>
            <w:r>
              <w:rPr>
                <w:rFonts w:ascii="Times New Roman" w:cs="Times New Roman" w:eastAsia="Times New Roman" w:hAnsi="Times New Roman"/>
                <w:sz w:val="19"/>
                <w:szCs w:val="19"/>
                <w:color w:val="231F20"/>
              </w:rPr>
              <w:t>The standard provides authoritative guidance</w:t>
            </w:r>
          </w:p>
        </w:tc>
        <w:tc>
          <w:tcPr>
            <w:tcW w:w="800" w:type="dxa"/>
            <w:vAlign w:val="bottom"/>
          </w:tcPr>
          <w:p>
            <w:pPr>
              <w:ind w:left="320"/>
              <w:spacing w:after="0" w:line="175" w:lineRule="exact"/>
              <w:rPr>
                <w:sz w:val="20"/>
                <w:szCs w:val="20"/>
                <w:color w:val="auto"/>
              </w:rPr>
            </w:pPr>
            <w:r>
              <w:rPr>
                <w:rFonts w:ascii="Times New Roman" w:cs="Times New Roman" w:eastAsia="Times New Roman" w:hAnsi="Times New Roman"/>
                <w:sz w:val="19"/>
                <w:szCs w:val="19"/>
                <w:color w:val="231F20"/>
              </w:rPr>
              <w:t>NA</w:t>
            </w:r>
          </w:p>
        </w:tc>
        <w:tc>
          <w:tcPr>
            <w:tcW w:w="2600" w:type="dxa"/>
            <w:vAlign w:val="bottom"/>
            <w:tcBorders>
              <w:right w:val="single" w:sz="8" w:color="231F20"/>
            </w:tcBorders>
          </w:tcPr>
          <w:p>
            <w:pPr>
              <w:ind w:left="200"/>
              <w:spacing w:after="0" w:line="175" w:lineRule="exact"/>
              <w:rPr>
                <w:sz w:val="20"/>
                <w:szCs w:val="20"/>
                <w:color w:val="auto"/>
              </w:rPr>
            </w:pPr>
            <w:r>
              <w:rPr>
                <w:rFonts w:ascii="Times New Roman" w:cs="Times New Roman" w:eastAsia="Times New Roman" w:hAnsi="Times New Roman"/>
                <w:sz w:val="19"/>
                <w:szCs w:val="19"/>
                <w:color w:val="231F20"/>
              </w:rPr>
              <w:t>We are in the process of</w:t>
            </w:r>
          </w:p>
        </w:tc>
      </w:tr>
      <w:tr>
        <w:trPr>
          <w:trHeight w:val="194"/>
        </w:trPr>
        <w:tc>
          <w:tcPr>
            <w:tcW w:w="1520" w:type="dxa"/>
            <w:vAlign w:val="bottom"/>
            <w:tcBorders>
              <w:left w:val="single" w:sz="8" w:color="231F20"/>
            </w:tcBorders>
          </w:tcPr>
          <w:p>
            <w:pPr>
              <w:ind w:left="60"/>
              <w:spacing w:after="0" w:line="194" w:lineRule="exact"/>
              <w:rPr>
                <w:sz w:val="20"/>
                <w:szCs w:val="20"/>
                <w:color w:val="auto"/>
              </w:rPr>
            </w:pPr>
            <w:r>
              <w:rPr>
                <w:rFonts w:ascii="Times New Roman" w:cs="Times New Roman" w:eastAsia="Times New Roman" w:hAnsi="Times New Roman"/>
                <w:sz w:val="19"/>
                <w:szCs w:val="19"/>
                <w:color w:val="231F20"/>
              </w:rPr>
              <w:t>"Government</w:t>
            </w:r>
          </w:p>
        </w:tc>
        <w:tc>
          <w:tcPr>
            <w:tcW w:w="1080" w:type="dxa"/>
            <w:vAlign w:val="bottom"/>
          </w:tcPr>
          <w:p>
            <w:pPr>
              <w:jc w:val="center"/>
              <w:spacing w:after="0" w:line="194" w:lineRule="exact"/>
              <w:rPr>
                <w:sz w:val="20"/>
                <w:szCs w:val="20"/>
                <w:color w:val="auto"/>
              </w:rPr>
            </w:pPr>
            <w:r>
              <w:rPr>
                <w:rFonts w:ascii="Times New Roman" w:cs="Times New Roman" w:eastAsia="Times New Roman" w:hAnsi="Times New Roman"/>
                <w:sz w:val="19"/>
                <w:szCs w:val="19"/>
                <w:color w:val="231F20"/>
              </w:rPr>
              <w:t>2025</w:t>
            </w: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on the recognition, measurement, presentation,</w:t>
            </w:r>
          </w:p>
        </w:tc>
        <w:tc>
          <w:tcPr>
            <w:tcW w:w="800" w:type="dxa"/>
            <w:vAlign w:val="bottom"/>
          </w:tcPr>
          <w:p>
            <w:pPr>
              <w:spacing w:after="0"/>
              <w:rPr>
                <w:sz w:val="16"/>
                <w:szCs w:val="16"/>
                <w:color w:val="auto"/>
              </w:rPr>
            </w:pPr>
          </w:p>
        </w:tc>
        <w:tc>
          <w:tcPr>
            <w:tcW w:w="2600" w:type="dxa"/>
            <w:vAlign w:val="bottom"/>
            <w:tcBorders>
              <w:right w:val="single" w:sz="8" w:color="231F20"/>
            </w:tcBorders>
          </w:tcPr>
          <w:p>
            <w:pPr>
              <w:ind w:left="200"/>
              <w:spacing w:after="0" w:line="194" w:lineRule="exact"/>
              <w:rPr>
                <w:sz w:val="20"/>
                <w:szCs w:val="20"/>
                <w:color w:val="auto"/>
              </w:rPr>
            </w:pPr>
            <w:r>
              <w:rPr>
                <w:rFonts w:ascii="Times New Roman" w:cs="Times New Roman" w:eastAsia="Times New Roman" w:hAnsi="Times New Roman"/>
                <w:sz w:val="19"/>
                <w:szCs w:val="19"/>
                <w:color w:val="231F20"/>
              </w:rPr>
              <w:t>evaluating the impact that the</w:t>
            </w:r>
          </w:p>
        </w:tc>
      </w:tr>
      <w:tr>
        <w:trPr>
          <w:trHeight w:val="194"/>
        </w:trPr>
        <w:tc>
          <w:tcPr>
            <w:tcW w:w="1520" w:type="dxa"/>
            <w:vAlign w:val="bottom"/>
            <w:tcBorders>
              <w:left w:val="single" w:sz="8" w:color="231F20"/>
            </w:tcBorders>
          </w:tcPr>
          <w:p>
            <w:pPr>
              <w:ind w:left="60"/>
              <w:spacing w:after="0" w:line="194" w:lineRule="exact"/>
              <w:rPr>
                <w:sz w:val="20"/>
                <w:szCs w:val="20"/>
                <w:color w:val="auto"/>
              </w:rPr>
            </w:pPr>
            <w:r>
              <w:rPr>
                <w:rFonts w:ascii="Times New Roman" w:cs="Times New Roman" w:eastAsia="Times New Roman" w:hAnsi="Times New Roman"/>
                <w:sz w:val="19"/>
                <w:szCs w:val="19"/>
                <w:color w:val="231F20"/>
              </w:rPr>
              <w:t>Grants (Topic</w:t>
            </w: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and disclosure of government grants received</w:t>
            </w:r>
          </w:p>
        </w:tc>
        <w:tc>
          <w:tcPr>
            <w:tcW w:w="800" w:type="dxa"/>
            <w:vAlign w:val="bottom"/>
          </w:tcPr>
          <w:p>
            <w:pPr>
              <w:spacing w:after="0"/>
              <w:rPr>
                <w:sz w:val="16"/>
                <w:szCs w:val="16"/>
                <w:color w:val="auto"/>
              </w:rPr>
            </w:pPr>
          </w:p>
        </w:tc>
        <w:tc>
          <w:tcPr>
            <w:tcW w:w="2600" w:type="dxa"/>
            <w:vAlign w:val="bottom"/>
            <w:tcBorders>
              <w:right w:val="single" w:sz="8" w:color="231F20"/>
            </w:tcBorders>
          </w:tcPr>
          <w:p>
            <w:pPr>
              <w:ind w:left="200"/>
              <w:spacing w:after="0" w:line="194" w:lineRule="exact"/>
              <w:rPr>
                <w:sz w:val="20"/>
                <w:szCs w:val="20"/>
                <w:color w:val="auto"/>
              </w:rPr>
            </w:pPr>
            <w:r>
              <w:rPr>
                <w:rFonts w:ascii="Times New Roman" w:cs="Times New Roman" w:eastAsia="Times New Roman" w:hAnsi="Times New Roman"/>
                <w:sz w:val="19"/>
                <w:szCs w:val="19"/>
                <w:color w:val="231F20"/>
              </w:rPr>
              <w:t>standard update will have on</w:t>
            </w:r>
          </w:p>
        </w:tc>
      </w:tr>
      <w:tr>
        <w:trPr>
          <w:trHeight w:val="194"/>
        </w:trPr>
        <w:tc>
          <w:tcPr>
            <w:tcW w:w="1520" w:type="dxa"/>
            <w:vAlign w:val="bottom"/>
            <w:tcBorders>
              <w:left w:val="single" w:sz="8" w:color="231F20"/>
            </w:tcBorders>
          </w:tcPr>
          <w:p>
            <w:pPr>
              <w:ind w:left="60"/>
              <w:spacing w:after="0" w:line="194" w:lineRule="exact"/>
              <w:rPr>
                <w:sz w:val="20"/>
                <w:szCs w:val="20"/>
                <w:color w:val="auto"/>
              </w:rPr>
            </w:pPr>
            <w:r>
              <w:rPr>
                <w:rFonts w:ascii="Times New Roman" w:cs="Times New Roman" w:eastAsia="Times New Roman" w:hAnsi="Times New Roman"/>
                <w:sz w:val="19"/>
                <w:szCs w:val="19"/>
                <w:color w:val="231F20"/>
              </w:rPr>
              <w:t>832)</w:t>
            </w: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by business entities. The standard defines a</w:t>
            </w:r>
          </w:p>
        </w:tc>
        <w:tc>
          <w:tcPr>
            <w:tcW w:w="800" w:type="dxa"/>
            <w:vAlign w:val="bottom"/>
          </w:tcPr>
          <w:p>
            <w:pPr>
              <w:spacing w:after="0"/>
              <w:rPr>
                <w:sz w:val="16"/>
                <w:szCs w:val="16"/>
                <w:color w:val="auto"/>
              </w:rPr>
            </w:pPr>
          </w:p>
        </w:tc>
        <w:tc>
          <w:tcPr>
            <w:tcW w:w="2600" w:type="dxa"/>
            <w:vAlign w:val="bottom"/>
            <w:tcBorders>
              <w:right w:val="single" w:sz="8" w:color="231F20"/>
            </w:tcBorders>
          </w:tcPr>
          <w:p>
            <w:pPr>
              <w:ind w:left="200"/>
              <w:spacing w:after="0" w:line="194" w:lineRule="exact"/>
              <w:rPr>
                <w:sz w:val="20"/>
                <w:szCs w:val="20"/>
                <w:color w:val="auto"/>
              </w:rPr>
            </w:pPr>
            <w:r>
              <w:rPr>
                <w:rFonts w:ascii="Times New Roman" w:cs="Times New Roman" w:eastAsia="Times New Roman" w:hAnsi="Times New Roman"/>
                <w:sz w:val="19"/>
                <w:szCs w:val="19"/>
                <w:color w:val="231F20"/>
              </w:rPr>
              <w:t>our consolidated financial</w:t>
            </w:r>
          </w:p>
        </w:tc>
      </w:tr>
      <w:tr>
        <w:trPr>
          <w:trHeight w:val="194"/>
        </w:trPr>
        <w:tc>
          <w:tcPr>
            <w:tcW w:w="1520" w:type="dxa"/>
            <w:vAlign w:val="bottom"/>
            <w:tcBorders>
              <w:left w:val="single" w:sz="8" w:color="231F20"/>
            </w:tcBorders>
          </w:tcPr>
          <w:p>
            <w:pPr>
              <w:ind w:left="60"/>
              <w:spacing w:after="0" w:line="194" w:lineRule="exact"/>
              <w:rPr>
                <w:sz w:val="20"/>
                <w:szCs w:val="20"/>
                <w:color w:val="auto"/>
              </w:rPr>
            </w:pPr>
            <w:r>
              <w:rPr>
                <w:rFonts w:ascii="Times New Roman" w:cs="Times New Roman" w:eastAsia="Times New Roman" w:hAnsi="Times New Roman"/>
                <w:sz w:val="19"/>
                <w:szCs w:val="19"/>
                <w:color w:val="231F20"/>
              </w:rPr>
              <w:t>Accounting for</w:t>
            </w: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government grant as a transfer of a monetary</w:t>
            </w:r>
          </w:p>
        </w:tc>
        <w:tc>
          <w:tcPr>
            <w:tcW w:w="800" w:type="dxa"/>
            <w:vAlign w:val="bottom"/>
          </w:tcPr>
          <w:p>
            <w:pPr>
              <w:spacing w:after="0"/>
              <w:rPr>
                <w:sz w:val="16"/>
                <w:szCs w:val="16"/>
                <w:color w:val="auto"/>
              </w:rPr>
            </w:pPr>
          </w:p>
        </w:tc>
        <w:tc>
          <w:tcPr>
            <w:tcW w:w="2600" w:type="dxa"/>
            <w:vAlign w:val="bottom"/>
            <w:tcBorders>
              <w:right w:val="single" w:sz="8" w:color="231F20"/>
            </w:tcBorders>
          </w:tcPr>
          <w:p>
            <w:pPr>
              <w:ind w:left="200"/>
              <w:spacing w:after="0" w:line="194" w:lineRule="exact"/>
              <w:rPr>
                <w:sz w:val="20"/>
                <w:szCs w:val="20"/>
                <w:color w:val="auto"/>
              </w:rPr>
            </w:pPr>
            <w:r>
              <w:rPr>
                <w:rFonts w:ascii="Times New Roman" w:cs="Times New Roman" w:eastAsia="Times New Roman" w:hAnsi="Times New Roman"/>
                <w:sz w:val="19"/>
                <w:szCs w:val="19"/>
                <w:color w:val="231F20"/>
              </w:rPr>
              <w:t>statements.</w:t>
            </w:r>
          </w:p>
        </w:tc>
      </w:tr>
      <w:tr>
        <w:trPr>
          <w:trHeight w:val="194"/>
        </w:trPr>
        <w:tc>
          <w:tcPr>
            <w:tcW w:w="1520" w:type="dxa"/>
            <w:vAlign w:val="bottom"/>
            <w:tcBorders>
              <w:left w:val="single" w:sz="8" w:color="231F20"/>
            </w:tcBorders>
          </w:tcPr>
          <w:p>
            <w:pPr>
              <w:ind w:left="60"/>
              <w:spacing w:after="0" w:line="194" w:lineRule="exact"/>
              <w:rPr>
                <w:sz w:val="20"/>
                <w:szCs w:val="20"/>
                <w:color w:val="auto"/>
              </w:rPr>
            </w:pPr>
            <w:r>
              <w:rPr>
                <w:rFonts w:ascii="Times New Roman" w:cs="Times New Roman" w:eastAsia="Times New Roman" w:hAnsi="Times New Roman"/>
                <w:sz w:val="19"/>
                <w:szCs w:val="19"/>
                <w:color w:val="231F20"/>
              </w:rPr>
              <w:t>Government</w:t>
            </w: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or tangible nonmonetary asset from a</w:t>
            </w:r>
          </w:p>
        </w:tc>
        <w:tc>
          <w:tcPr>
            <w:tcW w:w="800" w:type="dxa"/>
            <w:vAlign w:val="bottom"/>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r>
      <w:tr>
        <w:trPr>
          <w:trHeight w:val="194"/>
        </w:trPr>
        <w:tc>
          <w:tcPr>
            <w:tcW w:w="1520" w:type="dxa"/>
            <w:vAlign w:val="bottom"/>
            <w:tcBorders>
              <w:left w:val="single" w:sz="8" w:color="231F20"/>
            </w:tcBorders>
          </w:tcPr>
          <w:p>
            <w:pPr>
              <w:ind w:left="60"/>
              <w:spacing w:after="0" w:line="194" w:lineRule="exact"/>
              <w:rPr>
                <w:sz w:val="20"/>
                <w:szCs w:val="20"/>
                <w:color w:val="auto"/>
              </w:rPr>
            </w:pPr>
            <w:r>
              <w:rPr>
                <w:rFonts w:ascii="Times New Roman" w:cs="Times New Roman" w:eastAsia="Times New Roman" w:hAnsi="Times New Roman"/>
                <w:sz w:val="19"/>
                <w:szCs w:val="19"/>
                <w:color w:val="231F20"/>
              </w:rPr>
              <w:t>Grants Received</w:t>
            </w: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government to a business entity in a</w:t>
            </w:r>
          </w:p>
        </w:tc>
        <w:tc>
          <w:tcPr>
            <w:tcW w:w="800" w:type="dxa"/>
            <w:vAlign w:val="bottom"/>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r>
      <w:tr>
        <w:trPr>
          <w:trHeight w:val="194"/>
        </w:trPr>
        <w:tc>
          <w:tcPr>
            <w:tcW w:w="1520" w:type="dxa"/>
            <w:vAlign w:val="bottom"/>
            <w:tcBorders>
              <w:left w:val="single" w:sz="8" w:color="231F20"/>
            </w:tcBorders>
          </w:tcPr>
          <w:p>
            <w:pPr>
              <w:ind w:left="60"/>
              <w:spacing w:after="0" w:line="194" w:lineRule="exact"/>
              <w:rPr>
                <w:sz w:val="20"/>
                <w:szCs w:val="20"/>
                <w:color w:val="auto"/>
              </w:rPr>
            </w:pPr>
            <w:r>
              <w:rPr>
                <w:rFonts w:ascii="Times New Roman" w:cs="Times New Roman" w:eastAsia="Times New Roman" w:hAnsi="Times New Roman"/>
                <w:sz w:val="19"/>
                <w:szCs w:val="19"/>
                <w:color w:val="231F20"/>
              </w:rPr>
              <w:t>by Business</w:t>
            </w: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nonexchange transaction and requires a grant</w:t>
            </w:r>
          </w:p>
        </w:tc>
        <w:tc>
          <w:tcPr>
            <w:tcW w:w="800" w:type="dxa"/>
            <w:vAlign w:val="bottom"/>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r>
      <w:tr>
        <w:trPr>
          <w:trHeight w:val="194"/>
        </w:trPr>
        <w:tc>
          <w:tcPr>
            <w:tcW w:w="1520" w:type="dxa"/>
            <w:vAlign w:val="bottom"/>
            <w:tcBorders>
              <w:left w:val="single" w:sz="8" w:color="231F20"/>
            </w:tcBorders>
          </w:tcPr>
          <w:p>
            <w:pPr>
              <w:ind w:left="60"/>
              <w:spacing w:after="0" w:line="194" w:lineRule="exact"/>
              <w:rPr>
                <w:sz w:val="20"/>
                <w:szCs w:val="20"/>
                <w:color w:val="auto"/>
              </w:rPr>
            </w:pPr>
            <w:r>
              <w:rPr>
                <w:rFonts w:ascii="Times New Roman" w:cs="Times New Roman" w:eastAsia="Times New Roman" w:hAnsi="Times New Roman"/>
                <w:sz w:val="19"/>
                <w:szCs w:val="19"/>
                <w:color w:val="231F20"/>
              </w:rPr>
              <w:t>Entities"</w:t>
            </w: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to be recognized only when it is probable that</w:t>
            </w:r>
          </w:p>
        </w:tc>
        <w:tc>
          <w:tcPr>
            <w:tcW w:w="800" w:type="dxa"/>
            <w:vAlign w:val="bottom"/>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r>
      <w:tr>
        <w:trPr>
          <w:trHeight w:val="194"/>
        </w:trPr>
        <w:tc>
          <w:tcPr>
            <w:tcW w:w="1520" w:type="dxa"/>
            <w:vAlign w:val="bottom"/>
            <w:tcBorders>
              <w:left w:val="single" w:sz="8" w:color="231F20"/>
            </w:tcBorders>
          </w:tcPr>
          <w:p>
            <w:pPr>
              <w:spacing w:after="0"/>
              <w:rPr>
                <w:sz w:val="16"/>
                <w:szCs w:val="16"/>
                <w:color w:val="auto"/>
              </w:rPr>
            </w:pP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the entity will comply with the grant’s</w:t>
            </w:r>
          </w:p>
        </w:tc>
        <w:tc>
          <w:tcPr>
            <w:tcW w:w="800" w:type="dxa"/>
            <w:vAlign w:val="bottom"/>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r>
      <w:tr>
        <w:trPr>
          <w:trHeight w:val="194"/>
        </w:trPr>
        <w:tc>
          <w:tcPr>
            <w:tcW w:w="1520" w:type="dxa"/>
            <w:vAlign w:val="bottom"/>
            <w:tcBorders>
              <w:left w:val="single" w:sz="8" w:color="231F20"/>
            </w:tcBorders>
          </w:tcPr>
          <w:p>
            <w:pPr>
              <w:spacing w:after="0"/>
              <w:rPr>
                <w:sz w:val="16"/>
                <w:szCs w:val="16"/>
                <w:color w:val="auto"/>
              </w:rPr>
            </w:pP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conditions and that the grant will be received.</w:t>
            </w:r>
          </w:p>
        </w:tc>
        <w:tc>
          <w:tcPr>
            <w:tcW w:w="800" w:type="dxa"/>
            <w:vAlign w:val="bottom"/>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r>
      <w:tr>
        <w:trPr>
          <w:trHeight w:val="194"/>
        </w:trPr>
        <w:tc>
          <w:tcPr>
            <w:tcW w:w="1520" w:type="dxa"/>
            <w:vAlign w:val="bottom"/>
            <w:tcBorders>
              <w:left w:val="single" w:sz="8" w:color="231F20"/>
            </w:tcBorders>
          </w:tcPr>
          <w:p>
            <w:pPr>
              <w:spacing w:after="0"/>
              <w:rPr>
                <w:sz w:val="16"/>
                <w:szCs w:val="16"/>
                <w:color w:val="auto"/>
              </w:rPr>
            </w:pP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The amendments introduce an accounting</w:t>
            </w:r>
          </w:p>
        </w:tc>
        <w:tc>
          <w:tcPr>
            <w:tcW w:w="800" w:type="dxa"/>
            <w:vAlign w:val="bottom"/>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r>
      <w:tr>
        <w:trPr>
          <w:trHeight w:val="194"/>
        </w:trPr>
        <w:tc>
          <w:tcPr>
            <w:tcW w:w="1520" w:type="dxa"/>
            <w:vAlign w:val="bottom"/>
            <w:tcBorders>
              <w:left w:val="single" w:sz="8" w:color="231F20"/>
            </w:tcBorders>
          </w:tcPr>
          <w:p>
            <w:pPr>
              <w:spacing w:after="0"/>
              <w:rPr>
                <w:sz w:val="16"/>
                <w:szCs w:val="16"/>
                <w:color w:val="auto"/>
              </w:rPr>
            </w:pP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model largely based on International</w:t>
            </w:r>
          </w:p>
        </w:tc>
        <w:tc>
          <w:tcPr>
            <w:tcW w:w="800" w:type="dxa"/>
            <w:vAlign w:val="bottom"/>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r>
      <w:tr>
        <w:trPr>
          <w:trHeight w:val="194"/>
        </w:trPr>
        <w:tc>
          <w:tcPr>
            <w:tcW w:w="1520" w:type="dxa"/>
            <w:vAlign w:val="bottom"/>
            <w:tcBorders>
              <w:left w:val="single" w:sz="8" w:color="231F20"/>
            </w:tcBorders>
          </w:tcPr>
          <w:p>
            <w:pPr>
              <w:spacing w:after="0"/>
              <w:rPr>
                <w:sz w:val="16"/>
                <w:szCs w:val="16"/>
                <w:color w:val="auto"/>
              </w:rPr>
            </w:pP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Accounting Standard (IAS) 20, under which</w:t>
            </w:r>
          </w:p>
        </w:tc>
        <w:tc>
          <w:tcPr>
            <w:tcW w:w="800" w:type="dxa"/>
            <w:vAlign w:val="bottom"/>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r>
      <w:tr>
        <w:trPr>
          <w:trHeight w:val="194"/>
        </w:trPr>
        <w:tc>
          <w:tcPr>
            <w:tcW w:w="1520" w:type="dxa"/>
            <w:vAlign w:val="bottom"/>
            <w:tcBorders>
              <w:left w:val="single" w:sz="8" w:color="231F20"/>
            </w:tcBorders>
          </w:tcPr>
          <w:p>
            <w:pPr>
              <w:spacing w:after="0"/>
              <w:rPr>
                <w:sz w:val="16"/>
                <w:szCs w:val="16"/>
                <w:color w:val="auto"/>
              </w:rPr>
            </w:pP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grants related to assets or income are</w:t>
            </w:r>
          </w:p>
        </w:tc>
        <w:tc>
          <w:tcPr>
            <w:tcW w:w="800" w:type="dxa"/>
            <w:vAlign w:val="bottom"/>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r>
      <w:tr>
        <w:trPr>
          <w:trHeight w:val="194"/>
        </w:trPr>
        <w:tc>
          <w:tcPr>
            <w:tcW w:w="1520" w:type="dxa"/>
            <w:vAlign w:val="bottom"/>
            <w:tcBorders>
              <w:left w:val="single" w:sz="8" w:color="231F20"/>
            </w:tcBorders>
          </w:tcPr>
          <w:p>
            <w:pPr>
              <w:spacing w:after="0"/>
              <w:rPr>
                <w:sz w:val="16"/>
                <w:szCs w:val="16"/>
                <w:color w:val="auto"/>
              </w:rPr>
            </w:pP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recognized over the periods in which the</w:t>
            </w:r>
          </w:p>
        </w:tc>
        <w:tc>
          <w:tcPr>
            <w:tcW w:w="800" w:type="dxa"/>
            <w:vAlign w:val="bottom"/>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r>
      <w:tr>
        <w:trPr>
          <w:trHeight w:val="194"/>
        </w:trPr>
        <w:tc>
          <w:tcPr>
            <w:tcW w:w="1520" w:type="dxa"/>
            <w:vAlign w:val="bottom"/>
            <w:tcBorders>
              <w:left w:val="single" w:sz="8" w:color="231F20"/>
            </w:tcBorders>
          </w:tcPr>
          <w:p>
            <w:pPr>
              <w:spacing w:after="0"/>
              <w:rPr>
                <w:sz w:val="16"/>
                <w:szCs w:val="16"/>
                <w:color w:val="auto"/>
              </w:rPr>
            </w:pP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related costs or expenses are incurred. The</w:t>
            </w:r>
          </w:p>
        </w:tc>
        <w:tc>
          <w:tcPr>
            <w:tcW w:w="800" w:type="dxa"/>
            <w:vAlign w:val="bottom"/>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r>
      <w:tr>
        <w:trPr>
          <w:trHeight w:val="194"/>
        </w:trPr>
        <w:tc>
          <w:tcPr>
            <w:tcW w:w="1520" w:type="dxa"/>
            <w:vAlign w:val="bottom"/>
            <w:tcBorders>
              <w:left w:val="single" w:sz="8" w:color="231F20"/>
            </w:tcBorders>
          </w:tcPr>
          <w:p>
            <w:pPr>
              <w:spacing w:after="0"/>
              <w:rPr>
                <w:sz w:val="16"/>
                <w:szCs w:val="16"/>
                <w:color w:val="auto"/>
              </w:rPr>
            </w:pP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standard also amends Topic 832, which</w:t>
            </w:r>
          </w:p>
        </w:tc>
        <w:tc>
          <w:tcPr>
            <w:tcW w:w="800" w:type="dxa"/>
            <w:vAlign w:val="bottom"/>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r>
      <w:tr>
        <w:trPr>
          <w:trHeight w:val="194"/>
        </w:trPr>
        <w:tc>
          <w:tcPr>
            <w:tcW w:w="1520" w:type="dxa"/>
            <w:vAlign w:val="bottom"/>
            <w:tcBorders>
              <w:left w:val="single" w:sz="8" w:color="231F20"/>
            </w:tcBorders>
          </w:tcPr>
          <w:p>
            <w:pPr>
              <w:spacing w:after="0"/>
              <w:rPr>
                <w:sz w:val="16"/>
                <w:szCs w:val="16"/>
                <w:color w:val="auto"/>
              </w:rPr>
            </w:pP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previously included only disclosure</w:t>
            </w:r>
          </w:p>
        </w:tc>
        <w:tc>
          <w:tcPr>
            <w:tcW w:w="800" w:type="dxa"/>
            <w:vAlign w:val="bottom"/>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r>
      <w:tr>
        <w:trPr>
          <w:trHeight w:val="194"/>
        </w:trPr>
        <w:tc>
          <w:tcPr>
            <w:tcW w:w="1520" w:type="dxa"/>
            <w:vAlign w:val="bottom"/>
            <w:tcBorders>
              <w:left w:val="single" w:sz="8" w:color="231F20"/>
            </w:tcBorders>
          </w:tcPr>
          <w:p>
            <w:pPr>
              <w:spacing w:after="0"/>
              <w:rPr>
                <w:sz w:val="16"/>
                <w:szCs w:val="16"/>
                <w:color w:val="auto"/>
              </w:rPr>
            </w:pP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requirements, and provides guidance on</w:t>
            </w:r>
          </w:p>
        </w:tc>
        <w:tc>
          <w:tcPr>
            <w:tcW w:w="800" w:type="dxa"/>
            <w:vAlign w:val="bottom"/>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r>
      <w:tr>
        <w:trPr>
          <w:trHeight w:val="194"/>
        </w:trPr>
        <w:tc>
          <w:tcPr>
            <w:tcW w:w="1520" w:type="dxa"/>
            <w:vAlign w:val="bottom"/>
            <w:tcBorders>
              <w:left w:val="single" w:sz="8" w:color="231F20"/>
            </w:tcBorders>
          </w:tcPr>
          <w:p>
            <w:pPr>
              <w:spacing w:after="0"/>
              <w:rPr>
                <w:sz w:val="16"/>
                <w:szCs w:val="16"/>
                <w:color w:val="auto"/>
              </w:rPr>
            </w:pP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presentation and repayment of grants. The</w:t>
            </w:r>
          </w:p>
        </w:tc>
        <w:tc>
          <w:tcPr>
            <w:tcW w:w="800" w:type="dxa"/>
            <w:vAlign w:val="bottom"/>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r>
      <w:tr>
        <w:trPr>
          <w:trHeight w:val="194"/>
        </w:trPr>
        <w:tc>
          <w:tcPr>
            <w:tcW w:w="1520" w:type="dxa"/>
            <w:vAlign w:val="bottom"/>
            <w:tcBorders>
              <w:left w:val="single" w:sz="8" w:color="231F20"/>
            </w:tcBorders>
          </w:tcPr>
          <w:p>
            <w:pPr>
              <w:spacing w:after="0"/>
              <w:rPr>
                <w:sz w:val="16"/>
                <w:szCs w:val="16"/>
                <w:color w:val="auto"/>
              </w:rPr>
            </w:pP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guidance excludes certain transactions such as</w:t>
            </w:r>
          </w:p>
        </w:tc>
        <w:tc>
          <w:tcPr>
            <w:tcW w:w="800" w:type="dxa"/>
            <w:vAlign w:val="bottom"/>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r>
      <w:tr>
        <w:trPr>
          <w:trHeight w:val="194"/>
        </w:trPr>
        <w:tc>
          <w:tcPr>
            <w:tcW w:w="1520" w:type="dxa"/>
            <w:vAlign w:val="bottom"/>
            <w:tcBorders>
              <w:left w:val="single" w:sz="8" w:color="231F20"/>
            </w:tcBorders>
          </w:tcPr>
          <w:p>
            <w:pPr>
              <w:spacing w:after="0"/>
              <w:rPr>
                <w:sz w:val="16"/>
                <w:szCs w:val="16"/>
                <w:color w:val="auto"/>
              </w:rPr>
            </w:pP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income tax items, below-market interest rate</w:t>
            </w:r>
          </w:p>
        </w:tc>
        <w:tc>
          <w:tcPr>
            <w:tcW w:w="800" w:type="dxa"/>
            <w:vAlign w:val="bottom"/>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r>
      <w:tr>
        <w:trPr>
          <w:trHeight w:val="194"/>
        </w:trPr>
        <w:tc>
          <w:tcPr>
            <w:tcW w:w="1520" w:type="dxa"/>
            <w:vAlign w:val="bottom"/>
            <w:tcBorders>
              <w:left w:val="single" w:sz="8" w:color="231F20"/>
            </w:tcBorders>
          </w:tcPr>
          <w:p>
            <w:pPr>
              <w:spacing w:after="0"/>
              <w:rPr>
                <w:sz w:val="16"/>
                <w:szCs w:val="16"/>
                <w:color w:val="auto"/>
              </w:rPr>
            </w:pP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loans, and government guarantees from its</w:t>
            </w:r>
          </w:p>
        </w:tc>
        <w:tc>
          <w:tcPr>
            <w:tcW w:w="800" w:type="dxa"/>
            <w:vAlign w:val="bottom"/>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r>
      <w:tr>
        <w:trPr>
          <w:trHeight w:val="194"/>
        </w:trPr>
        <w:tc>
          <w:tcPr>
            <w:tcW w:w="1520" w:type="dxa"/>
            <w:vAlign w:val="bottom"/>
            <w:tcBorders>
              <w:left w:val="single" w:sz="8" w:color="231F20"/>
            </w:tcBorders>
          </w:tcPr>
          <w:p>
            <w:pPr>
              <w:spacing w:after="0"/>
              <w:rPr>
                <w:sz w:val="16"/>
                <w:szCs w:val="16"/>
                <w:color w:val="auto"/>
              </w:rPr>
            </w:pP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scope. The amendments are effective for</w:t>
            </w:r>
          </w:p>
        </w:tc>
        <w:tc>
          <w:tcPr>
            <w:tcW w:w="800" w:type="dxa"/>
            <w:vAlign w:val="bottom"/>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r>
      <w:tr>
        <w:trPr>
          <w:trHeight w:val="194"/>
        </w:trPr>
        <w:tc>
          <w:tcPr>
            <w:tcW w:w="1520" w:type="dxa"/>
            <w:vAlign w:val="bottom"/>
            <w:tcBorders>
              <w:left w:val="single" w:sz="8" w:color="231F20"/>
            </w:tcBorders>
          </w:tcPr>
          <w:p>
            <w:pPr>
              <w:spacing w:after="0"/>
              <w:rPr>
                <w:sz w:val="16"/>
                <w:szCs w:val="16"/>
                <w:color w:val="auto"/>
              </w:rPr>
            </w:pP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annual periods beginning after December 15,</w:t>
            </w:r>
          </w:p>
        </w:tc>
        <w:tc>
          <w:tcPr>
            <w:tcW w:w="800" w:type="dxa"/>
            <w:vAlign w:val="bottom"/>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r>
      <w:tr>
        <w:trPr>
          <w:trHeight w:val="194"/>
        </w:trPr>
        <w:tc>
          <w:tcPr>
            <w:tcW w:w="1520" w:type="dxa"/>
            <w:vAlign w:val="bottom"/>
            <w:tcBorders>
              <w:left w:val="single" w:sz="8" w:color="231F20"/>
            </w:tcBorders>
          </w:tcPr>
          <w:p>
            <w:pPr>
              <w:spacing w:after="0"/>
              <w:rPr>
                <w:sz w:val="16"/>
                <w:szCs w:val="16"/>
                <w:color w:val="auto"/>
              </w:rPr>
            </w:pP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2028 (including interim periods within those</w:t>
            </w:r>
          </w:p>
        </w:tc>
        <w:tc>
          <w:tcPr>
            <w:tcW w:w="800" w:type="dxa"/>
            <w:vAlign w:val="bottom"/>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r>
      <w:tr>
        <w:trPr>
          <w:trHeight w:val="194"/>
        </w:trPr>
        <w:tc>
          <w:tcPr>
            <w:tcW w:w="1520" w:type="dxa"/>
            <w:vAlign w:val="bottom"/>
            <w:tcBorders>
              <w:left w:val="single" w:sz="8" w:color="231F20"/>
            </w:tcBorders>
          </w:tcPr>
          <w:p>
            <w:pPr>
              <w:spacing w:after="0"/>
              <w:rPr>
                <w:sz w:val="16"/>
                <w:szCs w:val="16"/>
                <w:color w:val="auto"/>
              </w:rPr>
            </w:pP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annual periods) for public business entities and</w:t>
            </w:r>
          </w:p>
        </w:tc>
        <w:tc>
          <w:tcPr>
            <w:tcW w:w="800" w:type="dxa"/>
            <w:vAlign w:val="bottom"/>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r>
      <w:tr>
        <w:trPr>
          <w:trHeight w:val="194"/>
        </w:trPr>
        <w:tc>
          <w:tcPr>
            <w:tcW w:w="1520" w:type="dxa"/>
            <w:vAlign w:val="bottom"/>
            <w:tcBorders>
              <w:left w:val="single" w:sz="8" w:color="231F20"/>
            </w:tcBorders>
          </w:tcPr>
          <w:p>
            <w:pPr>
              <w:spacing w:after="0"/>
              <w:rPr>
                <w:sz w:val="16"/>
                <w:szCs w:val="16"/>
                <w:color w:val="auto"/>
              </w:rPr>
            </w:pPr>
          </w:p>
        </w:tc>
        <w:tc>
          <w:tcPr>
            <w:tcW w:w="1080" w:type="dxa"/>
            <w:vAlign w:val="bottom"/>
          </w:tcPr>
          <w:p>
            <w:pPr>
              <w:spacing w:after="0"/>
              <w:rPr>
                <w:sz w:val="16"/>
                <w:szCs w:val="16"/>
                <w:color w:val="auto"/>
              </w:rPr>
            </w:pPr>
          </w:p>
        </w:tc>
        <w:tc>
          <w:tcPr>
            <w:tcW w:w="3860" w:type="dxa"/>
            <w:vAlign w:val="bottom"/>
          </w:tcPr>
          <w:p>
            <w:pPr>
              <w:ind w:left="100"/>
              <w:spacing w:after="0" w:line="194" w:lineRule="exact"/>
              <w:rPr>
                <w:sz w:val="20"/>
                <w:szCs w:val="20"/>
                <w:color w:val="auto"/>
              </w:rPr>
            </w:pPr>
            <w:r>
              <w:rPr>
                <w:rFonts w:ascii="Times New Roman" w:cs="Times New Roman" w:eastAsia="Times New Roman" w:hAnsi="Times New Roman"/>
                <w:sz w:val="19"/>
                <w:szCs w:val="19"/>
                <w:color w:val="231F20"/>
              </w:rPr>
              <w:t>one year later for all other entities. Early</w:t>
            </w:r>
          </w:p>
        </w:tc>
        <w:tc>
          <w:tcPr>
            <w:tcW w:w="800" w:type="dxa"/>
            <w:vAlign w:val="bottom"/>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r>
      <w:tr>
        <w:trPr>
          <w:trHeight w:val="253"/>
        </w:trPr>
        <w:tc>
          <w:tcPr>
            <w:tcW w:w="1520" w:type="dxa"/>
            <w:vAlign w:val="bottom"/>
            <w:tcBorders>
              <w:left w:val="single" w:sz="8" w:color="231F20"/>
            </w:tcBorders>
          </w:tcPr>
          <w:p>
            <w:pPr>
              <w:spacing w:after="0"/>
              <w:rPr>
                <w:sz w:val="21"/>
                <w:szCs w:val="21"/>
                <w:color w:val="auto"/>
              </w:rPr>
            </w:pPr>
          </w:p>
        </w:tc>
        <w:tc>
          <w:tcPr>
            <w:tcW w:w="1080" w:type="dxa"/>
            <w:vAlign w:val="bottom"/>
          </w:tcPr>
          <w:p>
            <w:pPr>
              <w:spacing w:after="0"/>
              <w:rPr>
                <w:sz w:val="21"/>
                <w:szCs w:val="21"/>
                <w:color w:val="auto"/>
              </w:rPr>
            </w:pPr>
          </w:p>
        </w:tc>
        <w:tc>
          <w:tcPr>
            <w:tcW w:w="386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adoption is permitted.</w:t>
            </w:r>
          </w:p>
        </w:tc>
        <w:tc>
          <w:tcPr>
            <w:tcW w:w="800" w:type="dxa"/>
            <w:vAlign w:val="bottom"/>
          </w:tcPr>
          <w:p>
            <w:pPr>
              <w:spacing w:after="0"/>
              <w:rPr>
                <w:sz w:val="21"/>
                <w:szCs w:val="21"/>
                <w:color w:val="auto"/>
              </w:rPr>
            </w:pPr>
          </w:p>
        </w:tc>
        <w:tc>
          <w:tcPr>
            <w:tcW w:w="2600" w:type="dxa"/>
            <w:vAlign w:val="bottom"/>
            <w:tcBorders>
              <w:right w:val="single" w:sz="8" w:color="231F20"/>
            </w:tcBorders>
          </w:tcPr>
          <w:p>
            <w:pPr>
              <w:spacing w:after="0"/>
              <w:rPr>
                <w:sz w:val="21"/>
                <w:szCs w:val="21"/>
                <w:color w:val="auto"/>
              </w:rPr>
            </w:pPr>
          </w:p>
        </w:tc>
      </w:tr>
      <w:tr>
        <w:trPr>
          <w:trHeight w:val="129"/>
        </w:trPr>
        <w:tc>
          <w:tcPr>
            <w:tcW w:w="1520" w:type="dxa"/>
            <w:vAlign w:val="bottom"/>
            <w:tcBorders>
              <w:left w:val="single" w:sz="8" w:color="231F20"/>
              <w:bottom w:val="single" w:sz="8" w:color="231F20"/>
            </w:tcBorders>
          </w:tcPr>
          <w:p>
            <w:pPr>
              <w:spacing w:after="0"/>
              <w:rPr>
                <w:sz w:val="11"/>
                <w:szCs w:val="11"/>
                <w:color w:val="auto"/>
              </w:rPr>
            </w:pPr>
          </w:p>
        </w:tc>
        <w:tc>
          <w:tcPr>
            <w:tcW w:w="1080" w:type="dxa"/>
            <w:vAlign w:val="bottom"/>
            <w:tcBorders>
              <w:bottom w:val="single" w:sz="8" w:color="231F20"/>
            </w:tcBorders>
          </w:tcPr>
          <w:p>
            <w:pPr>
              <w:spacing w:after="0"/>
              <w:rPr>
                <w:sz w:val="11"/>
                <w:szCs w:val="11"/>
                <w:color w:val="auto"/>
              </w:rPr>
            </w:pPr>
          </w:p>
        </w:tc>
        <w:tc>
          <w:tcPr>
            <w:tcW w:w="3860" w:type="dxa"/>
            <w:vAlign w:val="bottom"/>
            <w:tcBorders>
              <w:bottom w:val="single" w:sz="8" w:color="231F20"/>
            </w:tcBorders>
          </w:tcPr>
          <w:p>
            <w:pPr>
              <w:spacing w:after="0"/>
              <w:rPr>
                <w:sz w:val="11"/>
                <w:szCs w:val="11"/>
                <w:color w:val="auto"/>
              </w:rPr>
            </w:pPr>
          </w:p>
        </w:tc>
        <w:tc>
          <w:tcPr>
            <w:tcW w:w="800" w:type="dxa"/>
            <w:vAlign w:val="bottom"/>
            <w:tcBorders>
              <w:bottom w:val="single" w:sz="8" w:color="231F20"/>
            </w:tcBorders>
          </w:tcPr>
          <w:p>
            <w:pPr>
              <w:spacing w:after="0"/>
              <w:rPr>
                <w:sz w:val="11"/>
                <w:szCs w:val="11"/>
                <w:color w:val="auto"/>
              </w:rPr>
            </w:pPr>
          </w:p>
        </w:tc>
        <w:tc>
          <w:tcPr>
            <w:tcW w:w="2600" w:type="dxa"/>
            <w:vAlign w:val="bottom"/>
            <w:tcBorders>
              <w:bottom w:val="single" w:sz="8" w:color="231F20"/>
              <w:right w:val="single" w:sz="8" w:color="231F2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-6320790</wp:posOffset>
            </wp:positionV>
            <wp:extent cx="627253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extLst>
                    </a:blip>
                    <a:srcRect/>
                    <a:stretch>
                      <a:fillRect/>
                    </a:stretch>
                  </pic:blipFill>
                  <pic:spPr bwMode="auto">
                    <a:xfrm>
                      <a:off x="0" y="0"/>
                      <a:ext cx="6272530" cy="2540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-3834765</wp:posOffset>
            </wp:positionV>
            <wp:extent cx="627253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extLst>
                    </a:blip>
                    <a:srcRect/>
                    <a:stretch>
                      <a:fillRect/>
                    </a:stretch>
                  </pic:blipFill>
                  <pic:spPr bwMode="auto">
                    <a:xfrm>
                      <a:off x="0" y="0"/>
                      <a:ext cx="6272530" cy="2540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-18415</wp:posOffset>
            </wp:positionV>
            <wp:extent cx="627253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extLst>
                    </a:blip>
                    <a:srcRect/>
                    <a:stretch>
                      <a:fillRect/>
                    </a:stretch>
                  </pic:blipFill>
                  <pic:spPr bwMode="auto">
                    <a:xfrm>
                      <a:off x="0" y="0"/>
                      <a:ext cx="6272530" cy="25400"/>
                    </a:xfrm>
                    <a:prstGeom prst="rect">
                      <a:avLst/>
                    </a:prstGeom>
                    <a:noFill/>
                  </pic:spPr>
                </pic:pic>
              </a:graphicData>
            </a:graphic>
          </wp:anchor>
        </w:drawing>
      </w:r>
    </w:p>
    <w:p>
      <w:pPr>
        <w:sectPr>
          <w:pgSz w:w="11880" w:h="15480" w:orient="portrait"/>
          <w:cols w:equalWidth="0" w:num="1">
            <w:col w:w="9860"/>
          </w:cols>
          <w:pgMar w:left="960" w:top="250"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231F20"/>
        </w:rPr>
        <w:t>67</w:t>
      </w:r>
    </w:p>
    <w:p>
      <w:pPr>
        <w:sectPr>
          <w:pgSz w:w="11880" w:h="15480" w:orient="portrait"/>
          <w:cols w:equalWidth="0" w:num="1">
            <w:col w:w="9860"/>
          </w:cols>
          <w:pgMar w:left="960" w:top="250" w:right="1060" w:bottom="0"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2. RESTRUCTURING</w:t>
      </w:r>
    </w:p>
    <w:p>
      <w:pPr>
        <w:spacing w:after="0" w:line="138" w:lineRule="exact"/>
        <w:rPr>
          <w:sz w:val="20"/>
          <w:szCs w:val="20"/>
          <w:color w:val="auto"/>
        </w:rPr>
      </w:pPr>
    </w:p>
    <w:p>
      <w:pPr>
        <w:ind w:right="140" w:firstLine="349"/>
        <w:spacing w:after="0" w:line="254" w:lineRule="auto"/>
        <w:rPr>
          <w:sz w:val="20"/>
          <w:szCs w:val="20"/>
          <w:color w:val="auto"/>
        </w:rPr>
      </w:pPr>
      <w:r>
        <w:rPr>
          <w:rFonts w:ascii="Times New Roman" w:cs="Times New Roman" w:eastAsia="Times New Roman" w:hAnsi="Times New Roman"/>
          <w:sz w:val="19"/>
          <w:szCs w:val="19"/>
          <w:color w:val="231F20"/>
        </w:rPr>
        <w:t>In May 2024, we adopted and announced a targeted restructuring plan (the "Restructuring Plan"). This plan includes a strategic shift in our approach to the Healthcare surgical business in Europe, as well as other actions including the impairment of an internally developed X-ray accelerator, product rationalizations and facility consolidations. Approximately 300 positions have been eliminated. These restructuring actions were designed to enhance profitability and improve efficiency. As of March 31, 2026, the execution of our Restructuring Plan is substantially complete.</w:t>
      </w:r>
    </w:p>
    <w:p>
      <w:pPr>
        <w:spacing w:after="0" w:line="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The following table summarizes our total pre-tax restructuring expenses recorded in fiscal 2026 and 2025 related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Restructuring Plan:</w:t>
      </w:r>
    </w:p>
    <w:p>
      <w:pPr>
        <w:spacing w:after="0" w:line="185" w:lineRule="exact"/>
        <w:rPr>
          <w:sz w:val="20"/>
          <w:szCs w:val="20"/>
          <w:color w:val="auto"/>
        </w:rPr>
      </w:pPr>
    </w:p>
    <w:tbl>
      <w:tblPr>
        <w:tblLayout w:type="fixed"/>
        <w:tblInd w:w="100" w:type="dxa"/>
        <w:tblCellMar>
          <w:top w:w="0" w:type="dxa"/>
          <w:left w:w="0" w:type="dxa"/>
          <w:bottom w:w="0" w:type="dxa"/>
          <w:right w:w="0" w:type="dxa"/>
        </w:tblCellMar>
      </w:tblPr>
      <w:tr>
        <w:trPr>
          <w:trHeight w:val="253"/>
        </w:trPr>
        <w:tc>
          <w:tcPr>
            <w:tcW w:w="548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(in millions)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91"/>
        </w:trPr>
        <w:tc>
          <w:tcPr>
            <w:tcW w:w="5480" w:type="dxa"/>
            <w:vAlign w:val="bottom"/>
          </w:tcPr>
          <w:p>
            <w:pPr>
              <w:ind w:left="40"/>
              <w:spacing w:after="0"/>
              <w:rPr>
                <w:sz w:val="20"/>
                <w:szCs w:val="20"/>
                <w:color w:val="auto"/>
              </w:rPr>
            </w:pPr>
            <w:r>
              <w:rPr>
                <w:rFonts w:ascii="Times New Roman" w:cs="Times New Roman" w:eastAsia="Times New Roman" w:hAnsi="Times New Roman"/>
                <w:sz w:val="19"/>
                <w:szCs w:val="19"/>
                <w:b w:val="1"/>
                <w:bCs w:val="1"/>
                <w:color w:val="231F20"/>
              </w:rPr>
              <w:t>Restructuring Plan</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9"/>
        </w:trPr>
        <w:tc>
          <w:tcPr>
            <w:tcW w:w="5480" w:type="dxa"/>
            <w:vAlign w:val="bottom"/>
            <w:tcBorders>
              <w:bottom w:val="single" w:sz="8" w:color="231F20"/>
            </w:tcBorders>
          </w:tcPr>
          <w:p>
            <w:pPr>
              <w:ind w:left="40"/>
              <w:spacing w:after="0"/>
              <w:rPr>
                <w:sz w:val="20"/>
                <w:szCs w:val="20"/>
                <w:color w:val="auto"/>
              </w:rPr>
            </w:pPr>
            <w:r>
              <w:rPr>
                <w:rFonts w:ascii="Times New Roman" w:cs="Times New Roman" w:eastAsia="Times New Roman" w:hAnsi="Times New Roman"/>
                <w:sz w:val="19"/>
                <w:szCs w:val="19"/>
                <w:color w:val="231F20"/>
              </w:rPr>
              <w:t>Years Ended March 31,</w:t>
            </w:r>
          </w:p>
        </w:tc>
        <w:tc>
          <w:tcPr>
            <w:tcW w:w="34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jc w:val="right"/>
              <w:ind w:right="443"/>
              <w:spacing w:after="0"/>
              <w:rPr>
                <w:sz w:val="20"/>
                <w:szCs w:val="20"/>
                <w:color w:val="auto"/>
              </w:rPr>
            </w:pPr>
            <w:r>
              <w:rPr>
                <w:rFonts w:ascii="Times New Roman" w:cs="Times New Roman" w:eastAsia="Times New Roman" w:hAnsi="Times New Roman"/>
                <w:sz w:val="19"/>
                <w:szCs w:val="19"/>
                <w:color w:val="231F20"/>
              </w:rPr>
              <w:t>2026</w:t>
            </w:r>
          </w:p>
        </w:tc>
        <w:tc>
          <w:tcPr>
            <w:tcW w:w="60" w:type="dxa"/>
            <w:vAlign w:val="bottom"/>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ind w:right="403"/>
              <w:spacing w:after="0"/>
              <w:rPr>
                <w:sz w:val="20"/>
                <w:szCs w:val="20"/>
                <w:color w:val="auto"/>
              </w:rPr>
            </w:pPr>
            <w:r>
              <w:rPr>
                <w:rFonts w:ascii="Times New Roman" w:cs="Times New Roman" w:eastAsia="Times New Roman" w:hAnsi="Times New Roman"/>
                <w:sz w:val="19"/>
                <w:szCs w:val="19"/>
                <w:color w:val="231F20"/>
              </w:rPr>
              <w:t>2025</w:t>
            </w:r>
          </w:p>
        </w:tc>
        <w:tc>
          <w:tcPr>
            <w:tcW w:w="60" w:type="dxa"/>
            <w:vAlign w:val="bottom"/>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1080" w:type="dxa"/>
            <w:vAlign w:val="bottom"/>
            <w:tcBorders>
              <w:bottom w:val="single" w:sz="8" w:color="231F20"/>
            </w:tcBorders>
          </w:tcPr>
          <w:p>
            <w:pPr>
              <w:jc w:val="right"/>
              <w:ind w:right="403"/>
              <w:spacing w:after="0"/>
              <w:rPr>
                <w:sz w:val="20"/>
                <w:szCs w:val="20"/>
                <w:color w:val="auto"/>
              </w:rPr>
            </w:pPr>
            <w:r>
              <w:rPr>
                <w:rFonts w:ascii="Times New Roman" w:cs="Times New Roman" w:eastAsia="Times New Roman" w:hAnsi="Times New Roman"/>
                <w:sz w:val="19"/>
                <w:szCs w:val="19"/>
                <w:color w:val="231F20"/>
              </w:rPr>
              <w:t>2024</w:t>
            </w:r>
          </w:p>
        </w:tc>
      </w:tr>
      <w:tr>
        <w:trPr>
          <w:trHeight w:val="257"/>
        </w:trPr>
        <w:tc>
          <w:tcPr>
            <w:tcW w:w="548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Severance and other compensation related costs</w:t>
            </w:r>
          </w:p>
        </w:tc>
        <w:tc>
          <w:tcPr>
            <w:tcW w:w="340" w:type="dxa"/>
            <w:vAlign w:val="bottom"/>
          </w:tcPr>
          <w:p>
            <w:pPr>
              <w:jc w:val="right"/>
              <w:ind w:right="103"/>
              <w:spacing w:after="0"/>
              <w:rPr>
                <w:sz w:val="20"/>
                <w:szCs w:val="20"/>
                <w:color w:val="auto"/>
              </w:rPr>
            </w:pPr>
            <w:r>
              <w:rPr>
                <w:rFonts w:ascii="Times New Roman" w:cs="Times New Roman" w:eastAsia="Times New Roman" w:hAnsi="Times New Roman"/>
                <w:sz w:val="19"/>
                <w:szCs w:val="19"/>
                <w:b w:val="1"/>
                <w:bCs w:val="1"/>
                <w:color w:val="231F2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2.6</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231F2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29.0</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231F2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0.7</w:t>
            </w:r>
          </w:p>
        </w:tc>
      </w:tr>
      <w:tr>
        <w:trPr>
          <w:trHeight w:val="274"/>
        </w:trPr>
        <w:tc>
          <w:tcPr>
            <w:tcW w:w="548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Lease and other contract termination and other costs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1.5</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12.4</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r>
      <w:tr>
        <w:trPr>
          <w:trHeight w:val="296"/>
        </w:trPr>
        <w:tc>
          <w:tcPr>
            <w:tcW w:w="548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 xml:space="preserve">Product rationalization </w:t>
            </w:r>
            <w:r>
              <w:rPr>
                <w:rFonts w:ascii="Times New Roman" w:cs="Times New Roman" w:eastAsia="Times New Roman" w:hAnsi="Times New Roman"/>
                <w:sz w:val="25"/>
                <w:szCs w:val="25"/>
                <w:color w:val="231F20"/>
                <w:vertAlign w:val="superscript"/>
              </w:rPr>
              <w:t>(1)</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(0.7)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16.2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18.3</w:t>
            </w:r>
          </w:p>
        </w:tc>
      </w:tr>
      <w:tr>
        <w:trPr>
          <w:trHeight w:val="259"/>
        </w:trPr>
        <w:tc>
          <w:tcPr>
            <w:tcW w:w="548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Accelerated depreciation and amortization and asset impairment</w:t>
            </w:r>
          </w:p>
        </w:tc>
        <w:tc>
          <w:tcPr>
            <w:tcW w:w="340" w:type="dxa"/>
            <w:vAlign w:val="bottom"/>
            <w:tcBorders>
              <w:bottom w:val="single" w:sz="8" w:color="231F20"/>
            </w:tcBorders>
          </w:tcPr>
          <w:p>
            <w:pPr>
              <w:spacing w:after="0"/>
              <w:rPr>
                <w:sz w:val="22"/>
                <w:szCs w:val="22"/>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60" w:type="dxa"/>
            <w:vAlign w:val="bottom"/>
          </w:tcPr>
          <w:p>
            <w:pPr>
              <w:spacing w:after="0"/>
              <w:rPr>
                <w:sz w:val="22"/>
                <w:szCs w:val="22"/>
                <w:color w:val="auto"/>
              </w:rPr>
            </w:pPr>
          </w:p>
        </w:tc>
        <w:tc>
          <w:tcPr>
            <w:tcW w:w="34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4.7</w:t>
            </w:r>
          </w:p>
        </w:tc>
        <w:tc>
          <w:tcPr>
            <w:tcW w:w="60" w:type="dxa"/>
            <w:vAlign w:val="bottom"/>
          </w:tcPr>
          <w:p>
            <w:pPr>
              <w:spacing w:after="0"/>
              <w:rPr>
                <w:sz w:val="22"/>
                <w:szCs w:val="22"/>
                <w:color w:val="auto"/>
              </w:rPr>
            </w:pPr>
          </w:p>
        </w:tc>
        <w:tc>
          <w:tcPr>
            <w:tcW w:w="320" w:type="dxa"/>
            <w:vAlign w:val="bottom"/>
            <w:tcBorders>
              <w:bottom w:val="single" w:sz="8" w:color="231F20"/>
            </w:tcBorders>
          </w:tcPr>
          <w:p>
            <w:pPr>
              <w:spacing w:after="0"/>
              <w:rPr>
                <w:sz w:val="22"/>
                <w:szCs w:val="22"/>
                <w:color w:val="auto"/>
              </w:rPr>
            </w:pP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25.4</w:t>
            </w:r>
          </w:p>
        </w:tc>
      </w:tr>
      <w:tr>
        <w:trPr>
          <w:trHeight w:val="238"/>
        </w:trPr>
        <w:tc>
          <w:tcPr>
            <w:tcW w:w="5480" w:type="dxa"/>
            <w:vAlign w:val="bottom"/>
          </w:tcPr>
          <w:p>
            <w:pPr>
              <w:ind w:left="40"/>
              <w:spacing w:after="0"/>
              <w:rPr>
                <w:sz w:val="20"/>
                <w:szCs w:val="20"/>
                <w:color w:val="auto"/>
              </w:rPr>
            </w:pPr>
            <w:r>
              <w:rPr>
                <w:rFonts w:ascii="Times New Roman" w:cs="Times New Roman" w:eastAsia="Times New Roman" w:hAnsi="Times New Roman"/>
                <w:sz w:val="19"/>
                <w:szCs w:val="19"/>
                <w:b w:val="1"/>
                <w:bCs w:val="1"/>
                <w:color w:val="231F20"/>
              </w:rPr>
              <w:t>Total Restructuring Expense</w:t>
            </w:r>
          </w:p>
        </w:tc>
        <w:tc>
          <w:tcPr>
            <w:tcW w:w="340" w:type="dxa"/>
            <w:vAlign w:val="bottom"/>
          </w:tcPr>
          <w:p>
            <w:pPr>
              <w:jc w:val="right"/>
              <w:ind w:right="103"/>
              <w:spacing w:after="0"/>
              <w:rPr>
                <w:sz w:val="20"/>
                <w:szCs w:val="20"/>
                <w:color w:val="auto"/>
              </w:rPr>
            </w:pPr>
            <w:r>
              <w:rPr>
                <w:rFonts w:ascii="Times New Roman" w:cs="Times New Roman" w:eastAsia="Times New Roman" w:hAnsi="Times New Roman"/>
                <w:sz w:val="19"/>
                <w:szCs w:val="19"/>
                <w:b w:val="1"/>
                <w:bCs w:val="1"/>
                <w:color w:val="231F2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3.4</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231F2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62.3</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231F2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44.4</w:t>
            </w:r>
          </w:p>
        </w:tc>
      </w:tr>
      <w:tr>
        <w:trPr>
          <w:trHeight w:val="20"/>
        </w:trPr>
        <w:tc>
          <w:tcPr>
            <w:tcW w:w="5480" w:type="dxa"/>
            <w:vAlign w:val="bottom"/>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11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10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-908685</wp:posOffset>
            </wp:positionV>
            <wp:extent cx="94932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extLst>
                    </a:blip>
                    <a:srcRect/>
                    <a:stretch>
                      <a:fillRect/>
                    </a:stretch>
                  </pic:blipFill>
                  <pic:spPr bwMode="auto">
                    <a:xfrm>
                      <a:off x="0" y="0"/>
                      <a:ext cx="949325" cy="25400"/>
                    </a:xfrm>
                    <a:prstGeom prst="rect">
                      <a:avLst/>
                    </a:prstGeom>
                    <a:noFill/>
                  </pic:spPr>
                </pic:pic>
              </a:graphicData>
            </a:graphic>
          </wp:anchor>
        </w:drawing>
      </w:r>
    </w:p>
    <w:p>
      <w:pPr>
        <w:ind w:left="260" w:hanging="170"/>
        <w:spacing w:after="0"/>
        <w:tabs>
          <w:tab w:leader="none" w:pos="260" w:val="left"/>
        </w:tabs>
        <w:numPr>
          <w:ilvl w:val="0"/>
          <w:numId w:val="22"/>
        </w:numPr>
        <w:rPr>
          <w:rFonts w:ascii="Times New Roman" w:cs="Times New Roman" w:eastAsia="Times New Roman" w:hAnsi="Times New Roman"/>
          <w:sz w:val="21"/>
          <w:szCs w:val="21"/>
          <w:color w:val="231F20"/>
          <w:vertAlign w:val="superscript"/>
        </w:rPr>
      </w:pPr>
      <w:r>
        <w:rPr>
          <w:rFonts w:ascii="Times New Roman" w:cs="Times New Roman" w:eastAsia="Times New Roman" w:hAnsi="Times New Roman"/>
          <w:sz w:val="16"/>
          <w:szCs w:val="16"/>
          <w:color w:val="231F20"/>
        </w:rPr>
        <w:t>Recorded in Cost of revenues on the Consolidated Statements of Income.</w:t>
      </w:r>
    </w:p>
    <w:p>
      <w:pPr>
        <w:spacing w:after="0" w:line="83" w:lineRule="exact"/>
        <w:rPr>
          <w:sz w:val="20"/>
          <w:szCs w:val="20"/>
          <w:color w:val="auto"/>
        </w:rPr>
      </w:pPr>
    </w:p>
    <w:p>
      <w:pPr>
        <w:jc w:val="both"/>
        <w:ind w:right="140" w:firstLine="349"/>
        <w:spacing w:after="0" w:line="264" w:lineRule="auto"/>
        <w:rPr>
          <w:sz w:val="20"/>
          <w:szCs w:val="20"/>
          <w:color w:val="auto"/>
        </w:rPr>
      </w:pPr>
      <w:r>
        <w:rPr>
          <w:rFonts w:ascii="Times New Roman" w:cs="Times New Roman" w:eastAsia="Times New Roman" w:hAnsi="Times New Roman"/>
          <w:sz w:val="19"/>
          <w:szCs w:val="19"/>
          <w:color w:val="231F20"/>
        </w:rPr>
        <w:t>The Restructuring Plan expenses incurred during fiscal 2026 and 2025 primarily related to actions taken in our Healthcare and AST segments. Total pre-tax restructuring expense of $110.1 million has been recorded relating to the Restructuring Plan since inception, of which $33.9 million has been recorded in Cost of revenues.</w:t>
      </w:r>
    </w:p>
    <w:p>
      <w:pPr>
        <w:spacing w:after="0" w:line="65" w:lineRule="exact"/>
        <w:rPr>
          <w:sz w:val="20"/>
          <w:szCs w:val="20"/>
          <w:color w:val="auto"/>
        </w:rPr>
      </w:pPr>
    </w:p>
    <w:p>
      <w:pPr>
        <w:ind w:firstLine="349"/>
        <w:spacing w:after="0" w:line="264" w:lineRule="auto"/>
        <w:rPr>
          <w:sz w:val="20"/>
          <w:szCs w:val="20"/>
          <w:color w:val="auto"/>
        </w:rPr>
      </w:pPr>
      <w:r>
        <w:rPr>
          <w:rFonts w:ascii="Times New Roman" w:cs="Times New Roman" w:eastAsia="Times New Roman" w:hAnsi="Times New Roman"/>
          <w:sz w:val="19"/>
          <w:szCs w:val="19"/>
          <w:color w:val="231F20"/>
        </w:rPr>
        <w:t>Liabilities related to restructuring activities are recorded as current liabilities in the accompanying Consolidated Balance Sheets within "Accrued payroll and other related liabilities" and "Accrued expenses and other." The following table summarizes our restructuring liability balances:</w:t>
      </w:r>
    </w:p>
    <w:p>
      <w:pPr>
        <w:spacing w:after="0" w:line="151" w:lineRule="exact"/>
        <w:rPr>
          <w:sz w:val="20"/>
          <w:szCs w:val="20"/>
          <w:color w:val="auto"/>
        </w:rPr>
      </w:pPr>
    </w:p>
    <w:tbl>
      <w:tblPr>
        <w:tblLayout w:type="fixed"/>
        <w:tblInd w:w="60" w:type="dxa"/>
        <w:tblCellMar>
          <w:top w:w="0" w:type="dxa"/>
          <w:left w:w="0" w:type="dxa"/>
          <w:bottom w:w="0" w:type="dxa"/>
          <w:right w:w="0" w:type="dxa"/>
        </w:tblCellMar>
      </w:tblPr>
      <w:tr>
        <w:trPr>
          <w:trHeight w:val="218"/>
        </w:trPr>
        <w:tc>
          <w:tcPr>
            <w:tcW w:w="8360" w:type="dxa"/>
            <w:vAlign w:val="bottom"/>
            <w:vMerge w:val="restart"/>
          </w:tcPr>
          <w:p>
            <w:pPr>
              <w:spacing w:after="0"/>
              <w:rPr>
                <w:sz w:val="20"/>
                <w:szCs w:val="20"/>
                <w:color w:val="auto"/>
              </w:rPr>
            </w:pPr>
            <w:r>
              <w:rPr>
                <w:rFonts w:ascii="Times New Roman" w:cs="Times New Roman" w:eastAsia="Times New Roman" w:hAnsi="Times New Roman"/>
                <w:sz w:val="19"/>
                <w:szCs w:val="19"/>
                <w:color w:val="231F20"/>
              </w:rPr>
              <w:t>(in millions)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Restructuring</w:t>
            </w:r>
          </w:p>
        </w:tc>
        <w:tc>
          <w:tcPr>
            <w:tcW w:w="0" w:type="dxa"/>
            <w:vAlign w:val="bottom"/>
          </w:tcPr>
          <w:p>
            <w:pPr>
              <w:spacing w:after="0"/>
              <w:rPr>
                <w:sz w:val="1"/>
                <w:szCs w:val="1"/>
                <w:color w:val="auto"/>
              </w:rPr>
            </w:pPr>
          </w:p>
        </w:tc>
      </w:tr>
      <w:tr>
        <w:trPr>
          <w:trHeight w:val="255"/>
        </w:trPr>
        <w:tc>
          <w:tcPr>
            <w:tcW w:w="8360" w:type="dxa"/>
            <w:vAlign w:val="bottom"/>
            <w:vMerge w:val="continue"/>
          </w:tcPr>
          <w:p>
            <w:pPr>
              <w:spacing w:after="0"/>
              <w:rPr>
                <w:sz w:val="22"/>
                <w:szCs w:val="22"/>
                <w:color w:val="auto"/>
              </w:rPr>
            </w:pPr>
          </w:p>
        </w:tc>
        <w:tc>
          <w:tcPr>
            <w:tcW w:w="80" w:type="dxa"/>
            <w:vAlign w:val="bottom"/>
            <w:tcBorders>
              <w:bottom w:val="single" w:sz="8" w:color="231F20"/>
            </w:tcBorders>
          </w:tcPr>
          <w:p>
            <w:pPr>
              <w:spacing w:after="0"/>
              <w:rPr>
                <w:sz w:val="22"/>
                <w:szCs w:val="22"/>
                <w:color w:val="auto"/>
              </w:rPr>
            </w:pPr>
          </w:p>
        </w:tc>
        <w:tc>
          <w:tcPr>
            <w:tcW w:w="140" w:type="dxa"/>
            <w:vAlign w:val="bottom"/>
            <w:tcBorders>
              <w:bottom w:val="single" w:sz="8" w:color="231F20"/>
            </w:tcBorders>
          </w:tcPr>
          <w:p>
            <w:pPr>
              <w:spacing w:after="0"/>
              <w:rPr>
                <w:sz w:val="22"/>
                <w:szCs w:val="22"/>
                <w:color w:val="auto"/>
              </w:rPr>
            </w:pPr>
          </w:p>
        </w:tc>
        <w:tc>
          <w:tcPr>
            <w:tcW w:w="1320" w:type="dxa"/>
            <w:vAlign w:val="bottom"/>
            <w:tcBorders>
              <w:bottom w:val="single" w:sz="8" w:color="231F20"/>
            </w:tcBorders>
          </w:tcPr>
          <w:p>
            <w:pPr>
              <w:jc w:val="right"/>
              <w:ind w:right="443"/>
              <w:spacing w:after="0"/>
              <w:rPr>
                <w:sz w:val="20"/>
                <w:szCs w:val="20"/>
                <w:color w:val="auto"/>
              </w:rPr>
            </w:pPr>
            <w:r>
              <w:rPr>
                <w:rFonts w:ascii="Times New Roman" w:cs="Times New Roman" w:eastAsia="Times New Roman" w:hAnsi="Times New Roman"/>
                <w:sz w:val="19"/>
                <w:szCs w:val="19"/>
                <w:b w:val="1"/>
                <w:bCs w:val="1"/>
                <w:color w:val="231F20"/>
              </w:rPr>
              <w:t>Plan</w:t>
            </w:r>
          </w:p>
        </w:tc>
        <w:tc>
          <w:tcPr>
            <w:tcW w:w="0" w:type="dxa"/>
            <w:vAlign w:val="bottom"/>
          </w:tcPr>
          <w:p>
            <w:pPr>
              <w:spacing w:after="0"/>
              <w:rPr>
                <w:sz w:val="1"/>
                <w:szCs w:val="1"/>
                <w:color w:val="auto"/>
              </w:rPr>
            </w:pPr>
          </w:p>
        </w:tc>
      </w:tr>
      <w:tr>
        <w:trPr>
          <w:trHeight w:val="253"/>
        </w:trPr>
        <w:tc>
          <w:tcPr>
            <w:tcW w:w="8360" w:type="dxa"/>
            <w:vAlign w:val="bottom"/>
          </w:tcPr>
          <w:p>
            <w:pPr>
              <w:spacing w:after="0"/>
              <w:rPr>
                <w:sz w:val="20"/>
                <w:szCs w:val="20"/>
                <w:color w:val="auto"/>
              </w:rPr>
            </w:pPr>
            <w:r>
              <w:rPr>
                <w:rFonts w:ascii="Times New Roman" w:cs="Times New Roman" w:eastAsia="Times New Roman" w:hAnsi="Times New Roman"/>
                <w:sz w:val="19"/>
                <w:szCs w:val="19"/>
                <w:b w:val="1"/>
                <w:bCs w:val="1"/>
                <w:color w:val="231F20"/>
              </w:rPr>
              <w:t>Balance at March 31, 2024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0.7</w:t>
            </w:r>
          </w:p>
        </w:tc>
        <w:tc>
          <w:tcPr>
            <w:tcW w:w="0" w:type="dxa"/>
            <w:vAlign w:val="bottom"/>
          </w:tcPr>
          <w:p>
            <w:pPr>
              <w:spacing w:after="0"/>
              <w:rPr>
                <w:sz w:val="1"/>
                <w:szCs w:val="1"/>
                <w:color w:val="auto"/>
              </w:rPr>
            </w:pPr>
          </w:p>
        </w:tc>
      </w:tr>
      <w:tr>
        <w:trPr>
          <w:trHeight w:val="277"/>
        </w:trPr>
        <w:tc>
          <w:tcPr>
            <w:tcW w:w="8360" w:type="dxa"/>
            <w:vAlign w:val="bottom"/>
          </w:tcPr>
          <w:p>
            <w:pPr>
              <w:spacing w:after="0"/>
              <w:rPr>
                <w:sz w:val="20"/>
                <w:szCs w:val="20"/>
                <w:color w:val="auto"/>
              </w:rPr>
            </w:pPr>
            <w:r>
              <w:rPr>
                <w:rFonts w:ascii="Times New Roman" w:cs="Times New Roman" w:eastAsia="Times New Roman" w:hAnsi="Times New Roman"/>
                <w:sz w:val="19"/>
                <w:szCs w:val="19"/>
                <w:color w:val="231F20"/>
              </w:rPr>
              <w:t>Fiscal 2025 charges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41.4</w:t>
            </w:r>
          </w:p>
        </w:tc>
        <w:tc>
          <w:tcPr>
            <w:tcW w:w="0" w:type="dxa"/>
            <w:vAlign w:val="bottom"/>
          </w:tcPr>
          <w:p>
            <w:pPr>
              <w:spacing w:after="0"/>
              <w:rPr>
                <w:sz w:val="1"/>
                <w:szCs w:val="1"/>
                <w:color w:val="auto"/>
              </w:rPr>
            </w:pPr>
          </w:p>
        </w:tc>
      </w:tr>
      <w:tr>
        <w:trPr>
          <w:trHeight w:val="279"/>
        </w:trPr>
        <w:tc>
          <w:tcPr>
            <w:tcW w:w="8360" w:type="dxa"/>
            <w:vAlign w:val="bottom"/>
          </w:tcPr>
          <w:p>
            <w:pPr>
              <w:spacing w:after="0"/>
              <w:rPr>
                <w:sz w:val="20"/>
                <w:szCs w:val="20"/>
                <w:color w:val="auto"/>
              </w:rPr>
            </w:pPr>
            <w:r>
              <w:rPr>
                <w:rFonts w:ascii="Times New Roman" w:cs="Times New Roman" w:eastAsia="Times New Roman" w:hAnsi="Times New Roman"/>
                <w:sz w:val="19"/>
                <w:szCs w:val="19"/>
                <w:color w:val="231F20"/>
              </w:rPr>
              <w:t>Payments</w:t>
            </w:r>
          </w:p>
        </w:tc>
        <w:tc>
          <w:tcPr>
            <w:tcW w:w="80" w:type="dxa"/>
            <w:vAlign w:val="bottom"/>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(23.7)</w:t>
            </w:r>
          </w:p>
        </w:tc>
        <w:tc>
          <w:tcPr>
            <w:tcW w:w="0" w:type="dxa"/>
            <w:vAlign w:val="bottom"/>
          </w:tcPr>
          <w:p>
            <w:pPr>
              <w:spacing w:after="0"/>
              <w:rPr>
                <w:sz w:val="1"/>
                <w:szCs w:val="1"/>
                <w:color w:val="auto"/>
              </w:rPr>
            </w:pPr>
          </w:p>
        </w:tc>
      </w:tr>
      <w:tr>
        <w:trPr>
          <w:trHeight w:val="257"/>
        </w:trPr>
        <w:tc>
          <w:tcPr>
            <w:tcW w:w="8360" w:type="dxa"/>
            <w:vAlign w:val="bottom"/>
          </w:tcPr>
          <w:p>
            <w:pPr>
              <w:spacing w:after="0"/>
              <w:rPr>
                <w:sz w:val="20"/>
                <w:szCs w:val="20"/>
                <w:color w:val="auto"/>
              </w:rPr>
            </w:pPr>
            <w:r>
              <w:rPr>
                <w:rFonts w:ascii="Times New Roman" w:cs="Times New Roman" w:eastAsia="Times New Roman" w:hAnsi="Times New Roman"/>
                <w:sz w:val="19"/>
                <w:szCs w:val="19"/>
                <w:b w:val="1"/>
                <w:bCs w:val="1"/>
                <w:color w:val="231F20"/>
              </w:rPr>
              <w:t>Balance at March 31, 2025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18.4</w:t>
            </w:r>
          </w:p>
        </w:tc>
        <w:tc>
          <w:tcPr>
            <w:tcW w:w="0" w:type="dxa"/>
            <w:vAlign w:val="bottom"/>
          </w:tcPr>
          <w:p>
            <w:pPr>
              <w:spacing w:after="0"/>
              <w:rPr>
                <w:sz w:val="1"/>
                <w:szCs w:val="1"/>
                <w:color w:val="auto"/>
              </w:rPr>
            </w:pPr>
          </w:p>
        </w:tc>
      </w:tr>
      <w:tr>
        <w:trPr>
          <w:trHeight w:val="257"/>
        </w:trPr>
        <w:tc>
          <w:tcPr>
            <w:tcW w:w="8360" w:type="dxa"/>
            <w:vAlign w:val="bottom"/>
          </w:tcPr>
          <w:p>
            <w:pPr>
              <w:spacing w:after="0"/>
              <w:rPr>
                <w:sz w:val="20"/>
                <w:szCs w:val="20"/>
                <w:color w:val="auto"/>
              </w:rPr>
            </w:pPr>
            <w:r>
              <w:rPr>
                <w:rFonts w:ascii="Times New Roman" w:cs="Times New Roman" w:eastAsia="Times New Roman" w:hAnsi="Times New Roman"/>
                <w:sz w:val="19"/>
                <w:szCs w:val="19"/>
                <w:color w:val="231F20"/>
              </w:rPr>
              <w:t>Fiscal 2026 charges</w:t>
            </w:r>
          </w:p>
        </w:tc>
        <w:tc>
          <w:tcPr>
            <w:tcW w:w="80" w:type="dxa"/>
            <w:vAlign w:val="bottom"/>
          </w:tcPr>
          <w:p>
            <w:pPr>
              <w:spacing w:after="0"/>
              <w:rPr>
                <w:sz w:val="22"/>
                <w:szCs w:val="22"/>
                <w:color w:val="auto"/>
              </w:rPr>
            </w:pPr>
          </w:p>
        </w:tc>
        <w:tc>
          <w:tcPr>
            <w:tcW w:w="140" w:type="dxa"/>
            <w:vAlign w:val="bottom"/>
            <w:tcBorders>
              <w:top w:val="single" w:sz="8" w:color="231F20"/>
            </w:tcBorders>
          </w:tcPr>
          <w:p>
            <w:pPr>
              <w:spacing w:after="0"/>
              <w:rPr>
                <w:sz w:val="22"/>
                <w:szCs w:val="22"/>
                <w:color w:val="auto"/>
              </w:rPr>
            </w:pPr>
          </w:p>
        </w:tc>
        <w:tc>
          <w:tcPr>
            <w:tcW w:w="13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4.1</w:t>
            </w:r>
          </w:p>
        </w:tc>
        <w:tc>
          <w:tcPr>
            <w:tcW w:w="0" w:type="dxa"/>
            <w:vAlign w:val="bottom"/>
          </w:tcPr>
          <w:p>
            <w:pPr>
              <w:spacing w:after="0"/>
              <w:rPr>
                <w:sz w:val="1"/>
                <w:szCs w:val="1"/>
                <w:color w:val="auto"/>
              </w:rPr>
            </w:pPr>
          </w:p>
        </w:tc>
      </w:tr>
      <w:tr>
        <w:trPr>
          <w:trHeight w:val="305"/>
        </w:trPr>
        <w:tc>
          <w:tcPr>
            <w:tcW w:w="8360" w:type="dxa"/>
            <w:vAlign w:val="bottom"/>
          </w:tcPr>
          <w:p>
            <w:pPr>
              <w:spacing w:after="0"/>
              <w:rPr>
                <w:sz w:val="20"/>
                <w:szCs w:val="20"/>
                <w:color w:val="auto"/>
              </w:rPr>
            </w:pPr>
            <w:r>
              <w:rPr>
                <w:rFonts w:ascii="Times New Roman" w:cs="Times New Roman" w:eastAsia="Times New Roman" w:hAnsi="Times New Roman"/>
                <w:sz w:val="19"/>
                <w:szCs w:val="19"/>
                <w:color w:val="231F20"/>
              </w:rPr>
              <w:t>Payments</w:t>
            </w:r>
          </w:p>
        </w:tc>
        <w:tc>
          <w:tcPr>
            <w:tcW w:w="80" w:type="dxa"/>
            <w:vAlign w:val="bottom"/>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(15.4)</w:t>
            </w:r>
          </w:p>
        </w:tc>
        <w:tc>
          <w:tcPr>
            <w:tcW w:w="0" w:type="dxa"/>
            <w:vAlign w:val="bottom"/>
          </w:tcPr>
          <w:p>
            <w:pPr>
              <w:spacing w:after="0"/>
              <w:rPr>
                <w:sz w:val="1"/>
                <w:szCs w:val="1"/>
                <w:color w:val="auto"/>
              </w:rPr>
            </w:pPr>
          </w:p>
        </w:tc>
      </w:tr>
      <w:tr>
        <w:trPr>
          <w:trHeight w:val="267"/>
        </w:trPr>
        <w:tc>
          <w:tcPr>
            <w:tcW w:w="8360" w:type="dxa"/>
            <w:vAlign w:val="bottom"/>
          </w:tcPr>
          <w:p>
            <w:pPr>
              <w:spacing w:after="0"/>
              <w:rPr>
                <w:sz w:val="20"/>
                <w:szCs w:val="20"/>
                <w:color w:val="auto"/>
              </w:rPr>
            </w:pPr>
            <w:r>
              <w:rPr>
                <w:rFonts w:ascii="Times New Roman" w:cs="Times New Roman" w:eastAsia="Times New Roman" w:hAnsi="Times New Roman"/>
                <w:sz w:val="19"/>
                <w:szCs w:val="19"/>
                <w:b w:val="1"/>
                <w:bCs w:val="1"/>
                <w:color w:val="231F20"/>
              </w:rPr>
              <w:t>Balance at March 31, 2026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7.1</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132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ind w:right="3820"/>
        <w:spacing w:after="0" w:line="382" w:lineRule="auto"/>
        <w:rPr>
          <w:sz w:val="20"/>
          <w:szCs w:val="20"/>
          <w:color w:val="auto"/>
        </w:rPr>
      </w:pPr>
      <w:r>
        <w:rPr>
          <w:rFonts w:ascii="Times New Roman" w:cs="Times New Roman" w:eastAsia="Times New Roman" w:hAnsi="Times New Roman"/>
          <w:sz w:val="19"/>
          <w:szCs w:val="19"/>
          <w:b w:val="1"/>
          <w:bCs w:val="1"/>
          <w:color w:val="231F20"/>
        </w:rPr>
        <w:t xml:space="preserve">3. BUSINESS ACQUISITIONS, DIVESTITURES, AND INVESTMENTS </w:t>
      </w:r>
      <w:r>
        <w:rPr>
          <w:rFonts w:ascii="Times New Roman" w:cs="Times New Roman" w:eastAsia="Times New Roman" w:hAnsi="Times New Roman"/>
          <w:sz w:val="19"/>
          <w:szCs w:val="19"/>
          <w:b w:val="1"/>
          <w:bCs w:val="1"/>
          <w:i w:val="1"/>
          <w:iCs w:val="1"/>
          <w:color w:val="231F20"/>
        </w:rPr>
        <w:t>Fiscal 2026 Acquisitions</w:t>
      </w:r>
    </w:p>
    <w:p>
      <w:pPr>
        <w:jc w:val="both"/>
        <w:ind w:right="140" w:firstLine="349"/>
        <w:spacing w:after="0" w:line="264" w:lineRule="auto"/>
        <w:rPr>
          <w:sz w:val="20"/>
          <w:szCs w:val="20"/>
          <w:color w:val="auto"/>
        </w:rPr>
      </w:pPr>
      <w:r>
        <w:rPr>
          <w:rFonts w:ascii="Times New Roman" w:cs="Times New Roman" w:eastAsia="Times New Roman" w:hAnsi="Times New Roman"/>
          <w:sz w:val="19"/>
          <w:szCs w:val="19"/>
          <w:color w:val="231F20"/>
        </w:rPr>
        <w:t>During fiscal 2026, we completed two tuck-in acquisitions, recorded at fair value, which continued to expand our product and service offerings in the Healthcare segment. Total aggregate consideration was approximately $23.4 million, including the fair value of potential contingent consideration.</w:t>
      </w:r>
    </w:p>
    <w:p>
      <w:pPr>
        <w:spacing w:after="0" w:line="7" w:lineRule="exact"/>
        <w:rPr>
          <w:sz w:val="20"/>
          <w:szCs w:val="20"/>
          <w:color w:val="auto"/>
        </w:rPr>
      </w:pPr>
    </w:p>
    <w:p>
      <w:pPr>
        <w:ind w:right="200" w:firstLine="349"/>
        <w:spacing w:after="0" w:line="264" w:lineRule="auto"/>
        <w:rPr>
          <w:sz w:val="20"/>
          <w:szCs w:val="20"/>
          <w:color w:val="auto"/>
        </w:rPr>
      </w:pPr>
      <w:r>
        <w:rPr>
          <w:rFonts w:ascii="Times New Roman" w:cs="Times New Roman" w:eastAsia="Times New Roman" w:hAnsi="Times New Roman"/>
          <w:sz w:val="19"/>
          <w:szCs w:val="19"/>
          <w:color w:val="231F20"/>
        </w:rPr>
        <w:t>Purchase price allocations are based on the latest draft valuations and remain preliminary. As we finalize the fair value of assets acquired and liabilities assumed, additional purchase price adjustments and associated deferred taxes may be recorded during the remaining measurement period, not to exceed one year from closing.</w:t>
      </w:r>
    </w:p>
    <w:p>
      <w:pPr>
        <w:sectPr>
          <w:pgSz w:w="11880" w:h="15480" w:orient="portrait"/>
          <w:cols w:equalWidth="0" w:num="1">
            <w:col w:w="9960"/>
          </w:cols>
          <w:pgMar w:left="960" w:top="25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68</w:t>
      </w:r>
    </w:p>
    <w:p>
      <w:pPr>
        <w:sectPr>
          <w:pgSz w:w="11880" w:h="15480" w:orient="portrait"/>
          <w:cols w:equalWidth="0" w:num="1">
            <w:col w:w="9960"/>
          </w:cols>
          <w:pgMar w:left="960" w:top="250" w:right="960" w:bottom="0" w:gutter="0" w:footer="0" w:header="0"/>
          <w:type w:val="continuous"/>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Fiscal 2026 Investments</w:t>
      </w:r>
    </w:p>
    <w:p>
      <w:pPr>
        <w:spacing w:after="0" w:line="128" w:lineRule="exact"/>
        <w:rPr>
          <w:sz w:val="20"/>
          <w:szCs w:val="20"/>
          <w:color w:val="auto"/>
        </w:rPr>
      </w:pPr>
    </w:p>
    <w:p>
      <w:pPr>
        <w:ind w:right="40" w:firstLine="349"/>
        <w:spacing w:after="0" w:line="250" w:lineRule="auto"/>
        <w:rPr>
          <w:sz w:val="20"/>
          <w:szCs w:val="20"/>
          <w:color w:val="auto"/>
        </w:rPr>
      </w:pPr>
      <w:r>
        <w:rPr>
          <w:rFonts w:ascii="Times New Roman" w:cs="Times New Roman" w:eastAsia="Times New Roman" w:hAnsi="Times New Roman"/>
          <w:sz w:val="19"/>
          <w:szCs w:val="19"/>
          <w:color w:val="231F20"/>
        </w:rPr>
        <w:t>During fiscal 2026, we purchased $134.0 million in investments, predominantly related to a noncontrolling equity investment representing an approximately one-third ownership interest in a non-U.S.-based healthcare product manufacturer accounted for under the equity method. In connection with the equity method investment, the Company entered into arrangements that provide rights (and, in certain cases, obligations) that could result in the Company acquiring the remaining equity interests in the investee upon the occurrence of specified events or conditions. The potential acquisition would be for a purchase price that is proportionate to the Company's initial investment, subject to customary working capital adjustments, on a debt</w:t>
      </w:r>
      <w:r>
        <w:rPr>
          <w:rFonts w:ascii="Arial" w:cs="Arial" w:eastAsia="Arial" w:hAnsi="Arial"/>
          <w:sz w:val="19"/>
          <w:szCs w:val="19"/>
          <w:color w:val="231F20"/>
        </w:rPr>
        <w:t>-</w:t>
      </w:r>
      <w:r>
        <w:rPr>
          <w:rFonts w:ascii="Times New Roman" w:cs="Times New Roman" w:eastAsia="Times New Roman" w:hAnsi="Times New Roman"/>
          <w:sz w:val="19"/>
          <w:szCs w:val="19"/>
          <w:color w:val="231F20"/>
        </w:rPr>
        <w:t>free, cash</w:t>
      </w:r>
      <w:r>
        <w:rPr>
          <w:rFonts w:ascii="Arial" w:cs="Arial" w:eastAsia="Arial" w:hAnsi="Arial"/>
          <w:sz w:val="19"/>
          <w:szCs w:val="19"/>
          <w:color w:val="231F20"/>
        </w:rPr>
        <w:t>-</w:t>
      </w:r>
      <w:r>
        <w:rPr>
          <w:rFonts w:ascii="Times New Roman" w:cs="Times New Roman" w:eastAsia="Times New Roman" w:hAnsi="Times New Roman"/>
          <w:sz w:val="19"/>
          <w:szCs w:val="19"/>
          <w:color w:val="231F20"/>
        </w:rPr>
        <w:t>free basis. The timing of such acquisition, if any, would depend on the terms of those arrangements and the satisfaction of the applicable conditions.</w:t>
      </w:r>
    </w:p>
    <w:p>
      <w:pPr>
        <w:spacing w:after="0" w:line="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231F20"/>
        </w:rPr>
        <w:t>Fiscal 2025 Acquisitions</w:t>
      </w:r>
    </w:p>
    <w:p>
      <w:pPr>
        <w:spacing w:after="0" w:line="128" w:lineRule="exact"/>
        <w:rPr>
          <w:sz w:val="20"/>
          <w:szCs w:val="20"/>
          <w:color w:val="auto"/>
        </w:rPr>
      </w:pPr>
    </w:p>
    <w:p>
      <w:pPr>
        <w:ind w:right="20" w:firstLine="349"/>
        <w:spacing w:after="0" w:line="282" w:lineRule="auto"/>
        <w:rPr>
          <w:sz w:val="20"/>
          <w:szCs w:val="20"/>
          <w:color w:val="auto"/>
        </w:rPr>
      </w:pPr>
      <w:r>
        <w:rPr>
          <w:rFonts w:ascii="Times New Roman" w:cs="Times New Roman" w:eastAsia="Times New Roman" w:hAnsi="Times New Roman"/>
          <w:sz w:val="19"/>
          <w:szCs w:val="19"/>
          <w:color w:val="231F20"/>
        </w:rPr>
        <w:t>During fiscal 2025, we completed several tuck-in acquisitions which continued to expand our product and service offerings in the Healthcare and AST segments. Total aggregate consideration was approximately $54.1 million.</w:t>
      </w:r>
    </w:p>
    <w:p>
      <w:pPr>
        <w:spacing w:after="0" w:line="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231F20"/>
        </w:rPr>
        <w:t>Fiscal 2024 Acquisitions</w:t>
      </w:r>
    </w:p>
    <w:p>
      <w:pPr>
        <w:spacing w:after="0" w:line="128" w:lineRule="exact"/>
        <w:rPr>
          <w:sz w:val="20"/>
          <w:szCs w:val="20"/>
          <w:color w:val="auto"/>
        </w:rPr>
      </w:pPr>
    </w:p>
    <w:p>
      <w:pPr>
        <w:jc w:val="both"/>
        <w:ind w:right="360" w:firstLine="349"/>
        <w:spacing w:after="0" w:line="264" w:lineRule="auto"/>
        <w:rPr>
          <w:sz w:val="20"/>
          <w:szCs w:val="20"/>
          <w:color w:val="auto"/>
        </w:rPr>
      </w:pPr>
      <w:r>
        <w:rPr>
          <w:rFonts w:ascii="Times New Roman" w:cs="Times New Roman" w:eastAsia="Times New Roman" w:hAnsi="Times New Roman"/>
          <w:sz w:val="19"/>
          <w:szCs w:val="19"/>
          <w:color w:val="231F20"/>
        </w:rPr>
        <w:t>On August 2, 2023 we purchased the surgical instrumentation, laparoscopic instrumentation and sterilization container assets from Becton, Dickinson and Company (NYSE: BDX) ("BD"). The acquired assets from BD were integrated into our Healthcare segment. The acquisition was accounted for as a business combination in accordance with ASC 805.</w:t>
      </w:r>
    </w:p>
    <w:p>
      <w:pPr>
        <w:spacing w:after="0" w:line="7" w:lineRule="exact"/>
        <w:rPr>
          <w:sz w:val="20"/>
          <w:szCs w:val="20"/>
          <w:color w:val="auto"/>
        </w:rPr>
      </w:pPr>
    </w:p>
    <w:p>
      <w:pPr>
        <w:ind w:right="240" w:firstLine="349"/>
        <w:spacing w:after="0" w:line="264" w:lineRule="auto"/>
        <w:rPr>
          <w:sz w:val="20"/>
          <w:szCs w:val="20"/>
          <w:color w:val="auto"/>
        </w:rPr>
      </w:pPr>
      <w:r>
        <w:rPr>
          <w:rFonts w:ascii="Times New Roman" w:cs="Times New Roman" w:eastAsia="Times New Roman" w:hAnsi="Times New Roman"/>
          <w:sz w:val="19"/>
          <w:szCs w:val="19"/>
          <w:color w:val="231F20"/>
        </w:rPr>
        <w:t>The purchase price of the acquisition was $539.8 million. The acquisition also qualified for a tax benefit related to tax deductible goodwill, with a present value of approximately $60.0 million. The purchase price of the acquisition was financed with borrowings from our existing credit facility. For more information, refer to Note 8 titled, "Debt."</w:t>
      </w:r>
    </w:p>
    <w:p>
      <w:pPr>
        <w:spacing w:after="0" w:line="65" w:lineRule="exact"/>
        <w:rPr>
          <w:sz w:val="20"/>
          <w:szCs w:val="20"/>
          <w:color w:val="auto"/>
        </w:rPr>
      </w:pPr>
    </w:p>
    <w:p>
      <w:pPr>
        <w:ind w:firstLine="349"/>
        <w:spacing w:after="0" w:line="264" w:lineRule="auto"/>
        <w:rPr>
          <w:sz w:val="20"/>
          <w:szCs w:val="20"/>
          <w:color w:val="auto"/>
        </w:rPr>
      </w:pPr>
      <w:r>
        <w:rPr>
          <w:rFonts w:ascii="Times New Roman" w:cs="Times New Roman" w:eastAsia="Times New Roman" w:hAnsi="Times New Roman"/>
          <w:sz w:val="19"/>
          <w:szCs w:val="19"/>
          <w:color w:val="231F20"/>
        </w:rPr>
        <w:t>In addition to the acquisition of assets from BD, we completed two tuck-in acquisitions during fiscal 2024, which expanded our product and service offerings in the AST and Healthcare segments. Total aggregate consideration was approximately $6.9 million, net of cash acquired.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Fair Value of Assets Acquired and Liabilities Assumed in Business Combinations</w:t>
      </w:r>
    </w:p>
    <w:p>
      <w:pPr>
        <w:spacing w:after="0" w:line="138" w:lineRule="exact"/>
        <w:rPr>
          <w:sz w:val="20"/>
          <w:szCs w:val="20"/>
          <w:color w:val="auto"/>
        </w:rPr>
      </w:pPr>
    </w:p>
    <w:p>
      <w:pPr>
        <w:ind w:right="540" w:firstLine="349"/>
        <w:spacing w:after="0" w:line="293" w:lineRule="auto"/>
        <w:rPr>
          <w:sz w:val="20"/>
          <w:szCs w:val="20"/>
          <w:color w:val="auto"/>
        </w:rPr>
      </w:pPr>
      <w:r>
        <w:rPr>
          <w:rFonts w:ascii="Times New Roman" w:cs="Times New Roman" w:eastAsia="Times New Roman" w:hAnsi="Times New Roman"/>
          <w:sz w:val="19"/>
          <w:szCs w:val="19"/>
          <w:color w:val="231F20"/>
        </w:rPr>
        <w:t>The table below summarizes the allocation of the purchase price to the net assets acquired based on fair values at the acquisition dates for our fiscal 2026, 2025, and 2024 acquisitions.</w:t>
      </w:r>
    </w:p>
    <w:p>
      <w:pPr>
        <w:spacing w:after="0" w:line="84" w:lineRule="exact"/>
        <w:rPr>
          <w:sz w:val="20"/>
          <w:szCs w:val="20"/>
          <w:color w:val="auto"/>
        </w:rPr>
      </w:pPr>
    </w:p>
    <w:tbl>
      <w:tblPr>
        <w:tblLayout w:type="fixed"/>
        <w:tblInd w:w="60" w:type="dxa"/>
        <w:tblCellMar>
          <w:top w:w="0" w:type="dxa"/>
          <w:left w:w="0" w:type="dxa"/>
          <w:bottom w:w="0" w:type="dxa"/>
          <w:right w:w="0" w:type="dxa"/>
        </w:tblCellMar>
      </w:tblPr>
      <w:tr>
        <w:trPr>
          <w:trHeight w:val="287"/>
        </w:trPr>
        <w:tc>
          <w:tcPr>
            <w:tcW w:w="2500" w:type="dxa"/>
            <w:vAlign w:val="bottom"/>
          </w:tcPr>
          <w:p>
            <w:pPr>
              <w:spacing w:after="0"/>
              <w:rPr>
                <w:sz w:val="20"/>
                <w:szCs w:val="20"/>
                <w:color w:val="auto"/>
              </w:rPr>
            </w:pPr>
            <w:r>
              <w:rPr>
                <w:rFonts w:ascii="Times New Roman" w:cs="Times New Roman" w:eastAsia="Times New Roman" w:hAnsi="Times New Roman"/>
                <w:sz w:val="19"/>
                <w:szCs w:val="19"/>
                <w:color w:val="231F20"/>
              </w:rPr>
              <w:t>(in millions)</w:t>
            </w:r>
          </w:p>
        </w:tc>
        <w:tc>
          <w:tcPr>
            <w:tcW w:w="1740" w:type="dxa"/>
            <w:vAlign w:val="bottom"/>
            <w:tcBorders>
              <w:bottom w:val="single" w:sz="8" w:color="231F20"/>
            </w:tcBorders>
            <w:gridSpan w:val="2"/>
          </w:tcPr>
          <w:p>
            <w:pPr>
              <w:jc w:val="right"/>
              <w:ind w:right="3"/>
              <w:spacing w:after="0"/>
              <w:rPr>
                <w:sz w:val="20"/>
                <w:szCs w:val="20"/>
                <w:color w:val="auto"/>
              </w:rPr>
            </w:pPr>
            <w:r>
              <w:rPr>
                <w:rFonts w:ascii="Times New Roman" w:cs="Times New Roman" w:eastAsia="Times New Roman" w:hAnsi="Times New Roman"/>
                <w:sz w:val="19"/>
                <w:szCs w:val="19"/>
                <w:b w:val="1"/>
                <w:bCs w:val="1"/>
                <w:color w:val="231F20"/>
              </w:rPr>
              <w:t xml:space="preserve">Fiscal Year 2026 </w:t>
            </w:r>
            <w:r>
              <w:rPr>
                <w:rFonts w:ascii="Times New Roman" w:cs="Times New Roman" w:eastAsia="Times New Roman" w:hAnsi="Times New Roman"/>
                <w:sz w:val="25"/>
                <w:szCs w:val="25"/>
                <w:b w:val="1"/>
                <w:bCs w:val="1"/>
                <w:color w:val="231F20"/>
                <w:vertAlign w:val="superscript"/>
              </w:rPr>
              <w:t>(1)</w:t>
            </w:r>
          </w:p>
        </w:tc>
        <w:tc>
          <w:tcPr>
            <w:tcW w:w="80" w:type="dxa"/>
            <w:vAlign w:val="bottom"/>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1580" w:type="dxa"/>
            <w:vAlign w:val="bottom"/>
            <w:tcBorders>
              <w:bottom w:val="single" w:sz="8" w:color="231F20"/>
            </w:tcBorders>
          </w:tcPr>
          <w:p>
            <w:pPr>
              <w:jc w:val="right"/>
              <w:ind w:right="83"/>
              <w:spacing w:after="0"/>
              <w:rPr>
                <w:sz w:val="20"/>
                <w:szCs w:val="20"/>
                <w:color w:val="auto"/>
              </w:rPr>
            </w:pPr>
            <w:r>
              <w:rPr>
                <w:rFonts w:ascii="Times New Roman" w:cs="Times New Roman" w:eastAsia="Times New Roman" w:hAnsi="Times New Roman"/>
                <w:sz w:val="19"/>
                <w:szCs w:val="19"/>
                <w:b w:val="1"/>
                <w:bCs w:val="1"/>
                <w:color w:val="231F20"/>
              </w:rPr>
              <w:t>Fiscal Year 2025</w:t>
            </w:r>
          </w:p>
        </w:tc>
        <w:tc>
          <w:tcPr>
            <w:tcW w:w="60" w:type="dxa"/>
            <w:vAlign w:val="bottom"/>
          </w:tcPr>
          <w:p>
            <w:pPr>
              <w:spacing w:after="0"/>
              <w:rPr>
                <w:sz w:val="24"/>
                <w:szCs w:val="24"/>
                <w:color w:val="auto"/>
              </w:rPr>
            </w:pPr>
          </w:p>
        </w:tc>
        <w:tc>
          <w:tcPr>
            <w:tcW w:w="440" w:type="dxa"/>
            <w:vAlign w:val="bottom"/>
            <w:tcBorders>
              <w:bottom w:val="single" w:sz="8" w:color="231F20"/>
            </w:tcBorders>
          </w:tcPr>
          <w:p>
            <w:pPr>
              <w:spacing w:after="0"/>
              <w:rPr>
                <w:sz w:val="24"/>
                <w:szCs w:val="24"/>
                <w:color w:val="auto"/>
              </w:rPr>
            </w:pPr>
          </w:p>
        </w:tc>
        <w:tc>
          <w:tcPr>
            <w:tcW w:w="3060" w:type="dxa"/>
            <w:vAlign w:val="bottom"/>
            <w:tcBorders>
              <w:bottom w:val="single" w:sz="8" w:color="231F20"/>
            </w:tcBorders>
            <w:gridSpan w:val="3"/>
          </w:tcPr>
          <w:p>
            <w:pPr>
              <w:jc w:val="right"/>
              <w:ind w:right="983"/>
              <w:spacing w:after="0"/>
              <w:rPr>
                <w:sz w:val="20"/>
                <w:szCs w:val="20"/>
                <w:color w:val="auto"/>
              </w:rPr>
            </w:pPr>
            <w:r>
              <w:rPr>
                <w:rFonts w:ascii="Times New Roman" w:cs="Times New Roman" w:eastAsia="Times New Roman" w:hAnsi="Times New Roman"/>
                <w:sz w:val="19"/>
                <w:szCs w:val="19"/>
                <w:b w:val="1"/>
                <w:bCs w:val="1"/>
                <w:color w:val="231F20"/>
              </w:rPr>
              <w:t>Fiscal Year 2024</w:t>
            </w:r>
          </w:p>
        </w:tc>
        <w:tc>
          <w:tcPr>
            <w:tcW w:w="0" w:type="dxa"/>
            <w:vAlign w:val="bottom"/>
          </w:tcPr>
          <w:p>
            <w:pPr>
              <w:spacing w:after="0"/>
              <w:rPr>
                <w:sz w:val="1"/>
                <w:szCs w:val="1"/>
                <w:color w:val="auto"/>
              </w:rPr>
            </w:pPr>
          </w:p>
        </w:tc>
      </w:tr>
      <w:tr>
        <w:trPr>
          <w:trHeight w:val="372"/>
        </w:trPr>
        <w:tc>
          <w:tcPr>
            <w:tcW w:w="2500" w:type="dxa"/>
            <w:vAlign w:val="bottom"/>
            <w:tcBorders>
              <w:right w:val="single" w:sz="8" w:color="231F20"/>
            </w:tcBorders>
            <w:vMerge w:val="restart"/>
          </w:tcPr>
          <w:p>
            <w:pPr>
              <w:spacing w:after="0"/>
              <w:rPr>
                <w:sz w:val="20"/>
                <w:szCs w:val="20"/>
                <w:color w:val="auto"/>
              </w:rPr>
            </w:pPr>
            <w:r>
              <w:rPr>
                <w:rFonts w:ascii="Times New Roman" w:cs="Times New Roman" w:eastAsia="Times New Roman" w:hAnsi="Times New Roman"/>
                <w:sz w:val="19"/>
                <w:szCs w:val="19"/>
                <w:color w:val="231F20"/>
              </w:rPr>
              <w:t>Cash</w:t>
            </w:r>
          </w:p>
        </w:tc>
        <w:tc>
          <w:tcPr>
            <w:tcW w:w="200" w:type="dxa"/>
            <w:vAlign w:val="bottom"/>
            <w:tcBorders>
              <w:bottom w:val="single" w:sz="8" w:color="231F20"/>
            </w:tcBorders>
          </w:tcPr>
          <w:p>
            <w:pPr>
              <w:spacing w:after="0"/>
              <w:rPr>
                <w:sz w:val="24"/>
                <w:szCs w:val="24"/>
                <w:color w:val="auto"/>
              </w:rPr>
            </w:pPr>
          </w:p>
        </w:tc>
        <w:tc>
          <w:tcPr>
            <w:tcW w:w="1540" w:type="dxa"/>
            <w:vAlign w:val="bottom"/>
            <w:tcBorders>
              <w:bottom w:val="single" w:sz="8" w:color="231F20"/>
              <w:right w:val="single" w:sz="8" w:color="231F20"/>
            </w:tcBorders>
          </w:tcPr>
          <w:p>
            <w:pPr>
              <w:jc w:val="right"/>
              <w:ind w:right="123"/>
              <w:spacing w:after="0"/>
              <w:rPr>
                <w:sz w:val="20"/>
                <w:szCs w:val="20"/>
                <w:color w:val="auto"/>
              </w:rPr>
            </w:pPr>
            <w:r>
              <w:rPr>
                <w:rFonts w:ascii="Times New Roman" w:cs="Times New Roman" w:eastAsia="Times New Roman" w:hAnsi="Times New Roman"/>
                <w:sz w:val="19"/>
                <w:szCs w:val="19"/>
                <w:color w:val="231F20"/>
              </w:rPr>
              <w:t>All Acquisitions</w:t>
            </w:r>
          </w:p>
        </w:tc>
        <w:tc>
          <w:tcPr>
            <w:tcW w:w="80" w:type="dxa"/>
            <w:vAlign w:val="bottom"/>
            <w:tcBorders>
              <w:right w:val="single" w:sz="8" w:color="231F20"/>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1580" w:type="dxa"/>
            <w:vAlign w:val="bottom"/>
            <w:tcBorders>
              <w:bottom w:val="single" w:sz="8" w:color="231F20"/>
              <w:right w:val="single" w:sz="8" w:color="231F20"/>
            </w:tcBorders>
          </w:tcPr>
          <w:p>
            <w:pPr>
              <w:jc w:val="right"/>
              <w:ind w:right="123"/>
              <w:spacing w:after="0"/>
              <w:rPr>
                <w:sz w:val="20"/>
                <w:szCs w:val="20"/>
                <w:color w:val="auto"/>
              </w:rPr>
            </w:pPr>
            <w:r>
              <w:rPr>
                <w:rFonts w:ascii="Times New Roman" w:cs="Times New Roman" w:eastAsia="Times New Roman" w:hAnsi="Times New Roman"/>
                <w:sz w:val="19"/>
                <w:szCs w:val="19"/>
                <w:color w:val="231F20"/>
              </w:rPr>
              <w:t>All Acquisitions</w:t>
            </w:r>
          </w:p>
        </w:tc>
        <w:tc>
          <w:tcPr>
            <w:tcW w:w="60" w:type="dxa"/>
            <w:vAlign w:val="bottom"/>
            <w:tcBorders>
              <w:right w:val="single" w:sz="8" w:color="231F20"/>
            </w:tcBorders>
          </w:tcPr>
          <w:p>
            <w:pPr>
              <w:spacing w:after="0"/>
              <w:rPr>
                <w:sz w:val="24"/>
                <w:szCs w:val="24"/>
                <w:color w:val="auto"/>
              </w:rPr>
            </w:pPr>
          </w:p>
        </w:tc>
        <w:tc>
          <w:tcPr>
            <w:tcW w:w="440" w:type="dxa"/>
            <w:vAlign w:val="bottom"/>
            <w:tcBorders>
              <w:bottom w:val="single" w:sz="8" w:color="231F20"/>
            </w:tcBorders>
          </w:tcPr>
          <w:p>
            <w:pPr>
              <w:spacing w:after="0"/>
              <w:rPr>
                <w:sz w:val="24"/>
                <w:szCs w:val="24"/>
                <w:color w:val="auto"/>
              </w:rPr>
            </w:pPr>
          </w:p>
        </w:tc>
        <w:tc>
          <w:tcPr>
            <w:tcW w:w="1320" w:type="dxa"/>
            <w:vAlign w:val="bottom"/>
            <w:tcBorders>
              <w:bottom w:val="single" w:sz="8" w:color="231F20"/>
            </w:tcBorders>
          </w:tcPr>
          <w:p>
            <w:pPr>
              <w:jc w:val="right"/>
              <w:ind w:right="643"/>
              <w:spacing w:after="0"/>
              <w:rPr>
                <w:sz w:val="20"/>
                <w:szCs w:val="20"/>
                <w:color w:val="auto"/>
              </w:rPr>
            </w:pPr>
            <w:r>
              <w:rPr>
                <w:rFonts w:ascii="Times New Roman" w:cs="Times New Roman" w:eastAsia="Times New Roman" w:hAnsi="Times New Roman"/>
                <w:sz w:val="19"/>
                <w:szCs w:val="19"/>
                <w:color w:val="231F20"/>
              </w:rPr>
              <w:t>BD</w:t>
            </w:r>
          </w:p>
        </w:tc>
        <w:tc>
          <w:tcPr>
            <w:tcW w:w="140" w:type="dxa"/>
            <w:vAlign w:val="bottom"/>
            <w:tcBorders>
              <w:bottom w:val="single" w:sz="8" w:color="231F20"/>
            </w:tcBorders>
          </w:tcPr>
          <w:p>
            <w:pPr>
              <w:spacing w:after="0"/>
              <w:rPr>
                <w:sz w:val="24"/>
                <w:szCs w:val="24"/>
                <w:color w:val="auto"/>
              </w:rPr>
            </w:pPr>
          </w:p>
        </w:tc>
        <w:tc>
          <w:tcPr>
            <w:tcW w:w="1600" w:type="dxa"/>
            <w:vAlign w:val="bottom"/>
            <w:tcBorders>
              <w:bottom w:val="single" w:sz="8" w:color="231F20"/>
              <w:right w:val="single" w:sz="8" w:color="231F20"/>
            </w:tcBorders>
          </w:tcPr>
          <w:p>
            <w:pPr>
              <w:jc w:val="right"/>
              <w:ind w:right="43"/>
              <w:spacing w:after="0"/>
              <w:rPr>
                <w:sz w:val="20"/>
                <w:szCs w:val="20"/>
                <w:color w:val="auto"/>
              </w:rPr>
            </w:pPr>
            <w:r>
              <w:rPr>
                <w:rFonts w:ascii="Times New Roman" w:cs="Times New Roman" w:eastAsia="Times New Roman" w:hAnsi="Times New Roman"/>
                <w:sz w:val="19"/>
                <w:szCs w:val="19"/>
                <w:color w:val="231F20"/>
                <w:w w:val="99"/>
              </w:rPr>
              <w:t>Other Acquisitions</w:t>
            </w:r>
          </w:p>
        </w:tc>
        <w:tc>
          <w:tcPr>
            <w:tcW w:w="0" w:type="dxa"/>
            <w:vAlign w:val="bottom"/>
          </w:tcPr>
          <w:p>
            <w:pPr>
              <w:spacing w:after="0"/>
              <w:rPr>
                <w:sz w:val="1"/>
                <w:szCs w:val="1"/>
                <w:color w:val="auto"/>
              </w:rPr>
            </w:pPr>
          </w:p>
        </w:tc>
      </w:tr>
      <w:tr>
        <w:trPr>
          <w:trHeight w:val="257"/>
        </w:trPr>
        <w:tc>
          <w:tcPr>
            <w:tcW w:w="2500" w:type="dxa"/>
            <w:vAlign w:val="bottom"/>
            <w:tcBorders>
              <w:right w:val="single" w:sz="8" w:color="231F20"/>
            </w:tcBorders>
            <w:vMerge w:val="continue"/>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15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0.4</w:t>
            </w:r>
          </w:p>
        </w:tc>
        <w:tc>
          <w:tcPr>
            <w:tcW w:w="80" w:type="dxa"/>
            <w:vAlign w:val="bottom"/>
            <w:tcBorders>
              <w:right w:val="single" w:sz="8" w:color="231F20"/>
            </w:tcBorders>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58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60" w:type="dxa"/>
            <w:vAlign w:val="bottom"/>
            <w:tcBorders>
              <w:right w:val="single" w:sz="8" w:color="231F20"/>
            </w:tcBorders>
          </w:tcPr>
          <w:p>
            <w:pPr>
              <w:spacing w:after="0"/>
              <w:rPr>
                <w:sz w:val="22"/>
                <w:szCs w:val="22"/>
                <w:color w:val="auto"/>
              </w:rPr>
            </w:pPr>
          </w:p>
        </w:tc>
        <w:tc>
          <w:tcPr>
            <w:tcW w:w="44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231F20"/>
              </w:rPr>
              <w:t>$</w:t>
            </w: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231F20"/>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600" w:type="dxa"/>
            <w:vAlign w:val="bottom"/>
            <w:tcBorders>
              <w:right w:val="single" w:sz="8" w:color="231F20"/>
            </w:tcBorders>
          </w:tcPr>
          <w:p>
            <w:pPr>
              <w:jc w:val="right"/>
              <w:ind w:right="3"/>
              <w:spacing w:after="0"/>
              <w:rPr>
                <w:sz w:val="20"/>
                <w:szCs w:val="20"/>
                <w:color w:val="auto"/>
              </w:rPr>
            </w:pPr>
            <w:r>
              <w:rPr>
                <w:rFonts w:ascii="Times New Roman" w:cs="Times New Roman" w:eastAsia="Times New Roman" w:hAnsi="Times New Roman"/>
                <w:sz w:val="19"/>
                <w:szCs w:val="19"/>
                <w:color w:val="231F20"/>
              </w:rPr>
              <w:t>0.4</w:t>
            </w:r>
          </w:p>
        </w:tc>
        <w:tc>
          <w:tcPr>
            <w:tcW w:w="0" w:type="dxa"/>
            <w:vAlign w:val="bottom"/>
          </w:tcPr>
          <w:p>
            <w:pPr>
              <w:spacing w:after="0"/>
              <w:rPr>
                <w:sz w:val="1"/>
                <w:szCs w:val="1"/>
                <w:color w:val="auto"/>
              </w:rPr>
            </w:pPr>
          </w:p>
        </w:tc>
      </w:tr>
      <w:tr>
        <w:trPr>
          <w:trHeight w:val="259"/>
        </w:trPr>
        <w:tc>
          <w:tcPr>
            <w:tcW w:w="250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9"/>
                <w:szCs w:val="19"/>
                <w:color w:val="231F20"/>
              </w:rPr>
              <w:t>Accounts receivable</w:t>
            </w:r>
          </w:p>
        </w:tc>
        <w:tc>
          <w:tcPr>
            <w:tcW w:w="200" w:type="dxa"/>
            <w:vAlign w:val="bottom"/>
          </w:tcPr>
          <w:p>
            <w:pPr>
              <w:spacing w:after="0"/>
              <w:rPr>
                <w:sz w:val="22"/>
                <w:szCs w:val="22"/>
                <w:color w:val="auto"/>
              </w:rPr>
            </w:pPr>
          </w:p>
        </w:tc>
        <w:tc>
          <w:tcPr>
            <w:tcW w:w="15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5.0</w:t>
            </w:r>
          </w:p>
        </w:tc>
        <w:tc>
          <w:tcPr>
            <w:tcW w:w="80" w:type="dxa"/>
            <w:vAlign w:val="bottom"/>
            <w:tcBorders>
              <w:right w:val="single" w:sz="8" w:color="231F20"/>
            </w:tcBorders>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1.3</w:t>
            </w:r>
          </w:p>
        </w:tc>
        <w:tc>
          <w:tcPr>
            <w:tcW w:w="60" w:type="dxa"/>
            <w:vAlign w:val="bottom"/>
            <w:tcBorders>
              <w:right w:val="single" w:sz="8" w:color="231F20"/>
            </w:tcBorders>
          </w:tcPr>
          <w:p>
            <w:pPr>
              <w:spacing w:after="0"/>
              <w:rPr>
                <w:sz w:val="22"/>
                <w:szCs w:val="22"/>
                <w:color w:val="auto"/>
              </w:rPr>
            </w:pPr>
          </w:p>
        </w:tc>
        <w:tc>
          <w:tcPr>
            <w:tcW w:w="440" w:type="dxa"/>
            <w:vAlign w:val="bottom"/>
          </w:tcPr>
          <w:p>
            <w:pPr>
              <w:spacing w:after="0"/>
              <w:rPr>
                <w:sz w:val="22"/>
                <w:szCs w:val="22"/>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231F20"/>
              </w:rPr>
              <w:t>—</w:t>
            </w:r>
          </w:p>
        </w:tc>
        <w:tc>
          <w:tcPr>
            <w:tcW w:w="140" w:type="dxa"/>
            <w:vAlign w:val="bottom"/>
          </w:tcPr>
          <w:p>
            <w:pPr>
              <w:spacing w:after="0"/>
              <w:rPr>
                <w:sz w:val="22"/>
                <w:szCs w:val="22"/>
                <w:color w:val="auto"/>
              </w:rPr>
            </w:pPr>
          </w:p>
        </w:tc>
        <w:tc>
          <w:tcPr>
            <w:tcW w:w="1600" w:type="dxa"/>
            <w:vAlign w:val="bottom"/>
            <w:tcBorders>
              <w:right w:val="single" w:sz="8" w:color="231F20"/>
            </w:tcBorders>
          </w:tcPr>
          <w:p>
            <w:pPr>
              <w:jc w:val="right"/>
              <w:ind w:right="3"/>
              <w:spacing w:after="0"/>
              <w:rPr>
                <w:sz w:val="20"/>
                <w:szCs w:val="20"/>
                <w:color w:val="auto"/>
              </w:rPr>
            </w:pPr>
            <w:r>
              <w:rPr>
                <w:rFonts w:ascii="Times New Roman" w:cs="Times New Roman" w:eastAsia="Times New Roman" w:hAnsi="Times New Roman"/>
                <w:sz w:val="19"/>
                <w:szCs w:val="19"/>
                <w:color w:val="231F20"/>
              </w:rPr>
              <w:t>1.5</w:t>
            </w:r>
          </w:p>
        </w:tc>
        <w:tc>
          <w:tcPr>
            <w:tcW w:w="0" w:type="dxa"/>
            <w:vAlign w:val="bottom"/>
          </w:tcPr>
          <w:p>
            <w:pPr>
              <w:spacing w:after="0"/>
              <w:rPr>
                <w:sz w:val="1"/>
                <w:szCs w:val="1"/>
                <w:color w:val="auto"/>
              </w:rPr>
            </w:pPr>
          </w:p>
        </w:tc>
      </w:tr>
      <w:tr>
        <w:trPr>
          <w:trHeight w:val="291"/>
        </w:trPr>
        <w:tc>
          <w:tcPr>
            <w:tcW w:w="250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9"/>
                <w:szCs w:val="19"/>
                <w:color w:val="231F20"/>
              </w:rPr>
              <w:t>Inventory</w:t>
            </w:r>
          </w:p>
        </w:tc>
        <w:tc>
          <w:tcPr>
            <w:tcW w:w="200" w:type="dxa"/>
            <w:vAlign w:val="bottom"/>
          </w:tcPr>
          <w:p>
            <w:pPr>
              <w:spacing w:after="0"/>
              <w:rPr>
                <w:sz w:val="24"/>
                <w:szCs w:val="24"/>
                <w:color w:val="auto"/>
              </w:rPr>
            </w:pPr>
          </w:p>
        </w:tc>
        <w:tc>
          <w:tcPr>
            <w:tcW w:w="15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12.2</w:t>
            </w:r>
          </w:p>
        </w:tc>
        <w:tc>
          <w:tcPr>
            <w:tcW w:w="80" w:type="dxa"/>
            <w:vAlign w:val="bottom"/>
            <w:tcBorders>
              <w:right w:val="single" w:sz="8" w:color="231F20"/>
            </w:tcBorders>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1.2</w:t>
            </w:r>
          </w:p>
        </w:tc>
        <w:tc>
          <w:tcPr>
            <w:tcW w:w="60" w:type="dxa"/>
            <w:vAlign w:val="bottom"/>
            <w:tcBorders>
              <w:right w:val="single" w:sz="8" w:color="231F20"/>
            </w:tcBorders>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231F20"/>
              </w:rPr>
              <w:t>31.8</w:t>
            </w:r>
          </w:p>
        </w:tc>
        <w:tc>
          <w:tcPr>
            <w:tcW w:w="140" w:type="dxa"/>
            <w:vAlign w:val="bottom"/>
          </w:tcPr>
          <w:p>
            <w:pPr>
              <w:spacing w:after="0"/>
              <w:rPr>
                <w:sz w:val="24"/>
                <w:szCs w:val="24"/>
                <w:color w:val="auto"/>
              </w:rPr>
            </w:pPr>
          </w:p>
        </w:tc>
        <w:tc>
          <w:tcPr>
            <w:tcW w:w="1600" w:type="dxa"/>
            <w:vAlign w:val="bottom"/>
            <w:tcBorders>
              <w:right w:val="single" w:sz="8" w:color="231F20"/>
            </w:tcBorders>
          </w:tcPr>
          <w:p>
            <w:pPr>
              <w:jc w:val="right"/>
              <w:ind w:right="3"/>
              <w:spacing w:after="0"/>
              <w:rPr>
                <w:sz w:val="20"/>
                <w:szCs w:val="20"/>
                <w:color w:val="auto"/>
              </w:rPr>
            </w:pPr>
            <w:r>
              <w:rPr>
                <w:rFonts w:ascii="Times New Roman" w:cs="Times New Roman" w:eastAsia="Times New Roman" w:hAnsi="Times New Roman"/>
                <w:sz w:val="19"/>
                <w:szCs w:val="19"/>
                <w:color w:val="231F20"/>
              </w:rPr>
              <w:t>0.7</w:t>
            </w:r>
          </w:p>
        </w:tc>
        <w:tc>
          <w:tcPr>
            <w:tcW w:w="0" w:type="dxa"/>
            <w:vAlign w:val="bottom"/>
          </w:tcPr>
          <w:p>
            <w:pPr>
              <w:spacing w:after="0"/>
              <w:rPr>
                <w:sz w:val="1"/>
                <w:szCs w:val="1"/>
                <w:color w:val="auto"/>
              </w:rPr>
            </w:pPr>
          </w:p>
        </w:tc>
      </w:tr>
      <w:tr>
        <w:trPr>
          <w:trHeight w:val="291"/>
        </w:trPr>
        <w:tc>
          <w:tcPr>
            <w:tcW w:w="250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9"/>
                <w:szCs w:val="19"/>
                <w:color w:val="231F20"/>
              </w:rPr>
              <w:t>Property, plant, and equipment</w:t>
            </w:r>
          </w:p>
        </w:tc>
        <w:tc>
          <w:tcPr>
            <w:tcW w:w="200" w:type="dxa"/>
            <w:vAlign w:val="bottom"/>
          </w:tcPr>
          <w:p>
            <w:pPr>
              <w:spacing w:after="0"/>
              <w:rPr>
                <w:sz w:val="24"/>
                <w:szCs w:val="24"/>
                <w:color w:val="auto"/>
              </w:rPr>
            </w:pPr>
          </w:p>
        </w:tc>
        <w:tc>
          <w:tcPr>
            <w:tcW w:w="15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2.9</w:t>
            </w:r>
          </w:p>
        </w:tc>
        <w:tc>
          <w:tcPr>
            <w:tcW w:w="80" w:type="dxa"/>
            <w:vAlign w:val="bottom"/>
            <w:tcBorders>
              <w:right w:val="single" w:sz="8" w:color="231F20"/>
            </w:tcBorders>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21.2</w:t>
            </w:r>
          </w:p>
        </w:tc>
        <w:tc>
          <w:tcPr>
            <w:tcW w:w="60" w:type="dxa"/>
            <w:vAlign w:val="bottom"/>
            <w:tcBorders>
              <w:right w:val="single" w:sz="8" w:color="231F20"/>
            </w:tcBorders>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231F20"/>
              </w:rPr>
              <w:t>7.9</w:t>
            </w:r>
          </w:p>
        </w:tc>
        <w:tc>
          <w:tcPr>
            <w:tcW w:w="140" w:type="dxa"/>
            <w:vAlign w:val="bottom"/>
          </w:tcPr>
          <w:p>
            <w:pPr>
              <w:spacing w:after="0"/>
              <w:rPr>
                <w:sz w:val="24"/>
                <w:szCs w:val="24"/>
                <w:color w:val="auto"/>
              </w:rPr>
            </w:pPr>
          </w:p>
        </w:tc>
        <w:tc>
          <w:tcPr>
            <w:tcW w:w="1600" w:type="dxa"/>
            <w:vAlign w:val="bottom"/>
            <w:tcBorders>
              <w:right w:val="single" w:sz="8" w:color="231F20"/>
            </w:tcBorders>
          </w:tcPr>
          <w:p>
            <w:pPr>
              <w:jc w:val="right"/>
              <w:ind w:right="3"/>
              <w:spacing w:after="0"/>
              <w:rPr>
                <w:sz w:val="20"/>
                <w:szCs w:val="20"/>
                <w:color w:val="auto"/>
              </w:rPr>
            </w:pPr>
            <w:r>
              <w:rPr>
                <w:rFonts w:ascii="Times New Roman" w:cs="Times New Roman" w:eastAsia="Times New Roman" w:hAnsi="Times New Roman"/>
                <w:sz w:val="19"/>
                <w:szCs w:val="19"/>
                <w:color w:val="231F20"/>
              </w:rPr>
              <w:t>0.2</w:t>
            </w:r>
          </w:p>
        </w:tc>
        <w:tc>
          <w:tcPr>
            <w:tcW w:w="0" w:type="dxa"/>
            <w:vAlign w:val="bottom"/>
          </w:tcPr>
          <w:p>
            <w:pPr>
              <w:spacing w:after="0"/>
              <w:rPr>
                <w:sz w:val="1"/>
                <w:szCs w:val="1"/>
                <w:color w:val="auto"/>
              </w:rPr>
            </w:pPr>
          </w:p>
        </w:tc>
      </w:tr>
      <w:tr>
        <w:trPr>
          <w:trHeight w:val="291"/>
        </w:trPr>
        <w:tc>
          <w:tcPr>
            <w:tcW w:w="250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9"/>
                <w:szCs w:val="19"/>
                <w:color w:val="231F20"/>
              </w:rPr>
              <w:t>Lease right-of-use assets, net</w:t>
            </w:r>
          </w:p>
        </w:tc>
        <w:tc>
          <w:tcPr>
            <w:tcW w:w="200" w:type="dxa"/>
            <w:vAlign w:val="bottom"/>
          </w:tcPr>
          <w:p>
            <w:pPr>
              <w:spacing w:after="0"/>
              <w:rPr>
                <w:sz w:val="24"/>
                <w:szCs w:val="24"/>
                <w:color w:val="auto"/>
              </w:rPr>
            </w:pPr>
          </w:p>
        </w:tc>
        <w:tc>
          <w:tcPr>
            <w:tcW w:w="15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1.0</w:t>
            </w:r>
          </w:p>
        </w:tc>
        <w:tc>
          <w:tcPr>
            <w:tcW w:w="80" w:type="dxa"/>
            <w:vAlign w:val="bottom"/>
            <w:tcBorders>
              <w:right w:val="single" w:sz="8" w:color="231F20"/>
            </w:tcBorders>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4.6</w:t>
            </w:r>
          </w:p>
        </w:tc>
        <w:tc>
          <w:tcPr>
            <w:tcW w:w="60" w:type="dxa"/>
            <w:vAlign w:val="bottom"/>
            <w:tcBorders>
              <w:right w:val="single" w:sz="8" w:color="231F20"/>
            </w:tcBorders>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231F20"/>
              </w:rPr>
              <w:t>1.7</w:t>
            </w:r>
          </w:p>
        </w:tc>
        <w:tc>
          <w:tcPr>
            <w:tcW w:w="140" w:type="dxa"/>
            <w:vAlign w:val="bottom"/>
          </w:tcPr>
          <w:p>
            <w:pPr>
              <w:spacing w:after="0"/>
              <w:rPr>
                <w:sz w:val="24"/>
                <w:szCs w:val="24"/>
                <w:color w:val="auto"/>
              </w:rPr>
            </w:pPr>
          </w:p>
        </w:tc>
        <w:tc>
          <w:tcPr>
            <w:tcW w:w="1600" w:type="dxa"/>
            <w:vAlign w:val="bottom"/>
            <w:tcBorders>
              <w:right w:val="single" w:sz="8" w:color="231F20"/>
            </w:tcBorders>
          </w:tcPr>
          <w:p>
            <w:pPr>
              <w:jc w:val="right"/>
              <w:ind w:right="3"/>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91"/>
        </w:trPr>
        <w:tc>
          <w:tcPr>
            <w:tcW w:w="250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9"/>
                <w:szCs w:val="19"/>
                <w:color w:val="231F20"/>
              </w:rPr>
              <w:t>Other assets</w:t>
            </w:r>
          </w:p>
        </w:tc>
        <w:tc>
          <w:tcPr>
            <w:tcW w:w="200" w:type="dxa"/>
            <w:vAlign w:val="bottom"/>
          </w:tcPr>
          <w:p>
            <w:pPr>
              <w:spacing w:after="0"/>
              <w:rPr>
                <w:sz w:val="24"/>
                <w:szCs w:val="24"/>
                <w:color w:val="auto"/>
              </w:rPr>
            </w:pPr>
          </w:p>
        </w:tc>
        <w:tc>
          <w:tcPr>
            <w:tcW w:w="15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1.9</w:t>
            </w:r>
          </w:p>
        </w:tc>
        <w:tc>
          <w:tcPr>
            <w:tcW w:w="80" w:type="dxa"/>
            <w:vAlign w:val="bottom"/>
            <w:tcBorders>
              <w:right w:val="single" w:sz="8" w:color="231F20"/>
            </w:tcBorders>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4.3</w:t>
            </w:r>
          </w:p>
        </w:tc>
        <w:tc>
          <w:tcPr>
            <w:tcW w:w="60" w:type="dxa"/>
            <w:vAlign w:val="bottom"/>
            <w:tcBorders>
              <w:right w:val="single" w:sz="8" w:color="231F20"/>
            </w:tcBorders>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231F20"/>
              </w:rPr>
              <w:t>—</w:t>
            </w:r>
          </w:p>
        </w:tc>
        <w:tc>
          <w:tcPr>
            <w:tcW w:w="140" w:type="dxa"/>
            <w:vAlign w:val="bottom"/>
          </w:tcPr>
          <w:p>
            <w:pPr>
              <w:spacing w:after="0"/>
              <w:rPr>
                <w:sz w:val="24"/>
                <w:szCs w:val="24"/>
                <w:color w:val="auto"/>
              </w:rPr>
            </w:pPr>
          </w:p>
        </w:tc>
        <w:tc>
          <w:tcPr>
            <w:tcW w:w="1600" w:type="dxa"/>
            <w:vAlign w:val="bottom"/>
            <w:tcBorders>
              <w:right w:val="single" w:sz="8" w:color="231F20"/>
            </w:tcBorders>
          </w:tcPr>
          <w:p>
            <w:pPr>
              <w:jc w:val="right"/>
              <w:ind w:right="3"/>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91"/>
        </w:trPr>
        <w:tc>
          <w:tcPr>
            <w:tcW w:w="250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9"/>
                <w:szCs w:val="19"/>
                <w:color w:val="231F20"/>
              </w:rPr>
              <w:t>Intangible assets</w:t>
            </w:r>
          </w:p>
        </w:tc>
        <w:tc>
          <w:tcPr>
            <w:tcW w:w="200" w:type="dxa"/>
            <w:vAlign w:val="bottom"/>
          </w:tcPr>
          <w:p>
            <w:pPr>
              <w:spacing w:after="0"/>
              <w:rPr>
                <w:sz w:val="24"/>
                <w:szCs w:val="24"/>
                <w:color w:val="auto"/>
              </w:rPr>
            </w:pPr>
          </w:p>
        </w:tc>
        <w:tc>
          <w:tcPr>
            <w:tcW w:w="15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9.2</w:t>
            </w:r>
          </w:p>
        </w:tc>
        <w:tc>
          <w:tcPr>
            <w:tcW w:w="80" w:type="dxa"/>
            <w:vAlign w:val="bottom"/>
            <w:tcBorders>
              <w:right w:val="single" w:sz="8" w:color="231F20"/>
            </w:tcBorders>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15.9</w:t>
            </w:r>
          </w:p>
        </w:tc>
        <w:tc>
          <w:tcPr>
            <w:tcW w:w="60" w:type="dxa"/>
            <w:vAlign w:val="bottom"/>
            <w:tcBorders>
              <w:right w:val="single" w:sz="8" w:color="231F20"/>
            </w:tcBorders>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231F20"/>
              </w:rPr>
              <w:t>303.0</w:t>
            </w:r>
          </w:p>
        </w:tc>
        <w:tc>
          <w:tcPr>
            <w:tcW w:w="140" w:type="dxa"/>
            <w:vAlign w:val="bottom"/>
          </w:tcPr>
          <w:p>
            <w:pPr>
              <w:spacing w:after="0"/>
              <w:rPr>
                <w:sz w:val="24"/>
                <w:szCs w:val="24"/>
                <w:color w:val="auto"/>
              </w:rPr>
            </w:pPr>
          </w:p>
        </w:tc>
        <w:tc>
          <w:tcPr>
            <w:tcW w:w="1600" w:type="dxa"/>
            <w:vAlign w:val="bottom"/>
            <w:tcBorders>
              <w:right w:val="single" w:sz="8" w:color="231F20"/>
            </w:tcBorders>
          </w:tcPr>
          <w:p>
            <w:pPr>
              <w:jc w:val="right"/>
              <w:ind w:right="3"/>
              <w:spacing w:after="0"/>
              <w:rPr>
                <w:sz w:val="20"/>
                <w:szCs w:val="20"/>
                <w:color w:val="auto"/>
              </w:rPr>
            </w:pPr>
            <w:r>
              <w:rPr>
                <w:rFonts w:ascii="Times New Roman" w:cs="Times New Roman" w:eastAsia="Times New Roman" w:hAnsi="Times New Roman"/>
                <w:sz w:val="19"/>
                <w:szCs w:val="19"/>
                <w:color w:val="231F20"/>
              </w:rPr>
              <w:t>2.9</w:t>
            </w:r>
          </w:p>
        </w:tc>
        <w:tc>
          <w:tcPr>
            <w:tcW w:w="0" w:type="dxa"/>
            <w:vAlign w:val="bottom"/>
          </w:tcPr>
          <w:p>
            <w:pPr>
              <w:spacing w:after="0"/>
              <w:rPr>
                <w:sz w:val="1"/>
                <w:szCs w:val="1"/>
                <w:color w:val="auto"/>
              </w:rPr>
            </w:pPr>
          </w:p>
        </w:tc>
      </w:tr>
      <w:tr>
        <w:trPr>
          <w:trHeight w:val="294"/>
        </w:trPr>
        <w:tc>
          <w:tcPr>
            <w:tcW w:w="250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9"/>
                <w:szCs w:val="19"/>
                <w:color w:val="231F20"/>
              </w:rPr>
              <w:t>Goodwill</w:t>
            </w:r>
          </w:p>
        </w:tc>
        <w:tc>
          <w:tcPr>
            <w:tcW w:w="200" w:type="dxa"/>
            <w:vAlign w:val="bottom"/>
            <w:tcBorders>
              <w:bottom w:val="single" w:sz="8" w:color="231F20"/>
            </w:tcBorders>
          </w:tcPr>
          <w:p>
            <w:pPr>
              <w:spacing w:after="0"/>
              <w:rPr>
                <w:sz w:val="24"/>
                <w:szCs w:val="24"/>
                <w:color w:val="auto"/>
              </w:rPr>
            </w:pPr>
          </w:p>
        </w:tc>
        <w:tc>
          <w:tcPr>
            <w:tcW w:w="1540" w:type="dxa"/>
            <w:vAlign w:val="bottom"/>
            <w:tcBorders>
              <w:bottom w:val="single" w:sz="8" w:color="231F20"/>
              <w:right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8.8</w:t>
            </w:r>
          </w:p>
        </w:tc>
        <w:tc>
          <w:tcPr>
            <w:tcW w:w="80" w:type="dxa"/>
            <w:vAlign w:val="bottom"/>
            <w:tcBorders>
              <w:right w:val="single" w:sz="8" w:color="231F20"/>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1580" w:type="dxa"/>
            <w:vAlign w:val="bottom"/>
            <w:tcBorders>
              <w:bottom w:val="single" w:sz="8" w:color="231F20"/>
              <w:right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10.6</w:t>
            </w:r>
          </w:p>
        </w:tc>
        <w:tc>
          <w:tcPr>
            <w:tcW w:w="60" w:type="dxa"/>
            <w:vAlign w:val="bottom"/>
            <w:tcBorders>
              <w:right w:val="single" w:sz="8" w:color="231F20"/>
            </w:tcBorders>
          </w:tcPr>
          <w:p>
            <w:pPr>
              <w:spacing w:after="0"/>
              <w:rPr>
                <w:sz w:val="24"/>
                <w:szCs w:val="24"/>
                <w:color w:val="auto"/>
              </w:rPr>
            </w:pPr>
          </w:p>
        </w:tc>
        <w:tc>
          <w:tcPr>
            <w:tcW w:w="440" w:type="dxa"/>
            <w:vAlign w:val="bottom"/>
            <w:tcBorders>
              <w:bottom w:val="single" w:sz="8" w:color="231F20"/>
            </w:tcBorders>
          </w:tcPr>
          <w:p>
            <w:pPr>
              <w:spacing w:after="0"/>
              <w:rPr>
                <w:sz w:val="24"/>
                <w:szCs w:val="24"/>
                <w:color w:val="auto"/>
              </w:rPr>
            </w:pPr>
          </w:p>
        </w:tc>
        <w:tc>
          <w:tcPr>
            <w:tcW w:w="132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19"/>
                <w:szCs w:val="19"/>
                <w:color w:val="231F20"/>
              </w:rPr>
              <w:t>197.1</w:t>
            </w:r>
          </w:p>
        </w:tc>
        <w:tc>
          <w:tcPr>
            <w:tcW w:w="140" w:type="dxa"/>
            <w:vAlign w:val="bottom"/>
            <w:tcBorders>
              <w:bottom w:val="single" w:sz="8" w:color="231F20"/>
            </w:tcBorders>
          </w:tcPr>
          <w:p>
            <w:pPr>
              <w:spacing w:after="0"/>
              <w:rPr>
                <w:sz w:val="24"/>
                <w:szCs w:val="24"/>
                <w:color w:val="auto"/>
              </w:rPr>
            </w:pPr>
          </w:p>
        </w:tc>
        <w:tc>
          <w:tcPr>
            <w:tcW w:w="1600" w:type="dxa"/>
            <w:vAlign w:val="bottom"/>
            <w:tcBorders>
              <w:bottom w:val="single" w:sz="8" w:color="231F20"/>
              <w:right w:val="single" w:sz="8" w:color="231F20"/>
            </w:tcBorders>
          </w:tcPr>
          <w:p>
            <w:pPr>
              <w:jc w:val="right"/>
              <w:ind w:right="3"/>
              <w:spacing w:after="0"/>
              <w:rPr>
                <w:sz w:val="20"/>
                <w:szCs w:val="20"/>
                <w:color w:val="auto"/>
              </w:rPr>
            </w:pPr>
            <w:r>
              <w:rPr>
                <w:rFonts w:ascii="Times New Roman" w:cs="Times New Roman" w:eastAsia="Times New Roman" w:hAnsi="Times New Roman"/>
                <w:sz w:val="19"/>
                <w:szCs w:val="19"/>
                <w:color w:val="231F20"/>
              </w:rPr>
              <w:t>2.5</w:t>
            </w:r>
          </w:p>
        </w:tc>
        <w:tc>
          <w:tcPr>
            <w:tcW w:w="0" w:type="dxa"/>
            <w:vAlign w:val="bottom"/>
          </w:tcPr>
          <w:p>
            <w:pPr>
              <w:spacing w:after="0"/>
              <w:rPr>
                <w:sz w:val="1"/>
                <w:szCs w:val="1"/>
                <w:color w:val="auto"/>
              </w:rPr>
            </w:pPr>
          </w:p>
        </w:tc>
      </w:tr>
      <w:tr>
        <w:trPr>
          <w:trHeight w:val="269"/>
        </w:trPr>
        <w:tc>
          <w:tcPr>
            <w:tcW w:w="250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9"/>
                <w:szCs w:val="19"/>
                <w:b w:val="1"/>
                <w:bCs w:val="1"/>
                <w:color w:val="231F20"/>
              </w:rPr>
              <w:t>Total assets</w:t>
            </w:r>
          </w:p>
        </w:tc>
        <w:tc>
          <w:tcPr>
            <w:tcW w:w="200" w:type="dxa"/>
            <w:vAlign w:val="bottom"/>
          </w:tcPr>
          <w:p>
            <w:pPr>
              <w:spacing w:after="0"/>
              <w:rPr>
                <w:sz w:val="23"/>
                <w:szCs w:val="23"/>
                <w:color w:val="auto"/>
              </w:rPr>
            </w:pPr>
          </w:p>
        </w:tc>
        <w:tc>
          <w:tcPr>
            <w:tcW w:w="15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41.4</w:t>
            </w:r>
          </w:p>
        </w:tc>
        <w:tc>
          <w:tcPr>
            <w:tcW w:w="80" w:type="dxa"/>
            <w:vAlign w:val="bottom"/>
            <w:tcBorders>
              <w:right w:val="single" w:sz="8" w:color="231F20"/>
            </w:tcBorders>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59.2</w:t>
            </w:r>
          </w:p>
        </w:tc>
        <w:tc>
          <w:tcPr>
            <w:tcW w:w="60" w:type="dxa"/>
            <w:vAlign w:val="bottom"/>
            <w:tcBorders>
              <w:right w:val="single" w:sz="8" w:color="231F20"/>
            </w:tcBorders>
          </w:tcPr>
          <w:p>
            <w:pPr>
              <w:spacing w:after="0"/>
              <w:rPr>
                <w:sz w:val="23"/>
                <w:szCs w:val="23"/>
                <w:color w:val="auto"/>
              </w:rPr>
            </w:pPr>
          </w:p>
        </w:tc>
        <w:tc>
          <w:tcPr>
            <w:tcW w:w="440" w:type="dxa"/>
            <w:vAlign w:val="bottom"/>
          </w:tcPr>
          <w:p>
            <w:pPr>
              <w:spacing w:after="0"/>
              <w:rPr>
                <w:sz w:val="23"/>
                <w:szCs w:val="23"/>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231F20"/>
              </w:rPr>
              <w:t>541.5</w:t>
            </w:r>
          </w:p>
        </w:tc>
        <w:tc>
          <w:tcPr>
            <w:tcW w:w="140" w:type="dxa"/>
            <w:vAlign w:val="bottom"/>
          </w:tcPr>
          <w:p>
            <w:pPr>
              <w:spacing w:after="0"/>
              <w:rPr>
                <w:sz w:val="23"/>
                <w:szCs w:val="23"/>
                <w:color w:val="auto"/>
              </w:rPr>
            </w:pPr>
          </w:p>
        </w:tc>
        <w:tc>
          <w:tcPr>
            <w:tcW w:w="1600" w:type="dxa"/>
            <w:vAlign w:val="bottom"/>
            <w:tcBorders>
              <w:right w:val="single" w:sz="8" w:color="231F20"/>
            </w:tcBorders>
          </w:tcPr>
          <w:p>
            <w:pPr>
              <w:jc w:val="right"/>
              <w:ind w:right="3"/>
              <w:spacing w:after="0"/>
              <w:rPr>
                <w:sz w:val="20"/>
                <w:szCs w:val="20"/>
                <w:color w:val="auto"/>
              </w:rPr>
            </w:pPr>
            <w:r>
              <w:rPr>
                <w:rFonts w:ascii="Times New Roman" w:cs="Times New Roman" w:eastAsia="Times New Roman" w:hAnsi="Times New Roman"/>
                <w:sz w:val="19"/>
                <w:szCs w:val="19"/>
                <w:color w:val="231F20"/>
              </w:rPr>
              <w:t>8.2</w:t>
            </w:r>
          </w:p>
        </w:tc>
        <w:tc>
          <w:tcPr>
            <w:tcW w:w="0" w:type="dxa"/>
            <w:vAlign w:val="bottom"/>
          </w:tcPr>
          <w:p>
            <w:pPr>
              <w:spacing w:after="0"/>
              <w:rPr>
                <w:sz w:val="1"/>
                <w:szCs w:val="1"/>
                <w:color w:val="auto"/>
              </w:rPr>
            </w:pPr>
          </w:p>
        </w:tc>
      </w:tr>
      <w:tr>
        <w:trPr>
          <w:trHeight w:val="291"/>
        </w:trPr>
        <w:tc>
          <w:tcPr>
            <w:tcW w:w="250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9"/>
                <w:szCs w:val="19"/>
                <w:color w:val="231F20"/>
              </w:rPr>
              <w:t>Current liabilities</w:t>
            </w:r>
          </w:p>
        </w:tc>
        <w:tc>
          <w:tcPr>
            <w:tcW w:w="200" w:type="dxa"/>
            <w:vAlign w:val="bottom"/>
          </w:tcPr>
          <w:p>
            <w:pPr>
              <w:spacing w:after="0"/>
              <w:rPr>
                <w:sz w:val="24"/>
                <w:szCs w:val="24"/>
                <w:color w:val="auto"/>
              </w:rPr>
            </w:pPr>
          </w:p>
        </w:tc>
        <w:tc>
          <w:tcPr>
            <w:tcW w:w="15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(17.3)</w:t>
            </w:r>
          </w:p>
        </w:tc>
        <w:tc>
          <w:tcPr>
            <w:tcW w:w="80" w:type="dxa"/>
            <w:vAlign w:val="bottom"/>
            <w:tcBorders>
              <w:right w:val="single" w:sz="8" w:color="231F20"/>
            </w:tcBorders>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(2.1)</w:t>
            </w:r>
          </w:p>
        </w:tc>
        <w:tc>
          <w:tcPr>
            <w:tcW w:w="60" w:type="dxa"/>
            <w:vAlign w:val="bottom"/>
            <w:tcBorders>
              <w:right w:val="single" w:sz="8" w:color="231F20"/>
            </w:tcBorders>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(0.6)</w:t>
            </w:r>
          </w:p>
        </w:tc>
        <w:tc>
          <w:tcPr>
            <w:tcW w:w="0" w:type="dxa"/>
            <w:vAlign w:val="bottom"/>
          </w:tcPr>
          <w:p>
            <w:pPr>
              <w:spacing w:after="0"/>
              <w:rPr>
                <w:sz w:val="1"/>
                <w:szCs w:val="1"/>
                <w:color w:val="auto"/>
              </w:rPr>
            </w:pPr>
          </w:p>
        </w:tc>
      </w:tr>
      <w:tr>
        <w:trPr>
          <w:trHeight w:val="294"/>
        </w:trPr>
        <w:tc>
          <w:tcPr>
            <w:tcW w:w="250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9"/>
                <w:szCs w:val="19"/>
                <w:color w:val="231F20"/>
              </w:rPr>
              <w:t>Non-current liabilities</w:t>
            </w:r>
          </w:p>
        </w:tc>
        <w:tc>
          <w:tcPr>
            <w:tcW w:w="200" w:type="dxa"/>
            <w:vAlign w:val="bottom"/>
            <w:tcBorders>
              <w:bottom w:val="single" w:sz="8" w:color="231F20"/>
            </w:tcBorders>
          </w:tcPr>
          <w:p>
            <w:pPr>
              <w:spacing w:after="0"/>
              <w:rPr>
                <w:sz w:val="24"/>
                <w:szCs w:val="24"/>
                <w:color w:val="auto"/>
              </w:rPr>
            </w:pPr>
          </w:p>
        </w:tc>
        <w:tc>
          <w:tcPr>
            <w:tcW w:w="1540" w:type="dxa"/>
            <w:vAlign w:val="bottom"/>
            <w:tcBorders>
              <w:bottom w:val="single" w:sz="8" w:color="231F20"/>
              <w:right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(0.7)</w:t>
            </w:r>
          </w:p>
        </w:tc>
        <w:tc>
          <w:tcPr>
            <w:tcW w:w="80" w:type="dxa"/>
            <w:vAlign w:val="bottom"/>
            <w:tcBorders>
              <w:right w:val="single" w:sz="8" w:color="231F20"/>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1580" w:type="dxa"/>
            <w:vAlign w:val="bottom"/>
            <w:tcBorders>
              <w:bottom w:val="single" w:sz="8" w:color="231F20"/>
              <w:right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(2.9)</w:t>
            </w:r>
          </w:p>
        </w:tc>
        <w:tc>
          <w:tcPr>
            <w:tcW w:w="60" w:type="dxa"/>
            <w:vAlign w:val="bottom"/>
            <w:tcBorders>
              <w:right w:val="single" w:sz="8" w:color="231F20"/>
            </w:tcBorders>
          </w:tcPr>
          <w:p>
            <w:pPr>
              <w:spacing w:after="0"/>
              <w:rPr>
                <w:sz w:val="24"/>
                <w:szCs w:val="24"/>
                <w:color w:val="auto"/>
              </w:rPr>
            </w:pPr>
          </w:p>
        </w:tc>
        <w:tc>
          <w:tcPr>
            <w:tcW w:w="440" w:type="dxa"/>
            <w:vAlign w:val="bottom"/>
            <w:tcBorders>
              <w:bottom w:val="single" w:sz="8" w:color="231F20"/>
            </w:tcBorders>
          </w:tcPr>
          <w:p>
            <w:pPr>
              <w:spacing w:after="0"/>
              <w:rPr>
                <w:sz w:val="24"/>
                <w:szCs w:val="24"/>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(1.7)</w:t>
            </w:r>
          </w:p>
        </w:tc>
        <w:tc>
          <w:tcPr>
            <w:tcW w:w="140" w:type="dxa"/>
            <w:vAlign w:val="bottom"/>
            <w:tcBorders>
              <w:bottom w:val="single" w:sz="8" w:color="231F20"/>
            </w:tcBorders>
          </w:tcPr>
          <w:p>
            <w:pPr>
              <w:spacing w:after="0"/>
              <w:rPr>
                <w:sz w:val="24"/>
                <w:szCs w:val="24"/>
                <w:color w:val="auto"/>
              </w:rPr>
            </w:pPr>
          </w:p>
        </w:tc>
        <w:tc>
          <w:tcPr>
            <w:tcW w:w="1600" w:type="dxa"/>
            <w:vAlign w:val="bottom"/>
            <w:tcBorders>
              <w:bottom w:val="single" w:sz="8" w:color="231F20"/>
              <w:right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(0.7)</w:t>
            </w:r>
          </w:p>
        </w:tc>
        <w:tc>
          <w:tcPr>
            <w:tcW w:w="0" w:type="dxa"/>
            <w:vAlign w:val="bottom"/>
          </w:tcPr>
          <w:p>
            <w:pPr>
              <w:spacing w:after="0"/>
              <w:rPr>
                <w:sz w:val="1"/>
                <w:szCs w:val="1"/>
                <w:color w:val="auto"/>
              </w:rPr>
            </w:pPr>
          </w:p>
        </w:tc>
      </w:tr>
      <w:tr>
        <w:trPr>
          <w:trHeight w:val="271"/>
        </w:trPr>
        <w:tc>
          <w:tcPr>
            <w:tcW w:w="250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9"/>
                <w:szCs w:val="19"/>
                <w:b w:val="1"/>
                <w:bCs w:val="1"/>
                <w:color w:val="231F20"/>
              </w:rPr>
              <w:t>Total liabilities</w:t>
            </w:r>
          </w:p>
        </w:tc>
        <w:tc>
          <w:tcPr>
            <w:tcW w:w="200" w:type="dxa"/>
            <w:vAlign w:val="bottom"/>
            <w:tcBorders>
              <w:bottom w:val="single" w:sz="8" w:color="231F20"/>
            </w:tcBorders>
          </w:tcPr>
          <w:p>
            <w:pPr>
              <w:spacing w:after="0"/>
              <w:rPr>
                <w:sz w:val="23"/>
                <w:szCs w:val="23"/>
                <w:color w:val="auto"/>
              </w:rPr>
            </w:pPr>
          </w:p>
        </w:tc>
        <w:tc>
          <w:tcPr>
            <w:tcW w:w="1540" w:type="dxa"/>
            <w:vAlign w:val="bottom"/>
            <w:tcBorders>
              <w:bottom w:val="single" w:sz="8" w:color="231F20"/>
              <w:right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(18.0)</w:t>
            </w:r>
          </w:p>
        </w:tc>
        <w:tc>
          <w:tcPr>
            <w:tcW w:w="80" w:type="dxa"/>
            <w:vAlign w:val="bottom"/>
            <w:tcBorders>
              <w:right w:val="single" w:sz="8" w:color="231F20"/>
            </w:tcBorders>
          </w:tcPr>
          <w:p>
            <w:pPr>
              <w:spacing w:after="0"/>
              <w:rPr>
                <w:sz w:val="23"/>
                <w:szCs w:val="23"/>
                <w:color w:val="auto"/>
              </w:rPr>
            </w:pPr>
          </w:p>
        </w:tc>
        <w:tc>
          <w:tcPr>
            <w:tcW w:w="160" w:type="dxa"/>
            <w:vAlign w:val="bottom"/>
            <w:tcBorders>
              <w:bottom w:val="single" w:sz="8" w:color="231F20"/>
            </w:tcBorders>
          </w:tcPr>
          <w:p>
            <w:pPr>
              <w:spacing w:after="0"/>
              <w:rPr>
                <w:sz w:val="23"/>
                <w:szCs w:val="23"/>
                <w:color w:val="auto"/>
              </w:rPr>
            </w:pPr>
          </w:p>
        </w:tc>
        <w:tc>
          <w:tcPr>
            <w:tcW w:w="1580" w:type="dxa"/>
            <w:vAlign w:val="bottom"/>
            <w:tcBorders>
              <w:bottom w:val="single" w:sz="8" w:color="231F20"/>
              <w:right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(5.1)</w:t>
            </w:r>
          </w:p>
        </w:tc>
        <w:tc>
          <w:tcPr>
            <w:tcW w:w="60" w:type="dxa"/>
            <w:vAlign w:val="bottom"/>
            <w:tcBorders>
              <w:right w:val="single" w:sz="8" w:color="231F20"/>
            </w:tcBorders>
          </w:tcPr>
          <w:p>
            <w:pPr>
              <w:spacing w:after="0"/>
              <w:rPr>
                <w:sz w:val="23"/>
                <w:szCs w:val="23"/>
                <w:color w:val="auto"/>
              </w:rPr>
            </w:pPr>
          </w:p>
        </w:tc>
        <w:tc>
          <w:tcPr>
            <w:tcW w:w="440" w:type="dxa"/>
            <w:vAlign w:val="bottom"/>
            <w:tcBorders>
              <w:bottom w:val="single" w:sz="8" w:color="231F20"/>
            </w:tcBorders>
          </w:tcPr>
          <w:p>
            <w:pPr>
              <w:spacing w:after="0"/>
              <w:rPr>
                <w:sz w:val="23"/>
                <w:szCs w:val="23"/>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(1.7)</w:t>
            </w:r>
          </w:p>
        </w:tc>
        <w:tc>
          <w:tcPr>
            <w:tcW w:w="140" w:type="dxa"/>
            <w:vAlign w:val="bottom"/>
            <w:tcBorders>
              <w:bottom w:val="single" w:sz="8" w:color="231F20"/>
            </w:tcBorders>
          </w:tcPr>
          <w:p>
            <w:pPr>
              <w:spacing w:after="0"/>
              <w:rPr>
                <w:sz w:val="23"/>
                <w:szCs w:val="23"/>
                <w:color w:val="auto"/>
              </w:rPr>
            </w:pPr>
          </w:p>
        </w:tc>
        <w:tc>
          <w:tcPr>
            <w:tcW w:w="1600" w:type="dxa"/>
            <w:vAlign w:val="bottom"/>
            <w:tcBorders>
              <w:bottom w:val="single" w:sz="8" w:color="231F20"/>
              <w:right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(1.3)</w:t>
            </w:r>
          </w:p>
        </w:tc>
        <w:tc>
          <w:tcPr>
            <w:tcW w:w="0" w:type="dxa"/>
            <w:vAlign w:val="bottom"/>
          </w:tcPr>
          <w:p>
            <w:pPr>
              <w:spacing w:after="0"/>
              <w:rPr>
                <w:sz w:val="1"/>
                <w:szCs w:val="1"/>
                <w:color w:val="auto"/>
              </w:rPr>
            </w:pPr>
          </w:p>
        </w:tc>
      </w:tr>
      <w:tr>
        <w:trPr>
          <w:trHeight w:val="228"/>
        </w:trPr>
        <w:tc>
          <w:tcPr>
            <w:tcW w:w="250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9"/>
                <w:szCs w:val="19"/>
                <w:b w:val="1"/>
                <w:bCs w:val="1"/>
                <w:color w:val="231F20"/>
              </w:rPr>
              <w:t>Net assets</w:t>
            </w:r>
          </w:p>
        </w:tc>
        <w:tc>
          <w:tcPr>
            <w:tcW w:w="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1540" w:type="dxa"/>
            <w:vAlign w:val="bottom"/>
            <w:tcBorders>
              <w:bottom w:val="single" w:sz="8" w:color="231F20"/>
              <w:right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23.4</w:t>
            </w:r>
          </w:p>
        </w:tc>
        <w:tc>
          <w:tcPr>
            <w:tcW w:w="80" w:type="dxa"/>
            <w:vAlign w:val="bottom"/>
            <w:tcBorders>
              <w:right w:val="single" w:sz="8" w:color="231F20"/>
            </w:tcBorders>
          </w:tcPr>
          <w:p>
            <w:pPr>
              <w:spacing w:after="0"/>
              <w:rPr>
                <w:sz w:val="19"/>
                <w:szCs w:val="19"/>
                <w:color w:val="auto"/>
              </w:rPr>
            </w:pPr>
          </w:p>
        </w:tc>
        <w:tc>
          <w:tcPr>
            <w:tcW w:w="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580" w:type="dxa"/>
            <w:vAlign w:val="bottom"/>
            <w:tcBorders>
              <w:bottom w:val="single" w:sz="8" w:color="231F20"/>
              <w:right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54.1</w:t>
            </w:r>
          </w:p>
        </w:tc>
        <w:tc>
          <w:tcPr>
            <w:tcW w:w="60" w:type="dxa"/>
            <w:vAlign w:val="bottom"/>
            <w:tcBorders>
              <w:right w:val="single" w:sz="8" w:color="231F20"/>
            </w:tcBorders>
          </w:tcPr>
          <w:p>
            <w:pPr>
              <w:spacing w:after="0"/>
              <w:rPr>
                <w:sz w:val="19"/>
                <w:szCs w:val="19"/>
                <w:color w:val="auto"/>
              </w:rPr>
            </w:pPr>
          </w:p>
        </w:tc>
        <w:tc>
          <w:tcPr>
            <w:tcW w:w="440" w:type="dxa"/>
            <w:vAlign w:val="bottom"/>
            <w:tcBorders>
              <w:bottom w:val="single" w:sz="8" w:color="231F20"/>
            </w:tcBorders>
          </w:tcPr>
          <w:p>
            <w:pPr>
              <w:jc w:val="right"/>
              <w:ind w:right="203"/>
              <w:spacing w:after="0"/>
              <w:rPr>
                <w:sz w:val="20"/>
                <w:szCs w:val="20"/>
                <w:color w:val="auto"/>
              </w:rPr>
            </w:pPr>
            <w:r>
              <w:rPr>
                <w:rFonts w:ascii="Times New Roman" w:cs="Times New Roman" w:eastAsia="Times New Roman" w:hAnsi="Times New Roman"/>
                <w:sz w:val="19"/>
                <w:szCs w:val="19"/>
                <w:color w:val="231F20"/>
              </w:rPr>
              <w:t>$</w:t>
            </w:r>
          </w:p>
        </w:tc>
        <w:tc>
          <w:tcPr>
            <w:tcW w:w="132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19"/>
                <w:szCs w:val="19"/>
                <w:color w:val="231F20"/>
              </w:rPr>
              <w:t>539.8</w:t>
            </w:r>
          </w:p>
        </w:tc>
        <w:tc>
          <w:tcPr>
            <w:tcW w:w="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600" w:type="dxa"/>
            <w:vAlign w:val="bottom"/>
            <w:tcBorders>
              <w:bottom w:val="single" w:sz="8" w:color="231F20"/>
              <w:right w:val="single" w:sz="8" w:color="231F20"/>
            </w:tcBorders>
          </w:tcPr>
          <w:p>
            <w:pPr>
              <w:jc w:val="right"/>
              <w:ind w:right="3"/>
              <w:spacing w:after="0"/>
              <w:rPr>
                <w:sz w:val="20"/>
                <w:szCs w:val="20"/>
                <w:color w:val="auto"/>
              </w:rPr>
            </w:pPr>
            <w:r>
              <w:rPr>
                <w:rFonts w:ascii="Times New Roman" w:cs="Times New Roman" w:eastAsia="Times New Roman" w:hAnsi="Times New Roman"/>
                <w:sz w:val="19"/>
                <w:szCs w:val="19"/>
                <w:color w:val="231F20"/>
              </w:rPr>
              <w:t>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1606550</wp:posOffset>
            </wp:positionH>
            <wp:positionV relativeFrom="paragraph">
              <wp:posOffset>-2614930</wp:posOffset>
            </wp:positionV>
            <wp:extent cx="454406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extLst>
                    </a:blip>
                    <a:srcRect/>
                    <a:stretch>
                      <a:fillRect/>
                    </a:stretch>
                  </pic:blipFill>
                  <pic:spPr bwMode="auto">
                    <a:xfrm>
                      <a:off x="0" y="0"/>
                      <a:ext cx="4544060" cy="2540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-2365375</wp:posOffset>
            </wp:positionV>
            <wp:extent cx="454406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extLst>
                        <a:ext uri="{28A0092B-C50C-407E-A947-70E740481C1C}"/>
                      </a:extLst>
                    </a:blip>
                    <a:srcRect/>
                    <a:stretch>
                      <a:fillRect/>
                    </a:stretch>
                  </pic:blipFill>
                  <pic:spPr bwMode="auto">
                    <a:xfrm>
                      <a:off x="0" y="0"/>
                      <a:ext cx="4544060" cy="2540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-914400</wp:posOffset>
            </wp:positionV>
            <wp:extent cx="454406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extLst>
                    </a:blip>
                    <a:srcRect/>
                    <a:stretch>
                      <a:fillRect/>
                    </a:stretch>
                  </pic:blipFill>
                  <pic:spPr bwMode="auto">
                    <a:xfrm>
                      <a:off x="0" y="0"/>
                      <a:ext cx="4544060" cy="2540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-360045</wp:posOffset>
            </wp:positionV>
            <wp:extent cx="454406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extLst>
                        <a:ext uri="{28A0092B-C50C-407E-A947-70E740481C1C}"/>
                      </a:extLst>
                    </a:blip>
                    <a:srcRect/>
                    <a:stretch>
                      <a:fillRect/>
                    </a:stretch>
                  </pic:blipFill>
                  <pic:spPr bwMode="auto">
                    <a:xfrm>
                      <a:off x="0" y="0"/>
                      <a:ext cx="4544060" cy="2540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-175260</wp:posOffset>
            </wp:positionV>
            <wp:extent cx="454406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a:extLst>
                        <a:ext uri="{28A0092B-C50C-407E-A947-70E740481C1C}"/>
                      </a:extLst>
                    </a:blip>
                    <a:srcRect/>
                    <a:stretch>
                      <a:fillRect/>
                    </a:stretch>
                  </pic:blipFill>
                  <pic:spPr bwMode="auto">
                    <a:xfrm>
                      <a:off x="0" y="0"/>
                      <a:ext cx="4544060" cy="2540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-18415</wp:posOffset>
            </wp:positionV>
            <wp:extent cx="454406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a:extLst>
                        <a:ext uri="{28A0092B-C50C-407E-A947-70E740481C1C}"/>
                      </a:extLst>
                    </a:blip>
                    <a:srcRect/>
                    <a:stretch>
                      <a:fillRect/>
                    </a:stretch>
                  </pic:blipFill>
                  <pic:spPr bwMode="auto">
                    <a:xfrm>
                      <a:off x="0" y="0"/>
                      <a:ext cx="4544060" cy="2540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231F20"/>
          <w:vertAlign w:val="superscript"/>
        </w:rPr>
        <w:t>(</w:t>
      </w:r>
      <w:r>
        <w:rPr>
          <w:rFonts w:ascii="Times New Roman" w:cs="Times New Roman" w:eastAsia="Times New Roman" w:hAnsi="Times New Roman"/>
          <w:sz w:val="22"/>
          <w:szCs w:val="22"/>
          <w:color w:val="231F20"/>
          <w:vertAlign w:val="superscript"/>
        </w:rPr>
        <w:t>1)</w:t>
      </w:r>
      <w:r>
        <w:rPr>
          <w:rFonts w:ascii="Times New Roman" w:cs="Times New Roman" w:eastAsia="Times New Roman" w:hAnsi="Times New Roman"/>
          <w:sz w:val="17"/>
          <w:szCs w:val="17"/>
          <w:color w:val="231F20"/>
        </w:rPr>
        <w:t xml:space="preserve"> Purchase price allocation is preliminary as of March 31, 2026, as valuations have not been finalized.</w:t>
      </w:r>
    </w:p>
    <w:p>
      <w:pPr>
        <w:spacing w:after="0" w:line="263" w:lineRule="exact"/>
        <w:rPr>
          <w:sz w:val="20"/>
          <w:szCs w:val="20"/>
          <w:color w:val="auto"/>
        </w:rPr>
      </w:pPr>
    </w:p>
    <w:p>
      <w:pPr>
        <w:ind w:right="80" w:firstLine="349"/>
        <w:spacing w:after="0" w:line="268" w:lineRule="auto"/>
        <w:rPr>
          <w:sz w:val="20"/>
          <w:szCs w:val="20"/>
          <w:color w:val="auto"/>
        </w:rPr>
      </w:pPr>
      <w:r>
        <w:rPr>
          <w:rFonts w:ascii="Times New Roman" w:cs="Times New Roman" w:eastAsia="Times New Roman" w:hAnsi="Times New Roman"/>
          <w:sz w:val="19"/>
          <w:szCs w:val="19"/>
          <w:color w:val="231F20"/>
        </w:rPr>
        <w:t>Goodwill is the excess of the consideration transferred over the net assets recognized and represents the expected revenues and cost synergies of the combined company and assembled workforce. No portion of the goodwill recognized in fiscal 2026 was deductible for tax purposes. The deductible portion of goodwill recognized as a result of fiscal 2025 and fiscal 2024 acquisitions was $0.4 million and $195.7 million, respectively.</w:t>
      </w:r>
    </w:p>
    <w:p>
      <w:pPr>
        <w:sectPr>
          <w:pgSz w:w="11880" w:h="15480" w:orient="portrait"/>
          <w:cols w:equalWidth="0" w:num="1">
            <w:col w:w="9940"/>
          </w:cols>
          <w:pgMar w:left="960" w:top="250" w:right="980" w:bottom="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69</w:t>
      </w:r>
    </w:p>
    <w:p>
      <w:pPr>
        <w:sectPr>
          <w:pgSz w:w="11880" w:h="15480" w:orient="portrait"/>
          <w:cols w:equalWidth="0" w:num="1">
            <w:col w:w="9940"/>
          </w:cols>
          <w:pgMar w:left="960" w:top="250" w:right="980" w:bottom="0" w:gutter="0" w:footer="0" w:header="0"/>
          <w:type w:val="continuous"/>
        </w:sectPr>
      </w:pPr>
    </w:p>
    <w:bookmarkStart w:id="70" w:name="page71"/>
    <w:bookmarkEnd w:id="70"/>
    <w:p>
      <w:pPr>
        <w:jc w:val="center"/>
        <w:ind w:right="-79"/>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7"/>
          <w:szCs w:val="27"/>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80" w:firstLine="349"/>
        <w:spacing w:after="0" w:line="265" w:lineRule="auto"/>
        <w:rPr>
          <w:sz w:val="20"/>
          <w:szCs w:val="20"/>
          <w:color w:val="auto"/>
        </w:rPr>
      </w:pPr>
      <w:r>
        <w:rPr>
          <w:rFonts w:ascii="Times New Roman" w:cs="Times New Roman" w:eastAsia="Times New Roman" w:hAnsi="Times New Roman"/>
          <w:sz w:val="19"/>
          <w:szCs w:val="19"/>
          <w:color w:val="231F20"/>
        </w:rPr>
        <w:t>Acquisition related transaction and integration costs totaled $6.2 million, $11.2 million, and $25.5 million for the fiscal years ended March 31, 2026, 2025, and 2024, respectively. Acquisition and integration expenses declined in fiscal 2026 as we completed fewer acquisitions during fiscal 2026 as compared to prior years. These costs are included in Selling, general, and administrative expenses in the Consolidated Statements of Income and include, but are not limited to, investment banker, advisory, legal and other professional fees, and certain employee-related expenses.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231F20"/>
        </w:rPr>
        <w:t>Divestitures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Fiscal 2025</w:t>
      </w:r>
    </w:p>
    <w:p>
      <w:pPr>
        <w:spacing w:after="0" w:line="138" w:lineRule="exact"/>
        <w:rPr>
          <w:sz w:val="20"/>
          <w:szCs w:val="20"/>
          <w:color w:val="auto"/>
        </w:rPr>
      </w:pPr>
    </w:p>
    <w:p>
      <w:pPr>
        <w:ind w:firstLine="349"/>
        <w:spacing w:after="0" w:line="263" w:lineRule="auto"/>
        <w:rPr>
          <w:sz w:val="20"/>
          <w:szCs w:val="20"/>
          <w:color w:val="auto"/>
        </w:rPr>
      </w:pPr>
      <w:r>
        <w:rPr>
          <w:rFonts w:ascii="Times New Roman" w:cs="Times New Roman" w:eastAsia="Times New Roman" w:hAnsi="Times New Roman"/>
          <w:sz w:val="19"/>
          <w:szCs w:val="19"/>
          <w:color w:val="231F20"/>
        </w:rPr>
        <w:t>On April 11, 2024, the Company announced its plan to sell its Dental segment for total cash consideration of $787.5 million, subject to customary adjustments, and up to an additional $12.5 million in contingent payment had the Dental business achieved certain revenue targets in fiscal 2025. No amounts have been recorded or are expected to be recorded with respect to this contingent consideration. The transaction was structured as an equity sale and closed on May 31, 2024. The disposal of the Dental segment met the criteria to be presented as a discontinued operation. For more information refer to Note 4 titled "Discontinued Operations."</w:t>
      </w:r>
    </w:p>
    <w:p>
      <w:pPr>
        <w:spacing w:after="0" w:line="77" w:lineRule="exact"/>
        <w:rPr>
          <w:sz w:val="20"/>
          <w:szCs w:val="20"/>
          <w:color w:val="auto"/>
        </w:rPr>
      </w:pPr>
    </w:p>
    <w:p>
      <w:pPr>
        <w:ind w:right="140" w:firstLine="349"/>
        <w:spacing w:after="0" w:line="274" w:lineRule="auto"/>
        <w:rPr>
          <w:sz w:val="20"/>
          <w:szCs w:val="20"/>
          <w:color w:val="auto"/>
        </w:rPr>
      </w:pPr>
      <w:r>
        <w:rPr>
          <w:rFonts w:ascii="Times New Roman" w:cs="Times New Roman" w:eastAsia="Times New Roman" w:hAnsi="Times New Roman"/>
          <w:sz w:val="19"/>
          <w:szCs w:val="19"/>
          <w:color w:val="231F20"/>
        </w:rPr>
        <w:t>On April 1, 2024, we completed the sale of the Controlled Environment Certification Services business. We recorded net proceeds of $41.9 million and recognized a pre-tax gain on the sale of $19.3 million in fiscal 2025. The business generated approximately $35.0 million in revenues in fiscal 2024.</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4. DISCONTINUED OPERATIONS</w:t>
      </w:r>
    </w:p>
    <w:p>
      <w:pPr>
        <w:spacing w:after="0" w:line="138"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231F20"/>
        </w:rPr>
        <w:t>On April 11, 2024, the Company announced its plan to sell substantially all of the net assets of its Dental segment for total cash consideration of $787.5 million, subject to customary adjustments, and up to an additional $12.5 million in contingent payment had the Dental business achieved certain revenue targets in fiscal 2025. No amounts have been recorded or are expected to be recorded with respect to this contingent consideration. The transaction was structured as an equity sale and closed on May 31, 2024. A component of an entity is reported in discontinued operations after meeting the criteria for held for sale classification if the disposition represents a strategic shift that has (or will have) a major effect on the entity's operations and financial results. We analyzed the quantitative and qualitative factors relevant to the fiscal 2025 divestiture of our Dental segment and determined that those conditions for discontinued operations presentation had been met prior to March 31, 2024. The Dental segment results of operations have been classified as income (loss) from discontinued operations in the Consolidated Statements of Income for all periods presented. Our Consolidated Statements of Cash Flows include the financial results of the Dental segment through the date of sale on May 31, 2024. A majority of the proceeds received from the sale were utilized to pay off existing debt.</w:t>
      </w:r>
    </w:p>
    <w:p>
      <w:pPr>
        <w:sectPr>
          <w:pgSz w:w="11880" w:h="15480" w:orient="portrait"/>
          <w:cols w:equalWidth="0" w:num="1">
            <w:col w:w="9880"/>
          </w:cols>
          <w:pgMar w:left="960" w:top="25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231F20"/>
        </w:rPr>
        <w:t>70</w:t>
      </w:r>
    </w:p>
    <w:p>
      <w:pPr>
        <w:sectPr>
          <w:pgSz w:w="11880" w:h="15480" w:orient="portrait"/>
          <w:cols w:equalWidth="0" w:num="1">
            <w:col w:w="9880"/>
          </w:cols>
          <w:pgMar w:left="960" w:top="250" w:right="1040" w:bottom="0" w:gutter="0" w:footer="0" w:header="0"/>
          <w:type w:val="continuous"/>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80" w:firstLine="349"/>
        <w:spacing w:after="0" w:line="293" w:lineRule="auto"/>
        <w:rPr>
          <w:sz w:val="20"/>
          <w:szCs w:val="20"/>
          <w:color w:val="auto"/>
        </w:rPr>
      </w:pPr>
      <w:r>
        <w:rPr>
          <w:rFonts w:ascii="Times New Roman" w:cs="Times New Roman" w:eastAsia="Times New Roman" w:hAnsi="Times New Roman"/>
          <w:sz w:val="19"/>
          <w:szCs w:val="19"/>
          <w:color w:val="231F20"/>
        </w:rPr>
        <w:t>The following table summarizes the major line items constituting income (loss) of discontinued operations associated with the Dental segment for the years ended March 31, 2025, and 2024:</w:t>
      </w:r>
    </w:p>
    <w:p>
      <w:pPr>
        <w:spacing w:after="0" w:line="56" w:lineRule="exact"/>
        <w:rPr>
          <w:sz w:val="20"/>
          <w:szCs w:val="20"/>
          <w:color w:val="auto"/>
        </w:rPr>
      </w:pPr>
    </w:p>
    <w:tbl>
      <w:tblPr>
        <w:tblLayout w:type="fixed"/>
        <w:tblInd w:w="300" w:type="dxa"/>
        <w:tblCellMar>
          <w:top w:w="0" w:type="dxa"/>
          <w:left w:w="0" w:type="dxa"/>
          <w:bottom w:w="0" w:type="dxa"/>
          <w:right w:w="0" w:type="dxa"/>
        </w:tblCellMar>
      </w:tblPr>
      <w:tr>
        <w:trPr>
          <w:trHeight w:val="228"/>
        </w:trPr>
        <w:tc>
          <w:tcPr>
            <w:tcW w:w="652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(in millions)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2"/>
        </w:trPr>
        <w:tc>
          <w:tcPr>
            <w:tcW w:w="652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7"/>
                <w:szCs w:val="17"/>
                <w:color w:val="231F20"/>
              </w:rPr>
              <w:t>Years Ended March 31,</w:t>
            </w:r>
          </w:p>
        </w:tc>
        <w:tc>
          <w:tcPr>
            <w:tcW w:w="80" w:type="dxa"/>
            <w:vAlign w:val="bottom"/>
            <w:tcBorders>
              <w:bottom w:val="single" w:sz="8" w:color="231F20"/>
            </w:tcBorders>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jc w:val="right"/>
              <w:ind w:right="384"/>
              <w:spacing w:after="0"/>
              <w:rPr>
                <w:sz w:val="20"/>
                <w:szCs w:val="20"/>
                <w:color w:val="auto"/>
              </w:rPr>
            </w:pPr>
            <w:r>
              <w:rPr>
                <w:rFonts w:ascii="Times New Roman" w:cs="Times New Roman" w:eastAsia="Times New Roman" w:hAnsi="Times New Roman"/>
                <w:sz w:val="17"/>
                <w:szCs w:val="17"/>
                <w:color w:val="231F20"/>
              </w:rPr>
              <w:t>2025</w:t>
            </w:r>
          </w:p>
        </w:tc>
        <w:tc>
          <w:tcPr>
            <w:tcW w:w="80" w:type="dxa"/>
            <w:vAlign w:val="bottom"/>
            <w:tcBorders>
              <w:bottom w:val="single" w:sz="8" w:color="231F20"/>
            </w:tcBorders>
          </w:tcPr>
          <w:p>
            <w:pPr>
              <w:spacing w:after="0"/>
              <w:rPr>
                <w:sz w:val="21"/>
                <w:szCs w:val="21"/>
                <w:color w:val="auto"/>
              </w:rPr>
            </w:pPr>
          </w:p>
        </w:tc>
        <w:tc>
          <w:tcPr>
            <w:tcW w:w="32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ind w:right="424"/>
              <w:spacing w:after="0"/>
              <w:rPr>
                <w:sz w:val="20"/>
                <w:szCs w:val="20"/>
                <w:color w:val="auto"/>
              </w:rPr>
            </w:pPr>
            <w:r>
              <w:rPr>
                <w:rFonts w:ascii="Times New Roman" w:cs="Times New Roman" w:eastAsia="Times New Roman" w:hAnsi="Times New Roman"/>
                <w:sz w:val="17"/>
                <w:szCs w:val="17"/>
                <w:color w:val="231F20"/>
              </w:rPr>
              <w:t>2024</w:t>
            </w:r>
          </w:p>
        </w:tc>
      </w:tr>
      <w:tr>
        <w:trPr>
          <w:trHeight w:val="257"/>
        </w:trPr>
        <w:tc>
          <w:tcPr>
            <w:tcW w:w="65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Revenues:</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0"/>
        </w:trPr>
        <w:tc>
          <w:tcPr>
            <w:tcW w:w="652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Product</w:t>
            </w:r>
          </w:p>
        </w:tc>
        <w:tc>
          <w:tcPr>
            <w:tcW w:w="38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63.9</w:t>
            </w:r>
          </w:p>
        </w:tc>
        <w:tc>
          <w:tcPr>
            <w:tcW w:w="400" w:type="dxa"/>
            <w:vAlign w:val="bottom"/>
            <w:gridSpan w:val="2"/>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407.0</w:t>
            </w:r>
          </w:p>
        </w:tc>
      </w:tr>
      <w:tr>
        <w:trPr>
          <w:trHeight w:val="257"/>
        </w:trPr>
        <w:tc>
          <w:tcPr>
            <w:tcW w:w="65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Cost of revenues:</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302"/>
        </w:trPr>
        <w:tc>
          <w:tcPr>
            <w:tcW w:w="652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Product</w:t>
            </w:r>
          </w:p>
        </w:tc>
        <w:tc>
          <w:tcPr>
            <w:tcW w:w="80" w:type="dxa"/>
            <w:vAlign w:val="bottom"/>
            <w:tcBorders>
              <w:bottom w:val="single" w:sz="8" w:color="231F20"/>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35.1</w:t>
            </w:r>
          </w:p>
        </w:tc>
        <w:tc>
          <w:tcPr>
            <w:tcW w:w="80" w:type="dxa"/>
            <w:vAlign w:val="bottom"/>
            <w:tcBorders>
              <w:bottom w:val="single" w:sz="8" w:color="231F20"/>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226.9</w:t>
            </w:r>
          </w:p>
        </w:tc>
      </w:tr>
      <w:tr>
        <w:trPr>
          <w:trHeight w:val="250"/>
        </w:trPr>
        <w:tc>
          <w:tcPr>
            <w:tcW w:w="65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Gross profit:</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28.8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180.1</w:t>
            </w:r>
          </w:p>
        </w:tc>
      </w:tr>
      <w:tr>
        <w:trPr>
          <w:trHeight w:val="257"/>
        </w:trPr>
        <w:tc>
          <w:tcPr>
            <w:tcW w:w="65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Operating expenses:</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300"/>
        </w:trPr>
        <w:tc>
          <w:tcPr>
            <w:tcW w:w="652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Selling, general, and administrative</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13.5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199.5</w:t>
            </w:r>
          </w:p>
        </w:tc>
      </w:tr>
      <w:tr>
        <w:trPr>
          <w:trHeight w:val="277"/>
        </w:trPr>
        <w:tc>
          <w:tcPr>
            <w:tcW w:w="652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Goodwill impairment loss</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r>
      <w:tr>
        <w:trPr>
          <w:trHeight w:val="279"/>
        </w:trPr>
        <w:tc>
          <w:tcPr>
            <w:tcW w:w="652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Research and development</w:t>
            </w:r>
          </w:p>
        </w:tc>
        <w:tc>
          <w:tcPr>
            <w:tcW w:w="80" w:type="dxa"/>
            <w:vAlign w:val="bottom"/>
            <w:tcBorders>
              <w:bottom w:val="single" w:sz="8" w:color="231F20"/>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0.4</w:t>
            </w:r>
          </w:p>
        </w:tc>
        <w:tc>
          <w:tcPr>
            <w:tcW w:w="80" w:type="dxa"/>
            <w:vAlign w:val="bottom"/>
            <w:tcBorders>
              <w:bottom w:val="single" w:sz="8" w:color="231F20"/>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3.0</w:t>
            </w:r>
          </w:p>
        </w:tc>
      </w:tr>
      <w:tr>
        <w:trPr>
          <w:trHeight w:val="250"/>
        </w:trPr>
        <w:tc>
          <w:tcPr>
            <w:tcW w:w="6520" w:type="dxa"/>
            <w:vAlign w:val="bottom"/>
          </w:tcPr>
          <w:p>
            <w:pPr>
              <w:ind w:left="60"/>
              <w:spacing w:after="0" w:line="250" w:lineRule="exact"/>
              <w:rPr>
                <w:sz w:val="20"/>
                <w:szCs w:val="20"/>
                <w:color w:val="auto"/>
              </w:rPr>
            </w:pPr>
            <w:r>
              <w:rPr>
                <w:rFonts w:ascii="Times New Roman" w:cs="Times New Roman" w:eastAsia="Times New Roman" w:hAnsi="Times New Roman"/>
                <w:sz w:val="19"/>
                <w:szCs w:val="19"/>
                <w:b w:val="1"/>
                <w:bCs w:val="1"/>
                <w:color w:val="231F20"/>
              </w:rPr>
              <w:t xml:space="preserve">Income (loss) from operations </w:t>
            </w:r>
            <w:r>
              <w:rPr>
                <w:rFonts w:ascii="Times New Roman" w:cs="Times New Roman" w:eastAsia="Times New Roman" w:hAnsi="Times New Roman"/>
                <w:sz w:val="25"/>
                <w:szCs w:val="25"/>
                <w:b w:val="1"/>
                <w:bCs w:val="1"/>
                <w:color w:val="231F20"/>
                <w:vertAlign w:val="superscript"/>
              </w:rPr>
              <w:t>(1)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15.0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(22.4)</w:t>
            </w:r>
          </w:p>
        </w:tc>
      </w:tr>
      <w:tr>
        <w:trPr>
          <w:trHeight w:val="277"/>
        </w:trPr>
        <w:tc>
          <w:tcPr>
            <w:tcW w:w="65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Non-operating expenses (income), net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r>
      <w:tr>
        <w:trPr>
          <w:trHeight w:val="283"/>
        </w:trPr>
        <w:tc>
          <w:tcPr>
            <w:tcW w:w="6520" w:type="dxa"/>
            <w:vAlign w:val="bottom"/>
          </w:tcPr>
          <w:p>
            <w:pPr>
              <w:ind w:left="60"/>
              <w:spacing w:after="0" w:line="283" w:lineRule="exact"/>
              <w:rPr>
                <w:sz w:val="20"/>
                <w:szCs w:val="20"/>
                <w:color w:val="auto"/>
              </w:rPr>
            </w:pPr>
            <w:r>
              <w:rPr>
                <w:rFonts w:ascii="Times New Roman" w:cs="Times New Roman" w:eastAsia="Times New Roman" w:hAnsi="Times New Roman"/>
                <w:sz w:val="19"/>
                <w:szCs w:val="19"/>
                <w:b w:val="1"/>
                <w:bCs w:val="1"/>
                <w:color w:val="231F20"/>
              </w:rPr>
              <w:t xml:space="preserve">Pre-tax loss on sale </w:t>
            </w:r>
            <w:r>
              <w:rPr>
                <w:rFonts w:ascii="Times New Roman" w:cs="Times New Roman" w:eastAsia="Times New Roman" w:hAnsi="Times New Roman"/>
                <w:sz w:val="25"/>
                <w:szCs w:val="25"/>
                <w:b w:val="1"/>
                <w:bCs w:val="1"/>
                <w:color w:val="231F20"/>
                <w:vertAlign w:val="superscript"/>
              </w:rPr>
              <w:t>(2)</w:t>
            </w:r>
          </w:p>
        </w:tc>
        <w:tc>
          <w:tcPr>
            <w:tcW w:w="80" w:type="dxa"/>
            <w:vAlign w:val="bottom"/>
            <w:tcBorders>
              <w:bottom w:val="single" w:sz="8" w:color="231F20"/>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(14.0)</w:t>
            </w:r>
          </w:p>
        </w:tc>
        <w:tc>
          <w:tcPr>
            <w:tcW w:w="80" w:type="dxa"/>
            <w:vAlign w:val="bottom"/>
            <w:tcBorders>
              <w:bottom w:val="single" w:sz="8" w:color="231F20"/>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(206.4)</w:t>
            </w:r>
          </w:p>
        </w:tc>
      </w:tr>
      <w:tr>
        <w:trPr>
          <w:trHeight w:val="253"/>
        </w:trPr>
        <w:tc>
          <w:tcPr>
            <w:tcW w:w="65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Income (loss) before income tax expense</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(228.8)</w:t>
            </w:r>
          </w:p>
        </w:tc>
      </w:tr>
      <w:tr>
        <w:trPr>
          <w:trHeight w:val="279"/>
        </w:trPr>
        <w:tc>
          <w:tcPr>
            <w:tcW w:w="652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Income tax benefit</w:t>
            </w:r>
          </w:p>
        </w:tc>
        <w:tc>
          <w:tcPr>
            <w:tcW w:w="80" w:type="dxa"/>
            <w:vAlign w:val="bottom"/>
            <w:tcBorders>
              <w:bottom w:val="single" w:sz="8" w:color="231F20"/>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(3.6)</w:t>
            </w:r>
          </w:p>
        </w:tc>
        <w:tc>
          <w:tcPr>
            <w:tcW w:w="80" w:type="dxa"/>
            <w:vAlign w:val="bottom"/>
            <w:tcBorders>
              <w:bottom w:val="single" w:sz="8" w:color="231F20"/>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(55.6)</w:t>
            </w:r>
          </w:p>
        </w:tc>
      </w:tr>
      <w:tr>
        <w:trPr>
          <w:trHeight w:val="266"/>
        </w:trPr>
        <w:tc>
          <w:tcPr>
            <w:tcW w:w="65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Income (loss) from discontinued operations, net of income tax</w:t>
            </w:r>
          </w:p>
        </w:tc>
        <w:tc>
          <w:tcPr>
            <w:tcW w:w="80" w:type="dxa"/>
            <w:vAlign w:val="bottom"/>
          </w:tcPr>
          <w:p>
            <w:pPr>
              <w:spacing w:after="0"/>
              <w:rPr>
                <w:sz w:val="23"/>
                <w:szCs w:val="23"/>
                <w:color w:val="auto"/>
              </w:rPr>
            </w:pPr>
          </w:p>
        </w:tc>
        <w:tc>
          <w:tcPr>
            <w:tcW w:w="300" w:type="dxa"/>
            <w:vAlign w:val="bottom"/>
            <w:tcBorders>
              <w:bottom w:val="single" w:sz="8" w:color="231F20"/>
            </w:tcBorders>
          </w:tcPr>
          <w:p>
            <w:pPr>
              <w:jc w:val="right"/>
              <w:ind w:right="63"/>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4.5</w:t>
            </w:r>
          </w:p>
        </w:tc>
        <w:tc>
          <w:tcPr>
            <w:tcW w:w="80" w:type="dxa"/>
            <w:vAlign w:val="bottom"/>
          </w:tcPr>
          <w:p>
            <w:pPr>
              <w:spacing w:after="0"/>
              <w:rPr>
                <w:sz w:val="23"/>
                <w:szCs w:val="23"/>
                <w:color w:val="auto"/>
              </w:rPr>
            </w:pPr>
          </w:p>
        </w:tc>
        <w:tc>
          <w:tcPr>
            <w:tcW w:w="320" w:type="dxa"/>
            <w:vAlign w:val="bottom"/>
            <w:tcBorders>
              <w:bottom w:val="single" w:sz="8" w:color="231F20"/>
            </w:tcBorders>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(173.2)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4318635</wp:posOffset>
            </wp:positionH>
            <wp:positionV relativeFrom="paragraph">
              <wp:posOffset>-2658110</wp:posOffset>
            </wp:positionV>
            <wp:extent cx="182753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a:extLst>
                        <a:ext uri="{28A0092B-C50C-407E-A947-70E740481C1C}"/>
                      </a:extLst>
                    </a:blip>
                    <a:srcRect/>
                    <a:stretch>
                      <a:fillRect/>
                    </a:stretch>
                  </pic:blipFill>
                  <pic:spPr bwMode="auto">
                    <a:xfrm>
                      <a:off x="0" y="0"/>
                      <a:ext cx="1827530" cy="25400"/>
                    </a:xfrm>
                    <a:prstGeom prst="rect">
                      <a:avLst/>
                    </a:prstGeom>
                    <a:noFill/>
                  </pic:spPr>
                </pic:pic>
              </a:graphicData>
            </a:graphic>
          </wp:anchor>
        </w:drawing>
      </w:r>
    </w:p>
    <w:p>
      <w:pPr>
        <w:spacing w:after="0" w:line="9" w:lineRule="exact"/>
        <w:rPr>
          <w:sz w:val="20"/>
          <w:szCs w:val="20"/>
          <w:color w:val="auto"/>
        </w:rPr>
      </w:pPr>
    </w:p>
    <w:p>
      <w:pPr>
        <w:ind w:left="180" w:hanging="177"/>
        <w:spacing w:after="0" w:line="230" w:lineRule="auto"/>
        <w:tabs>
          <w:tab w:leader="none" w:pos="162" w:val="left"/>
        </w:tabs>
        <w:numPr>
          <w:ilvl w:val="0"/>
          <w:numId w:val="23"/>
        </w:numPr>
        <w:rPr>
          <w:rFonts w:ascii="Times New Roman" w:cs="Times New Roman" w:eastAsia="Times New Roman" w:hAnsi="Times New Roman"/>
          <w:sz w:val="19"/>
          <w:szCs w:val="19"/>
          <w:color w:val="231F20"/>
          <w:vertAlign w:val="superscript"/>
        </w:rPr>
      </w:pPr>
      <w:r>
        <w:rPr>
          <w:rFonts w:ascii="Times New Roman" w:cs="Times New Roman" w:eastAsia="Times New Roman" w:hAnsi="Times New Roman"/>
          <w:sz w:val="15"/>
          <w:szCs w:val="15"/>
          <w:color w:val="231F20"/>
        </w:rPr>
        <w:t>Income from operations for the year ended March 31, 2025 includes two months of operating results prior to the transaction close on May 31, 2024 and excludes depreciation and amortization of property, plant, equipment, and intangible assets subsequent to the held for sale classification as of March 2, 2024.</w:t>
      </w:r>
    </w:p>
    <w:p>
      <w:pPr>
        <w:spacing w:after="0" w:line="31" w:lineRule="exact"/>
        <w:rPr>
          <w:rFonts w:ascii="Times New Roman" w:cs="Times New Roman" w:eastAsia="Times New Roman" w:hAnsi="Times New Roman"/>
          <w:sz w:val="19"/>
          <w:szCs w:val="19"/>
          <w:color w:val="231F20"/>
          <w:vertAlign w:val="superscript"/>
        </w:rPr>
      </w:pPr>
    </w:p>
    <w:p>
      <w:pPr>
        <w:ind w:left="180" w:right="100" w:hanging="177"/>
        <w:spacing w:after="0" w:line="252" w:lineRule="auto"/>
        <w:tabs>
          <w:tab w:leader="none" w:pos="148" w:val="left"/>
        </w:tabs>
        <w:numPr>
          <w:ilvl w:val="0"/>
          <w:numId w:val="23"/>
        </w:numPr>
        <w:rPr>
          <w:rFonts w:ascii="Times New Roman" w:cs="Times New Roman" w:eastAsia="Times New Roman" w:hAnsi="Times New Roman"/>
          <w:sz w:val="18"/>
          <w:szCs w:val="18"/>
          <w:color w:val="231F20"/>
          <w:vertAlign w:val="superscript"/>
        </w:rPr>
      </w:pPr>
      <w:r>
        <w:rPr>
          <w:rFonts w:ascii="Times New Roman" w:cs="Times New Roman" w:eastAsia="Times New Roman" w:hAnsi="Times New Roman"/>
          <w:sz w:val="14"/>
          <w:szCs w:val="14"/>
          <w:color w:val="231F20"/>
        </w:rPr>
        <w:t>Fiscal 2025 pre-tax loss on sale driven by sale price adjustments relating to working capital. Fiscal 2024 amount relates to accrued transaction costs and the estimated accrued loss included in held for sale as of March 31, 2024.</w:t>
      </w:r>
    </w:p>
    <w:p>
      <w:pPr>
        <w:spacing w:after="0" w:line="66" w:lineRule="exact"/>
        <w:rPr>
          <w:sz w:val="20"/>
          <w:szCs w:val="20"/>
          <w:color w:val="auto"/>
        </w:rPr>
      </w:pPr>
    </w:p>
    <w:p>
      <w:pPr>
        <w:ind w:right="100" w:firstLine="349"/>
        <w:spacing w:after="0" w:line="282" w:lineRule="auto"/>
        <w:rPr>
          <w:sz w:val="20"/>
          <w:szCs w:val="20"/>
          <w:color w:val="auto"/>
        </w:rPr>
      </w:pPr>
      <w:r>
        <w:rPr>
          <w:rFonts w:ascii="Times New Roman" w:cs="Times New Roman" w:eastAsia="Times New Roman" w:hAnsi="Times New Roman"/>
          <w:sz w:val="19"/>
          <w:szCs w:val="19"/>
          <w:color w:val="231F20"/>
        </w:rPr>
        <w:t>The effective income tax rates for the years ended March 31, 2025 and 2024 were (371.0)%, and 24.3%, respectively. Our fiscal 2025 tax rate was driven by favorable discrete items.</w:t>
      </w:r>
    </w:p>
    <w:p>
      <w:pPr>
        <w:spacing w:after="0" w:line="49" w:lineRule="exact"/>
        <w:rPr>
          <w:sz w:val="20"/>
          <w:szCs w:val="20"/>
          <w:color w:val="auto"/>
        </w:rPr>
      </w:pPr>
    </w:p>
    <w:p>
      <w:pPr>
        <w:ind w:right="640" w:firstLine="349"/>
        <w:spacing w:after="0" w:line="282" w:lineRule="auto"/>
        <w:rPr>
          <w:sz w:val="20"/>
          <w:szCs w:val="20"/>
          <w:color w:val="auto"/>
        </w:rPr>
      </w:pPr>
      <w:r>
        <w:rPr>
          <w:rFonts w:ascii="Times New Roman" w:cs="Times New Roman" w:eastAsia="Times New Roman" w:hAnsi="Times New Roman"/>
          <w:sz w:val="19"/>
          <w:szCs w:val="19"/>
          <w:color w:val="231F20"/>
        </w:rPr>
        <w:t>Significant non-cash operating items and capital expenditures related to discontinued operations are reflected in the statement of cash flows as follows:</w:t>
      </w:r>
    </w:p>
    <w:p>
      <w:pPr>
        <w:spacing w:after="0" w:line="115" w:lineRule="exact"/>
        <w:rPr>
          <w:sz w:val="20"/>
          <w:szCs w:val="20"/>
          <w:color w:val="auto"/>
        </w:rPr>
      </w:pPr>
    </w:p>
    <w:tbl>
      <w:tblPr>
        <w:tblLayout w:type="fixed"/>
        <w:tblInd w:w="1040" w:type="dxa"/>
        <w:tblCellMar>
          <w:top w:w="0" w:type="dxa"/>
          <w:left w:w="0" w:type="dxa"/>
          <w:bottom w:w="0" w:type="dxa"/>
          <w:right w:w="0" w:type="dxa"/>
        </w:tblCellMar>
      </w:tblPr>
      <w:tr>
        <w:trPr>
          <w:trHeight w:val="232"/>
        </w:trPr>
        <w:tc>
          <w:tcPr>
            <w:tcW w:w="542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7"/>
                <w:szCs w:val="17"/>
                <w:color w:val="231F20"/>
              </w:rPr>
              <w:t>(in millions)</w:t>
            </w:r>
          </w:p>
        </w:tc>
        <w:tc>
          <w:tcPr>
            <w:tcW w:w="70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ind w:right="246"/>
              <w:spacing w:after="0"/>
              <w:rPr>
                <w:sz w:val="20"/>
                <w:szCs w:val="20"/>
                <w:color w:val="auto"/>
              </w:rPr>
            </w:pPr>
            <w:r>
              <w:rPr>
                <w:rFonts w:ascii="Times New Roman" w:cs="Times New Roman" w:eastAsia="Times New Roman" w:hAnsi="Times New Roman"/>
                <w:sz w:val="17"/>
                <w:szCs w:val="17"/>
                <w:color w:val="231F20"/>
              </w:rPr>
              <w:t>2025</w:t>
            </w:r>
          </w:p>
        </w:tc>
        <w:tc>
          <w:tcPr>
            <w:tcW w:w="24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ind w:right="226"/>
              <w:spacing w:after="0"/>
              <w:rPr>
                <w:sz w:val="20"/>
                <w:szCs w:val="20"/>
                <w:color w:val="auto"/>
              </w:rPr>
            </w:pPr>
            <w:r>
              <w:rPr>
                <w:rFonts w:ascii="Times New Roman" w:cs="Times New Roman" w:eastAsia="Times New Roman" w:hAnsi="Times New Roman"/>
                <w:sz w:val="17"/>
                <w:szCs w:val="17"/>
                <w:color w:val="231F20"/>
              </w:rPr>
              <w:t>2024</w:t>
            </w:r>
          </w:p>
        </w:tc>
        <w:tc>
          <w:tcPr>
            <w:tcW w:w="0" w:type="dxa"/>
            <w:vAlign w:val="bottom"/>
          </w:tcPr>
          <w:p>
            <w:pPr>
              <w:spacing w:after="0"/>
              <w:rPr>
                <w:sz w:val="1"/>
                <w:szCs w:val="1"/>
                <w:color w:val="auto"/>
              </w:rPr>
            </w:pPr>
          </w:p>
        </w:tc>
      </w:tr>
      <w:tr>
        <w:trPr>
          <w:trHeight w:val="228"/>
        </w:trPr>
        <w:tc>
          <w:tcPr>
            <w:tcW w:w="54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Operating activities of discontinued operations: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760" w:type="dxa"/>
            <w:vAlign w:val="bottom"/>
            <w:vMerge w:val="restart"/>
          </w:tcPr>
          <w:p>
            <w:pPr>
              <w:jc w:val="right"/>
              <w:ind w:right="46"/>
              <w:spacing w:after="0"/>
              <w:rPr>
                <w:sz w:val="20"/>
                <w:szCs w:val="20"/>
                <w:color w:val="auto"/>
              </w:rPr>
            </w:pPr>
            <w:r>
              <w:rPr>
                <w:rFonts w:ascii="Times New Roman" w:cs="Times New Roman" w:eastAsia="Times New Roman" w:hAnsi="Times New Roman"/>
                <w:sz w:val="19"/>
                <w:szCs w:val="19"/>
                <w:color w:val="231F20"/>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115.2</w:t>
            </w:r>
          </w:p>
        </w:tc>
        <w:tc>
          <w:tcPr>
            <w:tcW w:w="0" w:type="dxa"/>
            <w:vAlign w:val="bottom"/>
          </w:tcPr>
          <w:p>
            <w:pPr>
              <w:spacing w:after="0"/>
              <w:rPr>
                <w:sz w:val="1"/>
                <w:szCs w:val="1"/>
                <w:color w:val="auto"/>
              </w:rPr>
            </w:pPr>
          </w:p>
        </w:tc>
      </w:tr>
      <w:tr>
        <w:trPr>
          <w:trHeight w:val="240"/>
        </w:trPr>
        <w:tc>
          <w:tcPr>
            <w:tcW w:w="5420" w:type="dxa"/>
            <w:vAlign w:val="bottom"/>
          </w:tcPr>
          <w:p>
            <w:pPr>
              <w:ind w:left="540"/>
              <w:spacing w:after="0" w:line="240" w:lineRule="exact"/>
              <w:rPr>
                <w:sz w:val="20"/>
                <w:szCs w:val="20"/>
                <w:color w:val="auto"/>
              </w:rPr>
            </w:pPr>
            <w:r>
              <w:rPr>
                <w:rFonts w:ascii="Times New Roman" w:cs="Times New Roman" w:eastAsia="Times New Roman" w:hAnsi="Times New Roman"/>
                <w:sz w:val="19"/>
                <w:szCs w:val="19"/>
                <w:color w:val="231F20"/>
              </w:rPr>
              <w:t xml:space="preserve">Depreciation, depletion, and amortization </w:t>
            </w:r>
            <w:r>
              <w:rPr>
                <w:rFonts w:ascii="Times New Roman" w:cs="Times New Roman" w:eastAsia="Times New Roman" w:hAnsi="Times New Roman"/>
                <w:sz w:val="25"/>
                <w:szCs w:val="25"/>
                <w:color w:val="231F20"/>
                <w:vertAlign w:val="superscript"/>
              </w:rPr>
              <w:t>(1)</w:t>
            </w:r>
          </w:p>
        </w:tc>
        <w:tc>
          <w:tcPr>
            <w:tcW w:w="70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4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Investing activities of discontinued operations: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(0.4)</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(9.2)</w:t>
            </w:r>
          </w:p>
        </w:tc>
        <w:tc>
          <w:tcPr>
            <w:tcW w:w="0" w:type="dxa"/>
            <w:vAlign w:val="bottom"/>
          </w:tcPr>
          <w:p>
            <w:pPr>
              <w:spacing w:after="0"/>
              <w:rPr>
                <w:sz w:val="1"/>
                <w:szCs w:val="1"/>
                <w:color w:val="auto"/>
              </w:rPr>
            </w:pPr>
          </w:p>
        </w:tc>
      </w:tr>
      <w:tr>
        <w:trPr>
          <w:trHeight w:val="253"/>
        </w:trPr>
        <w:tc>
          <w:tcPr>
            <w:tcW w:w="542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Purchases of property, plant, equipment, and intangibles</w:t>
            </w:r>
          </w:p>
        </w:tc>
        <w:tc>
          <w:tcPr>
            <w:tcW w:w="700" w:type="dxa"/>
            <w:vAlign w:val="bottom"/>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240" w:type="dxa"/>
            <w:vAlign w:val="bottom"/>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4392295</wp:posOffset>
            </wp:positionH>
            <wp:positionV relativeFrom="paragraph">
              <wp:posOffset>-638175</wp:posOffset>
            </wp:positionV>
            <wp:extent cx="12820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a:extLst>
                        <a:ext uri="{28A0092B-C50C-407E-A947-70E740481C1C}"/>
                      </a:extLst>
                    </a:blip>
                    <a:srcRect/>
                    <a:stretch>
                      <a:fillRect/>
                    </a:stretch>
                  </pic:blipFill>
                  <pic:spPr bwMode="auto">
                    <a:xfrm>
                      <a:off x="0" y="0"/>
                      <a:ext cx="1282065" cy="25400"/>
                    </a:xfrm>
                    <a:prstGeom prst="rect">
                      <a:avLst/>
                    </a:prstGeom>
                    <a:noFill/>
                  </pic:spPr>
                </pic:pic>
              </a:graphicData>
            </a:graphic>
          </wp:anchor>
        </w:drawing>
      </w:r>
    </w:p>
    <w:p>
      <w:pPr>
        <w:spacing w:after="0" w:line="149" w:lineRule="exact"/>
        <w:rPr>
          <w:sz w:val="20"/>
          <w:szCs w:val="20"/>
          <w:color w:val="auto"/>
        </w:rPr>
      </w:pPr>
    </w:p>
    <w:p>
      <w:pPr>
        <w:ind w:left="180" w:right="340" w:hanging="177"/>
        <w:spacing w:after="0" w:line="252" w:lineRule="auto"/>
        <w:tabs>
          <w:tab w:leader="none" w:pos="148" w:val="left"/>
        </w:tabs>
        <w:numPr>
          <w:ilvl w:val="0"/>
          <w:numId w:val="24"/>
        </w:numPr>
        <w:rPr>
          <w:rFonts w:ascii="Times New Roman" w:cs="Times New Roman" w:eastAsia="Times New Roman" w:hAnsi="Times New Roman"/>
          <w:sz w:val="18"/>
          <w:szCs w:val="18"/>
          <w:color w:val="231F20"/>
          <w:vertAlign w:val="superscript"/>
        </w:rPr>
      </w:pPr>
      <w:r>
        <w:rPr>
          <w:rFonts w:ascii="Times New Roman" w:cs="Times New Roman" w:eastAsia="Times New Roman" w:hAnsi="Times New Roman"/>
          <w:sz w:val="14"/>
          <w:szCs w:val="14"/>
          <w:color w:val="231F20"/>
        </w:rPr>
        <w:t>We concluded that the criteria to report assets held for sale was met on March 2, 2024, as such we did not depreciate or amortize related property, plant, equipment and intangible assets subsequent to this date.</w:t>
      </w:r>
    </w:p>
    <w:p>
      <w:pPr>
        <w:sectPr>
          <w:pgSz w:w="11880" w:h="15480" w:orient="portrait"/>
          <w:cols w:equalWidth="0" w:num="1">
            <w:col w:w="9940"/>
          </w:cols>
          <w:pgMar w:left="960" w:top="25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71</w:t>
      </w:r>
    </w:p>
    <w:p>
      <w:pPr>
        <w:sectPr>
          <w:pgSz w:w="11880" w:h="15480" w:orient="portrait"/>
          <w:cols w:equalWidth="0" w:num="1">
            <w:col w:w="9940"/>
          </w:cols>
          <w:pgMar w:left="960" w:top="250" w:right="980" w:bottom="0" w:gutter="0" w:footer="0" w:header="0"/>
          <w:type w:val="continuous"/>
        </w:sectPr>
      </w:pPr>
    </w:p>
    <w:bookmarkStart w:id="72" w:name="page73"/>
    <w:bookmarkEnd w:id="72"/>
    <w:p>
      <w:pPr>
        <w:jc w:val="center"/>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5. GOODWILL AND INTANGIBLE ASSETS</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Changes to the carrying amount of goodwill for the years ended March 31, 2026 and 2025 were as follows: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56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9"/>
                <w:szCs w:val="19"/>
                <w:color w:val="231F20"/>
              </w:rPr>
              <w:t>(in millions)</w:t>
            </w:r>
          </w:p>
        </w:tc>
        <w:tc>
          <w:tcPr>
            <w:tcW w:w="220" w:type="dxa"/>
            <w:vAlign w:val="bottom"/>
            <w:tcBorders>
              <w:bottom w:val="single" w:sz="8" w:color="231F20"/>
            </w:tcBorders>
          </w:tcPr>
          <w:p>
            <w:pPr>
              <w:spacing w:after="0"/>
              <w:rPr>
                <w:sz w:val="22"/>
                <w:szCs w:val="22"/>
                <w:color w:val="auto"/>
              </w:rPr>
            </w:pPr>
          </w:p>
        </w:tc>
        <w:tc>
          <w:tcPr>
            <w:tcW w:w="1140" w:type="dxa"/>
            <w:vAlign w:val="bottom"/>
            <w:tcBorders>
              <w:bottom w:val="single" w:sz="8" w:color="231F20"/>
            </w:tcBorders>
          </w:tcPr>
          <w:p>
            <w:pPr>
              <w:jc w:val="right"/>
              <w:ind w:right="224"/>
              <w:spacing w:after="0"/>
              <w:rPr>
                <w:sz w:val="20"/>
                <w:szCs w:val="20"/>
                <w:color w:val="auto"/>
              </w:rPr>
            </w:pPr>
            <w:r>
              <w:rPr>
                <w:rFonts w:ascii="Times New Roman" w:cs="Times New Roman" w:eastAsia="Times New Roman" w:hAnsi="Times New Roman"/>
                <w:sz w:val="17"/>
                <w:szCs w:val="17"/>
                <w:color w:val="231F20"/>
              </w:rPr>
              <w:t>Healthcare</w:t>
            </w:r>
          </w:p>
        </w:tc>
        <w:tc>
          <w:tcPr>
            <w:tcW w:w="360" w:type="dxa"/>
            <w:vAlign w:val="bottom"/>
            <w:tcBorders>
              <w:bottom w:val="single" w:sz="8" w:color="231F20"/>
            </w:tcBorders>
          </w:tcPr>
          <w:p>
            <w:pPr>
              <w:spacing w:after="0"/>
              <w:rPr>
                <w:sz w:val="22"/>
                <w:szCs w:val="22"/>
                <w:color w:val="auto"/>
              </w:rPr>
            </w:pPr>
          </w:p>
        </w:tc>
        <w:tc>
          <w:tcPr>
            <w:tcW w:w="1020" w:type="dxa"/>
            <w:vAlign w:val="bottom"/>
            <w:tcBorders>
              <w:bottom w:val="single" w:sz="8" w:color="231F20"/>
            </w:tcBorders>
          </w:tcPr>
          <w:p>
            <w:pPr>
              <w:jc w:val="right"/>
              <w:ind w:right="404"/>
              <w:spacing w:after="0"/>
              <w:rPr>
                <w:sz w:val="20"/>
                <w:szCs w:val="20"/>
                <w:color w:val="auto"/>
              </w:rPr>
            </w:pPr>
            <w:r>
              <w:rPr>
                <w:rFonts w:ascii="Times New Roman" w:cs="Times New Roman" w:eastAsia="Times New Roman" w:hAnsi="Times New Roman"/>
                <w:sz w:val="17"/>
                <w:szCs w:val="17"/>
                <w:color w:val="231F20"/>
              </w:rPr>
              <w:t>AST</w:t>
            </w:r>
          </w:p>
        </w:tc>
        <w:tc>
          <w:tcPr>
            <w:tcW w:w="60" w:type="dxa"/>
            <w:vAlign w:val="bottom"/>
            <w:tcBorders>
              <w:bottom w:val="single" w:sz="8" w:color="231F20"/>
            </w:tcBorders>
          </w:tcPr>
          <w:p>
            <w:pPr>
              <w:spacing w:after="0"/>
              <w:rPr>
                <w:sz w:val="22"/>
                <w:szCs w:val="22"/>
                <w:color w:val="auto"/>
              </w:rPr>
            </w:pPr>
          </w:p>
        </w:tc>
        <w:tc>
          <w:tcPr>
            <w:tcW w:w="1240" w:type="dxa"/>
            <w:vAlign w:val="bottom"/>
            <w:tcBorders>
              <w:bottom w:val="single" w:sz="8" w:color="231F20"/>
            </w:tcBorders>
            <w:gridSpan w:val="2"/>
          </w:tcPr>
          <w:p>
            <w:pPr>
              <w:jc w:val="right"/>
              <w:ind w:right="63"/>
              <w:spacing w:after="0"/>
              <w:rPr>
                <w:sz w:val="20"/>
                <w:szCs w:val="20"/>
                <w:color w:val="auto"/>
              </w:rPr>
            </w:pPr>
            <w:r>
              <w:rPr>
                <w:rFonts w:ascii="Times New Roman" w:cs="Times New Roman" w:eastAsia="Times New Roman" w:hAnsi="Times New Roman"/>
                <w:sz w:val="17"/>
                <w:szCs w:val="17"/>
                <w:color w:val="231F20"/>
              </w:rPr>
              <w:t>Life Sciences</w:t>
            </w:r>
          </w:p>
        </w:tc>
        <w:tc>
          <w:tcPr>
            <w:tcW w:w="340" w:type="dxa"/>
            <w:vAlign w:val="bottom"/>
            <w:tcBorders>
              <w:bottom w:val="single" w:sz="8" w:color="231F20"/>
            </w:tcBorders>
          </w:tcPr>
          <w:p>
            <w:pPr>
              <w:spacing w:after="0"/>
              <w:rPr>
                <w:sz w:val="22"/>
                <w:szCs w:val="22"/>
                <w:color w:val="auto"/>
              </w:rPr>
            </w:pPr>
          </w:p>
        </w:tc>
        <w:tc>
          <w:tcPr>
            <w:tcW w:w="1020" w:type="dxa"/>
            <w:vAlign w:val="bottom"/>
            <w:tcBorders>
              <w:bottom w:val="single" w:sz="8" w:color="231F20"/>
            </w:tcBorders>
          </w:tcPr>
          <w:p>
            <w:pPr>
              <w:jc w:val="right"/>
              <w:ind w:right="384"/>
              <w:spacing w:after="0"/>
              <w:rPr>
                <w:sz w:val="20"/>
                <w:szCs w:val="20"/>
                <w:color w:val="auto"/>
              </w:rPr>
            </w:pPr>
            <w:r>
              <w:rPr>
                <w:rFonts w:ascii="Times New Roman" w:cs="Times New Roman" w:eastAsia="Times New Roman" w:hAnsi="Times New Roman"/>
                <w:sz w:val="17"/>
                <w:szCs w:val="17"/>
                <w:color w:val="231F20"/>
              </w:rPr>
              <w:t>Total</w:t>
            </w:r>
          </w:p>
        </w:tc>
      </w:tr>
      <w:tr>
        <w:trPr>
          <w:trHeight w:val="257"/>
        </w:trPr>
        <w:tc>
          <w:tcPr>
            <w:tcW w:w="456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Balance at March 31, 2024</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231F20"/>
              </w:rPr>
              <w:t>2,500.9</w:t>
            </w:r>
          </w:p>
        </w:tc>
        <w:tc>
          <w:tcPr>
            <w:tcW w:w="36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1,387.6</w:t>
            </w:r>
          </w:p>
        </w:tc>
        <w:tc>
          <w:tcPr>
            <w:tcW w:w="480" w:type="dxa"/>
            <w:vAlign w:val="bottom"/>
            <w:gridSpan w:val="2"/>
          </w:tcPr>
          <w:p>
            <w:pPr>
              <w:jc w:val="right"/>
              <w:ind w:right="188"/>
              <w:spacing w:after="0"/>
              <w:rPr>
                <w:sz w:val="20"/>
                <w:szCs w:val="20"/>
                <w:color w:val="auto"/>
              </w:rPr>
            </w:pPr>
            <w:r>
              <w:rPr>
                <w:rFonts w:ascii="Times New Roman" w:cs="Times New Roman" w:eastAsia="Times New Roman" w:hAnsi="Times New Roman"/>
                <w:sz w:val="19"/>
                <w:szCs w:val="19"/>
                <w:color w:val="231F20"/>
              </w:rPr>
              <w:t>$</w:t>
            </w:r>
          </w:p>
        </w:tc>
        <w:tc>
          <w:tcPr>
            <w:tcW w:w="8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231F20"/>
              </w:rPr>
              <w:t>182.2</w:t>
            </w: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4,070.7</w:t>
            </w:r>
          </w:p>
        </w:tc>
      </w:tr>
      <w:tr>
        <w:trPr>
          <w:trHeight w:val="274"/>
        </w:trPr>
        <w:tc>
          <w:tcPr>
            <w:tcW w:w="45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Goodwill acquired</w:t>
            </w:r>
          </w:p>
        </w:tc>
        <w:tc>
          <w:tcPr>
            <w:tcW w:w="220" w:type="dxa"/>
            <w:vAlign w:val="bottom"/>
          </w:tcPr>
          <w:p>
            <w:pPr>
              <w:spacing w:after="0"/>
              <w:rPr>
                <w:sz w:val="23"/>
                <w:szCs w:val="23"/>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231F20"/>
              </w:rPr>
              <w:t>2.1</w:t>
            </w:r>
          </w:p>
        </w:tc>
        <w:tc>
          <w:tcPr>
            <w:tcW w:w="3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8.5</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231F20"/>
              </w:rPr>
              <w:t>—</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10.6</w:t>
            </w:r>
          </w:p>
        </w:tc>
      </w:tr>
      <w:tr>
        <w:trPr>
          <w:trHeight w:val="277"/>
        </w:trPr>
        <w:tc>
          <w:tcPr>
            <w:tcW w:w="45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Measurement period adjustments to acquired goodwill</w:t>
            </w:r>
          </w:p>
        </w:tc>
        <w:tc>
          <w:tcPr>
            <w:tcW w:w="220" w:type="dxa"/>
            <w:vAlign w:val="bottom"/>
          </w:tcPr>
          <w:p>
            <w:pPr>
              <w:spacing w:after="0"/>
              <w:rPr>
                <w:sz w:val="24"/>
                <w:szCs w:val="24"/>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231F20"/>
              </w:rPr>
              <w:t>—</w:t>
            </w: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(11.6)</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(12.1)</w:t>
            </w:r>
          </w:p>
        </w:tc>
      </w:tr>
      <w:tr>
        <w:trPr>
          <w:trHeight w:val="454"/>
        </w:trPr>
        <w:tc>
          <w:tcPr>
            <w:tcW w:w="45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Foreign currency translation adjustments and other</w:t>
            </w:r>
          </w:p>
        </w:tc>
        <w:tc>
          <w:tcPr>
            <w:tcW w:w="220" w:type="dxa"/>
            <w:vAlign w:val="bottom"/>
            <w:tcBorders>
              <w:bottom w:val="single" w:sz="8" w:color="231F20"/>
            </w:tcBorders>
          </w:tcPr>
          <w:p>
            <w:pPr>
              <w:spacing w:after="0"/>
              <w:rPr>
                <w:sz w:val="24"/>
                <w:szCs w:val="24"/>
                <w:color w:val="auto"/>
              </w:rPr>
            </w:pPr>
          </w:p>
        </w:tc>
        <w:tc>
          <w:tcPr>
            <w:tcW w:w="1140" w:type="dxa"/>
            <w:vAlign w:val="bottom"/>
            <w:tcBorders>
              <w:bottom w:val="single" w:sz="8" w:color="231F20"/>
            </w:tcBorders>
          </w:tcPr>
          <w:p>
            <w:pPr>
              <w:jc w:val="right"/>
              <w:ind w:right="4"/>
              <w:spacing w:after="0"/>
              <w:rPr>
                <w:sz w:val="20"/>
                <w:szCs w:val="20"/>
                <w:color w:val="auto"/>
              </w:rPr>
            </w:pPr>
            <w:r>
              <w:rPr>
                <w:rFonts w:ascii="Times New Roman" w:cs="Times New Roman" w:eastAsia="Times New Roman" w:hAnsi="Times New Roman"/>
                <w:sz w:val="19"/>
                <w:szCs w:val="19"/>
                <w:color w:val="231F20"/>
              </w:rPr>
              <w:t>6.3</w:t>
            </w:r>
          </w:p>
        </w:tc>
        <w:tc>
          <w:tcPr>
            <w:tcW w:w="36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19.9</w:t>
            </w:r>
          </w:p>
        </w:tc>
        <w:tc>
          <w:tcPr>
            <w:tcW w:w="60" w:type="dxa"/>
            <w:vAlign w:val="bottom"/>
            <w:tcBorders>
              <w:bottom w:val="single" w:sz="8" w:color="231F20"/>
            </w:tcBorders>
          </w:tcPr>
          <w:p>
            <w:pPr>
              <w:spacing w:after="0"/>
              <w:rPr>
                <w:sz w:val="24"/>
                <w:szCs w:val="24"/>
                <w:color w:val="auto"/>
              </w:rPr>
            </w:pPr>
          </w:p>
        </w:tc>
        <w:tc>
          <w:tcPr>
            <w:tcW w:w="420" w:type="dxa"/>
            <w:vAlign w:val="bottom"/>
            <w:tcBorders>
              <w:bottom w:val="single" w:sz="8" w:color="231F20"/>
            </w:tcBorders>
          </w:tcPr>
          <w:p>
            <w:pPr>
              <w:spacing w:after="0"/>
              <w:rPr>
                <w:sz w:val="24"/>
                <w:szCs w:val="24"/>
                <w:color w:val="auto"/>
              </w:rPr>
            </w:pPr>
          </w:p>
        </w:tc>
        <w:tc>
          <w:tcPr>
            <w:tcW w:w="820" w:type="dxa"/>
            <w:vAlign w:val="bottom"/>
            <w:tcBorders>
              <w:bottom w:val="single" w:sz="8" w:color="231F20"/>
            </w:tcBorders>
          </w:tcPr>
          <w:p>
            <w:pPr>
              <w:jc w:val="right"/>
              <w:ind w:right="23"/>
              <w:spacing w:after="0"/>
              <w:rPr>
                <w:sz w:val="20"/>
                <w:szCs w:val="20"/>
                <w:color w:val="auto"/>
              </w:rPr>
            </w:pPr>
            <w:r>
              <w:rPr>
                <w:rFonts w:ascii="Times New Roman" w:cs="Times New Roman" w:eastAsia="Times New Roman" w:hAnsi="Times New Roman"/>
                <w:sz w:val="19"/>
                <w:szCs w:val="19"/>
                <w:color w:val="231F20"/>
              </w:rPr>
              <w:t>0.3</w:t>
            </w:r>
          </w:p>
        </w:tc>
        <w:tc>
          <w:tcPr>
            <w:tcW w:w="34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26.4</w:t>
            </w:r>
          </w:p>
        </w:tc>
      </w:tr>
      <w:tr>
        <w:trPr>
          <w:trHeight w:val="254"/>
        </w:trPr>
        <w:tc>
          <w:tcPr>
            <w:tcW w:w="456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Balance at March 31, 2025</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231F20"/>
              </w:rPr>
              <w:t>2,509.3</w:t>
            </w:r>
          </w:p>
        </w:tc>
        <w:tc>
          <w:tcPr>
            <w:tcW w:w="36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1,415.4</w:t>
            </w:r>
          </w:p>
        </w:tc>
        <w:tc>
          <w:tcPr>
            <w:tcW w:w="480" w:type="dxa"/>
            <w:vAlign w:val="bottom"/>
            <w:gridSpan w:val="2"/>
          </w:tcPr>
          <w:p>
            <w:pPr>
              <w:jc w:val="right"/>
              <w:ind w:right="188"/>
              <w:spacing w:after="0"/>
              <w:rPr>
                <w:sz w:val="20"/>
                <w:szCs w:val="20"/>
                <w:color w:val="auto"/>
              </w:rPr>
            </w:pPr>
            <w:r>
              <w:rPr>
                <w:rFonts w:ascii="Times New Roman" w:cs="Times New Roman" w:eastAsia="Times New Roman" w:hAnsi="Times New Roman"/>
                <w:sz w:val="19"/>
                <w:szCs w:val="19"/>
                <w:color w:val="231F20"/>
              </w:rPr>
              <w:t>$</w:t>
            </w:r>
          </w:p>
        </w:tc>
        <w:tc>
          <w:tcPr>
            <w:tcW w:w="8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231F20"/>
              </w:rPr>
              <w:t>170.9</w:t>
            </w: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4,095.7</w:t>
            </w:r>
          </w:p>
        </w:tc>
      </w:tr>
      <w:tr>
        <w:trPr>
          <w:trHeight w:val="277"/>
        </w:trPr>
        <w:tc>
          <w:tcPr>
            <w:tcW w:w="45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Goodwill acquired</w:t>
            </w:r>
          </w:p>
        </w:tc>
        <w:tc>
          <w:tcPr>
            <w:tcW w:w="220" w:type="dxa"/>
            <w:vAlign w:val="bottom"/>
          </w:tcPr>
          <w:p>
            <w:pPr>
              <w:spacing w:after="0"/>
              <w:rPr>
                <w:sz w:val="24"/>
                <w:szCs w:val="24"/>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9"/>
                <w:szCs w:val="19"/>
                <w:b w:val="1"/>
                <w:bCs w:val="1"/>
                <w:color w:val="231F20"/>
              </w:rPr>
              <w:t>8.8</w:t>
            </w: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231F20"/>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8.8</w:t>
            </w:r>
          </w:p>
        </w:tc>
      </w:tr>
      <w:tr>
        <w:trPr>
          <w:trHeight w:val="277"/>
        </w:trPr>
        <w:tc>
          <w:tcPr>
            <w:tcW w:w="45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Measurement period adjustments to acquired goodwill</w:t>
            </w:r>
          </w:p>
        </w:tc>
        <w:tc>
          <w:tcPr>
            <w:tcW w:w="220" w:type="dxa"/>
            <w:vAlign w:val="bottom"/>
          </w:tcPr>
          <w:p>
            <w:pPr>
              <w:spacing w:after="0"/>
              <w:rPr>
                <w:sz w:val="24"/>
                <w:szCs w:val="24"/>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9"/>
                <w:szCs w:val="19"/>
                <w:b w:val="1"/>
                <w:bCs w:val="1"/>
                <w:color w:val="231F20"/>
              </w:rPr>
              <w:t>—</w:t>
            </w: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231F20"/>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r>
      <w:tr>
        <w:trPr>
          <w:trHeight w:val="277"/>
        </w:trPr>
        <w:tc>
          <w:tcPr>
            <w:tcW w:w="45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Divestiture</w:t>
            </w:r>
          </w:p>
        </w:tc>
        <w:tc>
          <w:tcPr>
            <w:tcW w:w="220" w:type="dxa"/>
            <w:vAlign w:val="bottom"/>
          </w:tcPr>
          <w:p>
            <w:pPr>
              <w:spacing w:after="0"/>
              <w:rPr>
                <w:sz w:val="24"/>
                <w:szCs w:val="24"/>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9"/>
                <w:szCs w:val="19"/>
                <w:b w:val="1"/>
                <w:bCs w:val="1"/>
                <w:color w:val="231F20"/>
              </w:rPr>
              <w:t>—</w:t>
            </w: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231F20"/>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r>
      <w:tr>
        <w:trPr>
          <w:trHeight w:val="299"/>
        </w:trPr>
        <w:tc>
          <w:tcPr>
            <w:tcW w:w="45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Foreign currency translation adjustments and other</w:t>
            </w:r>
          </w:p>
        </w:tc>
        <w:tc>
          <w:tcPr>
            <w:tcW w:w="220" w:type="dxa"/>
            <w:vAlign w:val="bottom"/>
            <w:tcBorders>
              <w:bottom w:val="single" w:sz="8" w:color="231F20"/>
            </w:tcBorders>
          </w:tcPr>
          <w:p>
            <w:pPr>
              <w:spacing w:after="0"/>
              <w:rPr>
                <w:sz w:val="24"/>
                <w:szCs w:val="24"/>
                <w:color w:val="auto"/>
              </w:rPr>
            </w:pPr>
          </w:p>
        </w:tc>
        <w:tc>
          <w:tcPr>
            <w:tcW w:w="1140" w:type="dxa"/>
            <w:vAlign w:val="bottom"/>
            <w:tcBorders>
              <w:bottom w:val="single" w:sz="8" w:color="231F20"/>
            </w:tcBorders>
          </w:tcPr>
          <w:p>
            <w:pPr>
              <w:jc w:val="right"/>
              <w:ind w:right="4"/>
              <w:spacing w:after="0"/>
              <w:rPr>
                <w:sz w:val="20"/>
                <w:szCs w:val="20"/>
                <w:color w:val="auto"/>
              </w:rPr>
            </w:pPr>
            <w:r>
              <w:rPr>
                <w:rFonts w:ascii="Times New Roman" w:cs="Times New Roman" w:eastAsia="Times New Roman" w:hAnsi="Times New Roman"/>
                <w:sz w:val="19"/>
                <w:szCs w:val="19"/>
                <w:b w:val="1"/>
                <w:bCs w:val="1"/>
                <w:color w:val="231F20"/>
              </w:rPr>
              <w:t>21.0</w:t>
            </w:r>
          </w:p>
        </w:tc>
        <w:tc>
          <w:tcPr>
            <w:tcW w:w="36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66.8</w:t>
            </w:r>
          </w:p>
        </w:tc>
        <w:tc>
          <w:tcPr>
            <w:tcW w:w="60" w:type="dxa"/>
            <w:vAlign w:val="bottom"/>
          </w:tcPr>
          <w:p>
            <w:pPr>
              <w:spacing w:after="0"/>
              <w:rPr>
                <w:sz w:val="24"/>
                <w:szCs w:val="24"/>
                <w:color w:val="auto"/>
              </w:rPr>
            </w:pPr>
          </w:p>
        </w:tc>
        <w:tc>
          <w:tcPr>
            <w:tcW w:w="420" w:type="dxa"/>
            <w:vAlign w:val="bottom"/>
            <w:tcBorders>
              <w:bottom w:val="single" w:sz="8" w:color="231F20"/>
            </w:tcBorders>
          </w:tcPr>
          <w:p>
            <w:pPr>
              <w:spacing w:after="0"/>
              <w:rPr>
                <w:sz w:val="24"/>
                <w:szCs w:val="24"/>
                <w:color w:val="auto"/>
              </w:rPr>
            </w:pPr>
          </w:p>
        </w:tc>
        <w:tc>
          <w:tcPr>
            <w:tcW w:w="820" w:type="dxa"/>
            <w:vAlign w:val="bottom"/>
            <w:tcBorders>
              <w:bottom w:val="single" w:sz="8" w:color="231F20"/>
            </w:tcBorders>
          </w:tcPr>
          <w:p>
            <w:pPr>
              <w:jc w:val="right"/>
              <w:ind w:right="23"/>
              <w:spacing w:after="0"/>
              <w:rPr>
                <w:sz w:val="20"/>
                <w:szCs w:val="20"/>
                <w:color w:val="auto"/>
              </w:rPr>
            </w:pPr>
            <w:r>
              <w:rPr>
                <w:rFonts w:ascii="Times New Roman" w:cs="Times New Roman" w:eastAsia="Times New Roman" w:hAnsi="Times New Roman"/>
                <w:sz w:val="19"/>
                <w:szCs w:val="19"/>
                <w:b w:val="1"/>
                <w:bCs w:val="1"/>
                <w:color w:val="231F20"/>
              </w:rPr>
              <w:t>2.6</w:t>
            </w:r>
          </w:p>
        </w:tc>
        <w:tc>
          <w:tcPr>
            <w:tcW w:w="34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90.4</w:t>
            </w:r>
          </w:p>
        </w:tc>
      </w:tr>
      <w:tr>
        <w:trPr>
          <w:trHeight w:val="241"/>
        </w:trPr>
        <w:tc>
          <w:tcPr>
            <w:tcW w:w="456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Balance at March 31, 2026</w:t>
            </w:r>
          </w:p>
        </w:tc>
        <w:tc>
          <w:tcPr>
            <w:tcW w:w="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1140" w:type="dxa"/>
            <w:vAlign w:val="bottom"/>
            <w:tcBorders>
              <w:bottom w:val="single" w:sz="8" w:color="231F20"/>
            </w:tcBorders>
          </w:tcPr>
          <w:p>
            <w:pPr>
              <w:jc w:val="right"/>
              <w:ind w:right="4"/>
              <w:spacing w:after="0"/>
              <w:rPr>
                <w:sz w:val="20"/>
                <w:szCs w:val="20"/>
                <w:color w:val="auto"/>
              </w:rPr>
            </w:pPr>
            <w:r>
              <w:rPr>
                <w:rFonts w:ascii="Times New Roman" w:cs="Times New Roman" w:eastAsia="Times New Roman" w:hAnsi="Times New Roman"/>
                <w:sz w:val="19"/>
                <w:szCs w:val="19"/>
                <w:b w:val="1"/>
                <w:bCs w:val="1"/>
                <w:color w:val="231F20"/>
              </w:rPr>
              <w:t>2,539.0</w:t>
            </w:r>
          </w:p>
        </w:tc>
        <w:tc>
          <w:tcPr>
            <w:tcW w:w="360" w:type="dxa"/>
            <w:vAlign w:val="bottom"/>
            <w:tcBorders>
              <w:bottom w:val="single" w:sz="8" w:color="231F20"/>
            </w:tcBorders>
          </w:tcPr>
          <w:p>
            <w:pPr>
              <w:jc w:val="right"/>
              <w:ind w:right="83"/>
              <w:spacing w:after="0"/>
              <w:rPr>
                <w:sz w:val="20"/>
                <w:szCs w:val="20"/>
                <w:color w:val="auto"/>
              </w:rPr>
            </w:pPr>
            <w:r>
              <w:rPr>
                <w:rFonts w:ascii="Times New Roman" w:cs="Times New Roman" w:eastAsia="Times New Roman" w:hAnsi="Times New Roman"/>
                <w:sz w:val="19"/>
                <w:szCs w:val="19"/>
                <w:b w:val="1"/>
                <w:bCs w:val="1"/>
                <w:color w:val="231F20"/>
              </w:rPr>
              <w:t>$</w:t>
            </w: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1,482.3</w:t>
            </w:r>
          </w:p>
        </w:tc>
        <w:tc>
          <w:tcPr>
            <w:tcW w:w="60" w:type="dxa"/>
            <w:vAlign w:val="bottom"/>
            <w:tcBorders>
              <w:bottom w:val="single" w:sz="8" w:color="231F20"/>
            </w:tcBorders>
          </w:tcPr>
          <w:p>
            <w:pPr>
              <w:spacing w:after="0"/>
              <w:rPr>
                <w:sz w:val="20"/>
                <w:szCs w:val="20"/>
                <w:color w:val="auto"/>
              </w:rPr>
            </w:pPr>
          </w:p>
        </w:tc>
        <w:tc>
          <w:tcPr>
            <w:tcW w:w="420" w:type="dxa"/>
            <w:vAlign w:val="bottom"/>
            <w:tcBorders>
              <w:bottom w:val="single" w:sz="8" w:color="231F20"/>
            </w:tcBorders>
          </w:tcPr>
          <w:p>
            <w:pPr>
              <w:jc w:val="right"/>
              <w:ind w:right="188"/>
              <w:spacing w:after="0"/>
              <w:rPr>
                <w:sz w:val="20"/>
                <w:szCs w:val="20"/>
                <w:color w:val="auto"/>
              </w:rPr>
            </w:pPr>
            <w:r>
              <w:rPr>
                <w:rFonts w:ascii="Times New Roman" w:cs="Times New Roman" w:eastAsia="Times New Roman" w:hAnsi="Times New Roman"/>
                <w:sz w:val="19"/>
                <w:szCs w:val="19"/>
                <w:b w:val="1"/>
                <w:bCs w:val="1"/>
                <w:color w:val="231F20"/>
              </w:rPr>
              <w:t>$</w:t>
            </w:r>
          </w:p>
        </w:tc>
        <w:tc>
          <w:tcPr>
            <w:tcW w:w="820" w:type="dxa"/>
            <w:vAlign w:val="bottom"/>
            <w:tcBorders>
              <w:bottom w:val="single" w:sz="8" w:color="231F20"/>
            </w:tcBorders>
          </w:tcPr>
          <w:p>
            <w:pPr>
              <w:jc w:val="right"/>
              <w:ind w:right="23"/>
              <w:spacing w:after="0"/>
              <w:rPr>
                <w:sz w:val="20"/>
                <w:szCs w:val="20"/>
                <w:color w:val="auto"/>
              </w:rPr>
            </w:pPr>
            <w:r>
              <w:rPr>
                <w:rFonts w:ascii="Times New Roman" w:cs="Times New Roman" w:eastAsia="Times New Roman" w:hAnsi="Times New Roman"/>
                <w:sz w:val="19"/>
                <w:szCs w:val="19"/>
                <w:b w:val="1"/>
                <w:bCs w:val="1"/>
                <w:color w:val="231F20"/>
              </w:rPr>
              <w:t>173.5</w:t>
            </w:r>
          </w:p>
        </w:tc>
        <w:tc>
          <w:tcPr>
            <w:tcW w:w="340" w:type="dxa"/>
            <w:vAlign w:val="bottom"/>
            <w:tcBorders>
              <w:bottom w:val="single" w:sz="8" w:color="231F20"/>
            </w:tcBorders>
          </w:tcPr>
          <w:p>
            <w:pPr>
              <w:jc w:val="right"/>
              <w:ind w:right="83"/>
              <w:spacing w:after="0"/>
              <w:rPr>
                <w:sz w:val="20"/>
                <w:szCs w:val="20"/>
                <w:color w:val="auto"/>
              </w:rPr>
            </w:pPr>
            <w:r>
              <w:rPr>
                <w:rFonts w:ascii="Times New Roman" w:cs="Times New Roman" w:eastAsia="Times New Roman" w:hAnsi="Times New Roman"/>
                <w:sz w:val="19"/>
                <w:szCs w:val="19"/>
                <w:b w:val="1"/>
                <w:bCs w:val="1"/>
                <w:color w:val="231F20"/>
              </w:rPr>
              <w:t>$</w:t>
            </w: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4,194.8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-196850</wp:posOffset>
            </wp:positionV>
            <wp:extent cx="8756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
                      <a:extLst>
                        <a:ext uri="{28A0092B-C50C-407E-A947-70E740481C1C}"/>
                      </a:extLst>
                    </a:blip>
                    <a:srcRect/>
                    <a:stretch>
                      <a:fillRect/>
                    </a:stretch>
                  </pic:blipFill>
                  <pic:spPr bwMode="auto">
                    <a:xfrm>
                      <a:off x="0" y="0"/>
                      <a:ext cx="875665" cy="25400"/>
                    </a:xfrm>
                    <a:prstGeom prst="rect">
                      <a:avLst/>
                    </a:prstGeom>
                    <a:noFill/>
                  </pic:spPr>
                </pic:pic>
              </a:graphicData>
            </a:graphic>
          </wp:anchor>
        </w:drawing>
      </w:r>
    </w:p>
    <w:p>
      <w:pPr>
        <w:spacing w:after="0" w:line="118" w:lineRule="exact"/>
        <w:rPr>
          <w:sz w:val="20"/>
          <w:szCs w:val="20"/>
          <w:color w:val="auto"/>
        </w:rPr>
      </w:pPr>
    </w:p>
    <w:p>
      <w:pPr>
        <w:ind w:right="200" w:firstLine="349"/>
        <w:spacing w:after="0" w:line="293" w:lineRule="auto"/>
        <w:rPr>
          <w:sz w:val="20"/>
          <w:szCs w:val="20"/>
          <w:color w:val="auto"/>
        </w:rPr>
      </w:pPr>
      <w:r>
        <w:rPr>
          <w:rFonts w:ascii="Times New Roman" w:cs="Times New Roman" w:eastAsia="Times New Roman" w:hAnsi="Times New Roman"/>
          <w:sz w:val="19"/>
          <w:szCs w:val="19"/>
          <w:color w:val="231F20"/>
        </w:rPr>
        <w:t>See Note 3 titled, "Business Acquisitions, Divestitures, and Investments," for additional information regarding our recent business acquisitions and divestitures.</w:t>
      </w:r>
    </w:p>
    <w:p>
      <w:pPr>
        <w:spacing w:after="0" w:line="49" w:lineRule="exact"/>
        <w:rPr>
          <w:sz w:val="20"/>
          <w:szCs w:val="20"/>
          <w:color w:val="auto"/>
        </w:rPr>
      </w:pPr>
    </w:p>
    <w:p>
      <w:pPr>
        <w:ind w:right="220" w:firstLine="349"/>
        <w:spacing w:after="0" w:line="274" w:lineRule="auto"/>
        <w:rPr>
          <w:sz w:val="20"/>
          <w:szCs w:val="20"/>
          <w:color w:val="auto"/>
        </w:rPr>
      </w:pPr>
      <w:r>
        <w:rPr>
          <w:rFonts w:ascii="Times New Roman" w:cs="Times New Roman" w:eastAsia="Times New Roman" w:hAnsi="Times New Roman"/>
          <w:sz w:val="19"/>
          <w:szCs w:val="19"/>
          <w:color w:val="231F20"/>
        </w:rPr>
        <w:t>We evaluate the recoverability of recorded goodwill and indefinite-lived intangible assets annually during the third fiscal quarter, or when indicators of potential impairment exist. Our goodwill is assessed at the reporting unit level which is equivalent to the Company's reportable operating segments.</w:t>
      </w:r>
    </w:p>
    <w:p>
      <w:pPr>
        <w:spacing w:after="0" w:line="67" w:lineRule="exact"/>
        <w:rPr>
          <w:sz w:val="20"/>
          <w:szCs w:val="20"/>
          <w:color w:val="auto"/>
        </w:rPr>
      </w:pPr>
    </w:p>
    <w:p>
      <w:pPr>
        <w:ind w:right="660" w:firstLine="349"/>
        <w:spacing w:after="0" w:line="293" w:lineRule="auto"/>
        <w:rPr>
          <w:sz w:val="20"/>
          <w:szCs w:val="20"/>
          <w:color w:val="auto"/>
        </w:rPr>
      </w:pPr>
      <w:r>
        <w:rPr>
          <w:rFonts w:ascii="Times New Roman" w:cs="Times New Roman" w:eastAsia="Times New Roman" w:hAnsi="Times New Roman"/>
          <w:sz w:val="19"/>
          <w:szCs w:val="19"/>
          <w:color w:val="231F20"/>
        </w:rPr>
        <w:t>During our annual reviews for fiscal 2026, 2025, and 2024, there were no indicators that impairment of goodwill or indefinite-lived intangible assets was more likely than not.</w:t>
      </w:r>
    </w:p>
    <w:p>
      <w:pPr>
        <w:spacing w:after="0" w:line="49" w:lineRule="exact"/>
        <w:rPr>
          <w:sz w:val="20"/>
          <w:szCs w:val="20"/>
          <w:color w:val="auto"/>
        </w:rPr>
      </w:pPr>
    </w:p>
    <w:p>
      <w:pPr>
        <w:ind w:right="80" w:firstLine="349"/>
        <w:spacing w:after="0" w:line="268" w:lineRule="auto"/>
        <w:rPr>
          <w:sz w:val="20"/>
          <w:szCs w:val="20"/>
          <w:color w:val="auto"/>
        </w:rPr>
      </w:pPr>
      <w:r>
        <w:rPr>
          <w:rFonts w:ascii="Times New Roman" w:cs="Times New Roman" w:eastAsia="Times New Roman" w:hAnsi="Times New Roman"/>
          <w:sz w:val="19"/>
          <w:szCs w:val="19"/>
          <w:color w:val="231F20"/>
        </w:rPr>
        <w:t>Identifiable intangible assets are also reviewed for impairment when events and circumstances indicate that the carrying value of such assets may not be recoverable. Impaired assets are recorded at the lower of carrying value or estimated fair value. We conduct this review on an ongoing basis, and, if impairment exists, we record the loss in the Consolidated Statements of Income during that period.</w:t>
      </w:r>
    </w:p>
    <w:p>
      <w:pPr>
        <w:spacing w:after="0" w:line="72" w:lineRule="exact"/>
        <w:rPr>
          <w:sz w:val="20"/>
          <w:szCs w:val="20"/>
          <w:color w:val="auto"/>
        </w:rPr>
      </w:pPr>
    </w:p>
    <w:p>
      <w:pPr>
        <w:ind w:right="140" w:firstLine="349"/>
        <w:spacing w:after="0" w:line="265" w:lineRule="auto"/>
        <w:rPr>
          <w:sz w:val="20"/>
          <w:szCs w:val="20"/>
          <w:color w:val="auto"/>
        </w:rPr>
      </w:pPr>
      <w:r>
        <w:rPr>
          <w:rFonts w:ascii="Times New Roman" w:cs="Times New Roman" w:eastAsia="Times New Roman" w:hAnsi="Times New Roman"/>
          <w:sz w:val="19"/>
          <w:szCs w:val="19"/>
          <w:color w:val="231F20"/>
        </w:rPr>
        <w:t>When we evaluate these assets for impairment, we make certain judgments and estimates, including interpreting current economic indicators and market valuations, evaluating our strategic plans with regards to operations, historical and anticipated performance of operations, and other factors. It is possible that unfavorable developments related to these factors in the near term could result in an impairment loss relative to intangible assets. Such an impairment loss may be material to our results of operations in the period recorded.</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60" w:type="dxa"/>
            <w:vAlign w:val="bottom"/>
          </w:tcPr>
          <w:p>
            <w:pPr>
              <w:ind w:left="360"/>
              <w:spacing w:after="0"/>
              <w:rPr>
                <w:sz w:val="20"/>
                <w:szCs w:val="20"/>
                <w:color w:val="auto"/>
              </w:rPr>
            </w:pPr>
            <w:r>
              <w:rPr>
                <w:rFonts w:ascii="Times New Roman" w:cs="Times New Roman" w:eastAsia="Times New Roman" w:hAnsi="Times New Roman"/>
                <w:sz w:val="19"/>
                <w:szCs w:val="19"/>
                <w:color w:val="231F20"/>
              </w:rPr>
              <w:t>Information regarding our intangible assets is as follows: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50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(in millions)</w:t>
            </w:r>
          </w:p>
        </w:tc>
        <w:tc>
          <w:tcPr>
            <w:tcW w:w="220" w:type="dxa"/>
            <w:vAlign w:val="bottom"/>
            <w:tcBorders>
              <w:bottom w:val="single" w:sz="8" w:color="231F20"/>
            </w:tcBorders>
          </w:tcPr>
          <w:p>
            <w:pPr>
              <w:spacing w:after="0"/>
              <w:rPr>
                <w:sz w:val="24"/>
                <w:szCs w:val="24"/>
                <w:color w:val="auto"/>
              </w:rPr>
            </w:pPr>
          </w:p>
        </w:tc>
        <w:tc>
          <w:tcPr>
            <w:tcW w:w="1340" w:type="dxa"/>
            <w:vAlign w:val="bottom"/>
            <w:tcBorders>
              <w:bottom w:val="single" w:sz="8" w:color="231F20"/>
            </w:tcBorders>
            <w:gridSpan w:val="2"/>
          </w:tcPr>
          <w:p>
            <w:pPr>
              <w:jc w:val="right"/>
              <w:ind w:right="88"/>
              <w:spacing w:after="0"/>
              <w:rPr>
                <w:sz w:val="20"/>
                <w:szCs w:val="20"/>
                <w:color w:val="auto"/>
              </w:rPr>
            </w:pPr>
            <w:r>
              <w:rPr>
                <w:rFonts w:ascii="Times New Roman" w:cs="Times New Roman" w:eastAsia="Times New Roman" w:hAnsi="Times New Roman"/>
                <w:sz w:val="17"/>
                <w:szCs w:val="17"/>
                <w:color w:val="231F20"/>
              </w:rPr>
              <w:t>2026</w:t>
            </w:r>
          </w:p>
        </w:tc>
        <w:tc>
          <w:tcPr>
            <w:tcW w:w="840" w:type="dxa"/>
            <w:vAlign w:val="bottom"/>
            <w:tcBorders>
              <w:bottom w:val="single" w:sz="8" w:color="231F20"/>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1340" w:type="dxa"/>
            <w:vAlign w:val="bottom"/>
            <w:tcBorders>
              <w:bottom w:val="single" w:sz="8" w:color="231F20"/>
            </w:tcBorders>
            <w:gridSpan w:val="2"/>
          </w:tcPr>
          <w:p>
            <w:pPr>
              <w:jc w:val="right"/>
              <w:ind w:right="88"/>
              <w:spacing w:after="0"/>
              <w:rPr>
                <w:sz w:val="20"/>
                <w:szCs w:val="20"/>
                <w:color w:val="auto"/>
              </w:rPr>
            </w:pPr>
            <w:r>
              <w:rPr>
                <w:rFonts w:ascii="Times New Roman" w:cs="Times New Roman" w:eastAsia="Times New Roman" w:hAnsi="Times New Roman"/>
                <w:sz w:val="17"/>
                <w:szCs w:val="17"/>
                <w:color w:val="231F20"/>
              </w:rPr>
              <w:t>2025</w:t>
            </w:r>
          </w:p>
        </w:tc>
        <w:tc>
          <w:tcPr>
            <w:tcW w:w="84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5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right="147"/>
              <w:spacing w:after="0" w:line="142" w:lineRule="exact"/>
              <w:rPr>
                <w:sz w:val="20"/>
                <w:szCs w:val="20"/>
                <w:color w:val="auto"/>
              </w:rPr>
            </w:pPr>
            <w:r>
              <w:rPr>
                <w:rFonts w:ascii="Times New Roman" w:cs="Times New Roman" w:eastAsia="Times New Roman" w:hAnsi="Times New Roman"/>
                <w:sz w:val="16"/>
                <w:szCs w:val="16"/>
                <w:color w:val="231F20"/>
              </w:rPr>
              <w:t>Gross</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231F20"/>
              </w:rPr>
              <w:t>Accumulated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ind w:right="107"/>
              <w:spacing w:after="0" w:line="142" w:lineRule="exact"/>
              <w:rPr>
                <w:sz w:val="20"/>
                <w:szCs w:val="20"/>
                <w:color w:val="auto"/>
              </w:rPr>
            </w:pPr>
            <w:r>
              <w:rPr>
                <w:rFonts w:ascii="Times New Roman" w:cs="Times New Roman" w:eastAsia="Times New Roman" w:hAnsi="Times New Roman"/>
                <w:sz w:val="16"/>
                <w:szCs w:val="16"/>
                <w:color w:val="231F20"/>
              </w:rPr>
              <w:t>Gross</w:t>
            </w:r>
          </w:p>
        </w:tc>
        <w:tc>
          <w:tcPr>
            <w:tcW w:w="122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17"/>
                <w:szCs w:val="17"/>
                <w:color w:val="231F20"/>
              </w:rPr>
              <w:t>Accumulated</w:t>
            </w:r>
          </w:p>
        </w:tc>
        <w:tc>
          <w:tcPr>
            <w:tcW w:w="0" w:type="dxa"/>
            <w:vAlign w:val="bottom"/>
          </w:tcPr>
          <w:p>
            <w:pPr>
              <w:spacing w:after="0"/>
              <w:rPr>
                <w:sz w:val="1"/>
                <w:szCs w:val="1"/>
                <w:color w:val="auto"/>
              </w:rPr>
            </w:pPr>
          </w:p>
        </w:tc>
      </w:tr>
      <w:tr>
        <w:trPr>
          <w:trHeight w:val="175"/>
        </w:trPr>
        <w:tc>
          <w:tcPr>
            <w:tcW w:w="50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231F20"/>
              </w:rPr>
              <w:t>March 31,</w:t>
            </w:r>
          </w:p>
        </w:tc>
        <w:tc>
          <w:tcPr>
            <w:tcW w:w="220" w:type="dxa"/>
            <w:vAlign w:val="bottom"/>
          </w:tcPr>
          <w:p>
            <w:pPr>
              <w:spacing w:after="0"/>
              <w:rPr>
                <w:sz w:val="15"/>
                <w:szCs w:val="15"/>
                <w:color w:val="auto"/>
              </w:rPr>
            </w:pPr>
          </w:p>
        </w:tc>
        <w:tc>
          <w:tcPr>
            <w:tcW w:w="980" w:type="dxa"/>
            <w:vAlign w:val="bottom"/>
          </w:tcPr>
          <w:p>
            <w:pPr>
              <w:jc w:val="center"/>
              <w:ind w:right="147"/>
              <w:spacing w:after="0" w:line="175" w:lineRule="exact"/>
              <w:rPr>
                <w:sz w:val="20"/>
                <w:szCs w:val="20"/>
                <w:color w:val="auto"/>
              </w:rPr>
            </w:pPr>
            <w:r>
              <w:rPr>
                <w:rFonts w:ascii="Times New Roman" w:cs="Times New Roman" w:eastAsia="Times New Roman" w:hAnsi="Times New Roman"/>
                <w:sz w:val="17"/>
                <w:szCs w:val="17"/>
                <w:color w:val="231F20"/>
              </w:rPr>
              <w:t>Carrying</w:t>
            </w:r>
          </w:p>
        </w:tc>
        <w:tc>
          <w:tcPr>
            <w:tcW w:w="12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center"/>
              <w:ind w:right="87"/>
              <w:spacing w:after="0" w:line="175" w:lineRule="exact"/>
              <w:rPr>
                <w:sz w:val="20"/>
                <w:szCs w:val="20"/>
                <w:color w:val="auto"/>
              </w:rPr>
            </w:pPr>
            <w:r>
              <w:rPr>
                <w:rFonts w:ascii="Times New Roman" w:cs="Times New Roman" w:eastAsia="Times New Roman" w:hAnsi="Times New Roman"/>
                <w:sz w:val="17"/>
                <w:szCs w:val="17"/>
                <w:color w:val="231F20"/>
              </w:rPr>
              <w:t>Carrying</w:t>
            </w: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060" w:type="dxa"/>
            <w:vAlign w:val="bottom"/>
            <w:tcBorders>
              <w:bottom w:val="single" w:sz="8" w:color="231F20"/>
            </w:tcBorders>
            <w:vMerge w:val="continue"/>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center"/>
              <w:ind w:right="147"/>
              <w:spacing w:after="0"/>
              <w:rPr>
                <w:sz w:val="20"/>
                <w:szCs w:val="20"/>
                <w:color w:val="auto"/>
              </w:rPr>
            </w:pPr>
            <w:r>
              <w:rPr>
                <w:rFonts w:ascii="Times New Roman" w:cs="Times New Roman" w:eastAsia="Times New Roman" w:hAnsi="Times New Roman"/>
                <w:sz w:val="17"/>
                <w:szCs w:val="17"/>
                <w:color w:val="231F20"/>
              </w:rPr>
              <w:t>Amount</w:t>
            </w:r>
          </w:p>
        </w:tc>
        <w:tc>
          <w:tcPr>
            <w:tcW w:w="120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7"/>
                <w:szCs w:val="17"/>
                <w:color w:val="231F20"/>
              </w:rPr>
              <w:t>Amortization</w:t>
            </w:r>
          </w:p>
        </w:tc>
        <w:tc>
          <w:tcPr>
            <w:tcW w:w="80" w:type="dxa"/>
            <w:vAlign w:val="bottom"/>
            <w:tcBorders>
              <w:bottom w:val="single" w:sz="8" w:color="231F20"/>
            </w:tcBorders>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tcPr>
          <w:p>
            <w:pPr>
              <w:jc w:val="center"/>
              <w:ind w:right="107"/>
              <w:spacing w:after="0"/>
              <w:rPr>
                <w:sz w:val="20"/>
                <w:szCs w:val="20"/>
                <w:color w:val="auto"/>
              </w:rPr>
            </w:pPr>
            <w:r>
              <w:rPr>
                <w:rFonts w:ascii="Times New Roman" w:cs="Times New Roman" w:eastAsia="Times New Roman" w:hAnsi="Times New Roman"/>
                <w:sz w:val="17"/>
                <w:szCs w:val="17"/>
                <w:color w:val="231F20"/>
              </w:rPr>
              <w:t>Amount</w:t>
            </w:r>
          </w:p>
        </w:tc>
        <w:tc>
          <w:tcPr>
            <w:tcW w:w="1220" w:type="dxa"/>
            <w:vAlign w:val="bottom"/>
            <w:tcBorders>
              <w:bottom w:val="single" w:sz="8" w:color="231F20"/>
            </w:tcBorders>
            <w:gridSpan w:val="2"/>
          </w:tcPr>
          <w:p>
            <w:pPr>
              <w:jc w:val="right"/>
              <w:ind w:right="3"/>
              <w:spacing w:after="0"/>
              <w:rPr>
                <w:sz w:val="20"/>
                <w:szCs w:val="20"/>
                <w:color w:val="auto"/>
              </w:rPr>
            </w:pPr>
            <w:r>
              <w:rPr>
                <w:rFonts w:ascii="Times New Roman" w:cs="Times New Roman" w:eastAsia="Times New Roman" w:hAnsi="Times New Roman"/>
                <w:sz w:val="17"/>
                <w:szCs w:val="17"/>
                <w:color w:val="231F20"/>
              </w:rPr>
              <w:t>Amortization</w:t>
            </w:r>
          </w:p>
        </w:tc>
        <w:tc>
          <w:tcPr>
            <w:tcW w:w="0" w:type="dxa"/>
            <w:vAlign w:val="bottom"/>
          </w:tcPr>
          <w:p>
            <w:pPr>
              <w:spacing w:after="0"/>
              <w:rPr>
                <w:sz w:val="1"/>
                <w:szCs w:val="1"/>
                <w:color w:val="auto"/>
              </w:rPr>
            </w:pPr>
          </w:p>
        </w:tc>
      </w:tr>
      <w:tr>
        <w:trPr>
          <w:trHeight w:val="269"/>
        </w:trPr>
        <w:tc>
          <w:tcPr>
            <w:tcW w:w="506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Customer relationships</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980" w:type="dxa"/>
            <w:vAlign w:val="bottom"/>
          </w:tcPr>
          <w:p>
            <w:pPr>
              <w:jc w:val="right"/>
              <w:ind w:right="7"/>
              <w:spacing w:after="0"/>
              <w:rPr>
                <w:sz w:val="20"/>
                <w:szCs w:val="20"/>
                <w:color w:val="auto"/>
              </w:rPr>
            </w:pPr>
            <w:r>
              <w:rPr>
                <w:rFonts w:ascii="Times New Roman" w:cs="Times New Roman" w:eastAsia="Times New Roman" w:hAnsi="Times New Roman"/>
                <w:sz w:val="19"/>
                <w:szCs w:val="19"/>
                <w:b w:val="1"/>
                <w:bCs w:val="1"/>
                <w:color w:val="231F20"/>
              </w:rPr>
              <w:t>2,655.8</w:t>
            </w:r>
          </w:p>
        </w:tc>
        <w:tc>
          <w:tcPr>
            <w:tcW w:w="360" w:type="dxa"/>
            <w:vAlign w:val="bottom"/>
          </w:tcPr>
          <w:p>
            <w:pPr>
              <w:jc w:val="right"/>
              <w:ind w:right="68"/>
              <w:spacing w:after="0"/>
              <w:rPr>
                <w:sz w:val="20"/>
                <w:szCs w:val="20"/>
                <w:color w:val="auto"/>
              </w:rPr>
            </w:pPr>
            <w:r>
              <w:rPr>
                <w:rFonts w:ascii="Times New Roman" w:cs="Times New Roman" w:eastAsia="Times New Roman" w:hAnsi="Times New Roman"/>
                <w:sz w:val="19"/>
                <w:szCs w:val="19"/>
                <w:b w:val="1"/>
                <w:bCs w:val="1"/>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1,344.0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231F20"/>
              </w:rPr>
              <w:t>$</w:t>
            </w:r>
          </w:p>
        </w:tc>
        <w:tc>
          <w:tcPr>
            <w:tcW w:w="96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231F20"/>
              </w:rPr>
              <w:t>2,564.3</w:t>
            </w:r>
          </w:p>
        </w:tc>
        <w:tc>
          <w:tcPr>
            <w:tcW w:w="380" w:type="dxa"/>
            <w:vAlign w:val="bottom"/>
          </w:tcPr>
          <w:p>
            <w:pPr>
              <w:jc w:val="right"/>
              <w:ind w:right="88"/>
              <w:spacing w:after="0"/>
              <w:rPr>
                <w:sz w:val="20"/>
                <w:szCs w:val="20"/>
                <w:color w:val="auto"/>
              </w:rPr>
            </w:pPr>
            <w:r>
              <w:rPr>
                <w:rFonts w:ascii="Times New Roman" w:cs="Times New Roman" w:eastAsia="Times New Roman" w:hAnsi="Times New Roman"/>
                <w:sz w:val="19"/>
                <w:szCs w:val="19"/>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1,067.4</w:t>
            </w:r>
          </w:p>
        </w:tc>
        <w:tc>
          <w:tcPr>
            <w:tcW w:w="0" w:type="dxa"/>
            <w:vAlign w:val="bottom"/>
          </w:tcPr>
          <w:p>
            <w:pPr>
              <w:spacing w:after="0"/>
              <w:rPr>
                <w:sz w:val="1"/>
                <w:szCs w:val="1"/>
                <w:color w:val="auto"/>
              </w:rPr>
            </w:pPr>
          </w:p>
        </w:tc>
      </w:tr>
      <w:tr>
        <w:trPr>
          <w:trHeight w:val="291"/>
        </w:trPr>
        <w:tc>
          <w:tcPr>
            <w:tcW w:w="506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Non-compete agreements</w:t>
            </w:r>
          </w:p>
        </w:tc>
        <w:tc>
          <w:tcPr>
            <w:tcW w:w="220" w:type="dxa"/>
            <w:vAlign w:val="bottom"/>
          </w:tcPr>
          <w:p>
            <w:pPr>
              <w:spacing w:after="0"/>
              <w:rPr>
                <w:sz w:val="24"/>
                <w:szCs w:val="24"/>
                <w:color w:val="auto"/>
              </w:rPr>
            </w:pPr>
          </w:p>
        </w:tc>
        <w:tc>
          <w:tcPr>
            <w:tcW w:w="980" w:type="dxa"/>
            <w:vAlign w:val="bottom"/>
          </w:tcPr>
          <w:p>
            <w:pPr>
              <w:jc w:val="right"/>
              <w:ind w:right="7"/>
              <w:spacing w:after="0"/>
              <w:rPr>
                <w:sz w:val="20"/>
                <w:szCs w:val="20"/>
                <w:color w:val="auto"/>
              </w:rPr>
            </w:pPr>
            <w:r>
              <w:rPr>
                <w:rFonts w:ascii="Times New Roman" w:cs="Times New Roman" w:eastAsia="Times New Roman" w:hAnsi="Times New Roman"/>
                <w:sz w:val="19"/>
                <w:szCs w:val="19"/>
                <w:b w:val="1"/>
                <w:bCs w:val="1"/>
                <w:color w:val="231F20"/>
              </w:rPr>
              <w:t>—</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231F20"/>
              </w:rPr>
              <w:t>15.1</w:t>
            </w: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15.0</w:t>
            </w:r>
          </w:p>
        </w:tc>
        <w:tc>
          <w:tcPr>
            <w:tcW w:w="0" w:type="dxa"/>
            <w:vAlign w:val="bottom"/>
          </w:tcPr>
          <w:p>
            <w:pPr>
              <w:spacing w:after="0"/>
              <w:rPr>
                <w:sz w:val="1"/>
                <w:szCs w:val="1"/>
                <w:color w:val="auto"/>
              </w:rPr>
            </w:pPr>
          </w:p>
        </w:tc>
      </w:tr>
      <w:tr>
        <w:trPr>
          <w:trHeight w:val="291"/>
        </w:trPr>
        <w:tc>
          <w:tcPr>
            <w:tcW w:w="506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Patents and technology</w:t>
            </w:r>
          </w:p>
        </w:tc>
        <w:tc>
          <w:tcPr>
            <w:tcW w:w="220" w:type="dxa"/>
            <w:vAlign w:val="bottom"/>
          </w:tcPr>
          <w:p>
            <w:pPr>
              <w:spacing w:after="0"/>
              <w:rPr>
                <w:sz w:val="24"/>
                <w:szCs w:val="24"/>
                <w:color w:val="auto"/>
              </w:rPr>
            </w:pPr>
          </w:p>
        </w:tc>
        <w:tc>
          <w:tcPr>
            <w:tcW w:w="980" w:type="dxa"/>
            <w:vAlign w:val="bottom"/>
          </w:tcPr>
          <w:p>
            <w:pPr>
              <w:jc w:val="right"/>
              <w:ind w:right="7"/>
              <w:spacing w:after="0"/>
              <w:rPr>
                <w:sz w:val="20"/>
                <w:szCs w:val="20"/>
                <w:color w:val="auto"/>
              </w:rPr>
            </w:pPr>
            <w:r>
              <w:rPr>
                <w:rFonts w:ascii="Times New Roman" w:cs="Times New Roman" w:eastAsia="Times New Roman" w:hAnsi="Times New Roman"/>
                <w:sz w:val="19"/>
                <w:szCs w:val="19"/>
                <w:b w:val="1"/>
                <w:bCs w:val="1"/>
                <w:color w:val="231F20"/>
              </w:rPr>
              <w:t>456.6</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303.0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231F20"/>
              </w:rPr>
              <w:t>480.3</w:t>
            </w: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294.1</w:t>
            </w:r>
          </w:p>
        </w:tc>
        <w:tc>
          <w:tcPr>
            <w:tcW w:w="0" w:type="dxa"/>
            <w:vAlign w:val="bottom"/>
          </w:tcPr>
          <w:p>
            <w:pPr>
              <w:spacing w:after="0"/>
              <w:rPr>
                <w:sz w:val="1"/>
                <w:szCs w:val="1"/>
                <w:color w:val="auto"/>
              </w:rPr>
            </w:pPr>
          </w:p>
        </w:tc>
      </w:tr>
      <w:tr>
        <w:trPr>
          <w:trHeight w:val="291"/>
        </w:trPr>
        <w:tc>
          <w:tcPr>
            <w:tcW w:w="506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Trademarks and tradenames</w:t>
            </w:r>
          </w:p>
        </w:tc>
        <w:tc>
          <w:tcPr>
            <w:tcW w:w="220" w:type="dxa"/>
            <w:vAlign w:val="bottom"/>
          </w:tcPr>
          <w:p>
            <w:pPr>
              <w:spacing w:after="0"/>
              <w:rPr>
                <w:sz w:val="24"/>
                <w:szCs w:val="24"/>
                <w:color w:val="auto"/>
              </w:rPr>
            </w:pPr>
          </w:p>
        </w:tc>
        <w:tc>
          <w:tcPr>
            <w:tcW w:w="980" w:type="dxa"/>
            <w:vAlign w:val="bottom"/>
          </w:tcPr>
          <w:p>
            <w:pPr>
              <w:jc w:val="right"/>
              <w:ind w:right="7"/>
              <w:spacing w:after="0"/>
              <w:rPr>
                <w:sz w:val="20"/>
                <w:szCs w:val="20"/>
                <w:color w:val="auto"/>
              </w:rPr>
            </w:pPr>
            <w:r>
              <w:rPr>
                <w:rFonts w:ascii="Times New Roman" w:cs="Times New Roman" w:eastAsia="Times New Roman" w:hAnsi="Times New Roman"/>
                <w:sz w:val="19"/>
                <w:szCs w:val="19"/>
                <w:b w:val="1"/>
                <w:bCs w:val="1"/>
                <w:color w:val="231F20"/>
              </w:rPr>
              <w:t>235.8</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106.8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231F20"/>
              </w:rPr>
              <w:t>247.9</w:t>
            </w: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105.1</w:t>
            </w:r>
          </w:p>
        </w:tc>
        <w:tc>
          <w:tcPr>
            <w:tcW w:w="0" w:type="dxa"/>
            <w:vAlign w:val="bottom"/>
          </w:tcPr>
          <w:p>
            <w:pPr>
              <w:spacing w:after="0"/>
              <w:rPr>
                <w:sz w:val="1"/>
                <w:szCs w:val="1"/>
                <w:color w:val="auto"/>
              </w:rPr>
            </w:pPr>
          </w:p>
        </w:tc>
      </w:tr>
      <w:tr>
        <w:trPr>
          <w:trHeight w:val="294"/>
        </w:trPr>
        <w:tc>
          <w:tcPr>
            <w:tcW w:w="506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Supplier relationships</w:t>
            </w:r>
          </w:p>
        </w:tc>
        <w:tc>
          <w:tcPr>
            <w:tcW w:w="22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ind w:right="7"/>
              <w:spacing w:after="0"/>
              <w:rPr>
                <w:sz w:val="20"/>
                <w:szCs w:val="20"/>
                <w:color w:val="auto"/>
              </w:rPr>
            </w:pPr>
            <w:r>
              <w:rPr>
                <w:rFonts w:ascii="Times New Roman" w:cs="Times New Roman" w:eastAsia="Times New Roman" w:hAnsi="Times New Roman"/>
                <w:sz w:val="19"/>
                <w:szCs w:val="19"/>
                <w:b w:val="1"/>
                <w:bCs w:val="1"/>
                <w:color w:val="231F20"/>
              </w:rPr>
              <w:t>54.8</w:t>
            </w:r>
          </w:p>
        </w:tc>
        <w:tc>
          <w:tcPr>
            <w:tcW w:w="360" w:type="dxa"/>
            <w:vAlign w:val="bottom"/>
            <w:tcBorders>
              <w:bottom w:val="single" w:sz="8" w:color="231F20"/>
            </w:tcBorders>
          </w:tcPr>
          <w:p>
            <w:pPr>
              <w:spacing w:after="0"/>
              <w:rPr>
                <w:sz w:val="24"/>
                <w:szCs w:val="24"/>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29.2</w:t>
            </w:r>
          </w:p>
        </w:tc>
        <w:tc>
          <w:tcPr>
            <w:tcW w:w="80" w:type="dxa"/>
            <w:vAlign w:val="bottom"/>
            <w:tcBorders>
              <w:bottom w:val="single" w:sz="8" w:color="231F20"/>
            </w:tcBorders>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ind w:right="7"/>
              <w:spacing w:after="0"/>
              <w:rPr>
                <w:sz w:val="20"/>
                <w:szCs w:val="20"/>
                <w:color w:val="auto"/>
              </w:rPr>
            </w:pPr>
            <w:r>
              <w:rPr>
                <w:rFonts w:ascii="Times New Roman" w:cs="Times New Roman" w:eastAsia="Times New Roman" w:hAnsi="Times New Roman"/>
                <w:sz w:val="19"/>
                <w:szCs w:val="19"/>
                <w:color w:val="231F20"/>
              </w:rPr>
              <w:t>54.8</w:t>
            </w:r>
          </w:p>
        </w:tc>
        <w:tc>
          <w:tcPr>
            <w:tcW w:w="380" w:type="dxa"/>
            <w:vAlign w:val="bottom"/>
            <w:tcBorders>
              <w:bottom w:val="single" w:sz="8" w:color="231F20"/>
            </w:tcBorders>
          </w:tcPr>
          <w:p>
            <w:pPr>
              <w:spacing w:after="0"/>
              <w:rPr>
                <w:sz w:val="24"/>
                <w:szCs w:val="24"/>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26.5</w:t>
            </w:r>
          </w:p>
        </w:tc>
        <w:tc>
          <w:tcPr>
            <w:tcW w:w="0" w:type="dxa"/>
            <w:vAlign w:val="bottom"/>
          </w:tcPr>
          <w:p>
            <w:pPr>
              <w:spacing w:after="0"/>
              <w:rPr>
                <w:sz w:val="1"/>
                <w:szCs w:val="1"/>
                <w:color w:val="auto"/>
              </w:rPr>
            </w:pPr>
          </w:p>
        </w:tc>
      </w:tr>
      <w:tr>
        <w:trPr>
          <w:trHeight w:val="276"/>
        </w:trPr>
        <w:tc>
          <w:tcPr>
            <w:tcW w:w="506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231F20"/>
              </w:rPr>
              <w:t>Total</w:t>
            </w:r>
          </w:p>
        </w:tc>
        <w:tc>
          <w:tcPr>
            <w:tcW w:w="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980" w:type="dxa"/>
            <w:vAlign w:val="bottom"/>
            <w:tcBorders>
              <w:bottom w:val="single" w:sz="8" w:color="231F20"/>
            </w:tcBorders>
          </w:tcPr>
          <w:p>
            <w:pPr>
              <w:jc w:val="right"/>
              <w:ind w:right="7"/>
              <w:spacing w:after="0"/>
              <w:rPr>
                <w:sz w:val="20"/>
                <w:szCs w:val="20"/>
                <w:color w:val="auto"/>
              </w:rPr>
            </w:pPr>
            <w:r>
              <w:rPr>
                <w:rFonts w:ascii="Times New Roman" w:cs="Times New Roman" w:eastAsia="Times New Roman" w:hAnsi="Times New Roman"/>
                <w:sz w:val="19"/>
                <w:szCs w:val="19"/>
                <w:b w:val="1"/>
                <w:bCs w:val="1"/>
                <w:color w:val="231F20"/>
              </w:rPr>
              <w:t>3,403.0</w:t>
            </w:r>
          </w:p>
        </w:tc>
        <w:tc>
          <w:tcPr>
            <w:tcW w:w="360" w:type="dxa"/>
            <w:vAlign w:val="bottom"/>
            <w:tcBorders>
              <w:bottom w:val="single" w:sz="8" w:color="231F20"/>
            </w:tcBorders>
          </w:tcPr>
          <w:p>
            <w:pPr>
              <w:jc w:val="right"/>
              <w:ind w:right="68"/>
              <w:spacing w:after="0"/>
              <w:rPr>
                <w:sz w:val="20"/>
                <w:szCs w:val="20"/>
                <w:color w:val="auto"/>
              </w:rPr>
            </w:pPr>
            <w:r>
              <w:rPr>
                <w:rFonts w:ascii="Times New Roman" w:cs="Times New Roman" w:eastAsia="Times New Roman" w:hAnsi="Times New Roman"/>
                <w:sz w:val="19"/>
                <w:szCs w:val="19"/>
                <w:b w:val="1"/>
                <w:bCs w:val="1"/>
                <w:color w:val="231F20"/>
              </w:rPr>
              <w:t>$</w:t>
            </w: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1,783.0</w:t>
            </w:r>
          </w:p>
        </w:tc>
        <w:tc>
          <w:tcPr>
            <w:tcW w:w="300" w:type="dxa"/>
            <w:vAlign w:val="bottom"/>
            <w:tcBorders>
              <w:bottom w:val="single" w:sz="8" w:color="231F20"/>
            </w:tcBorders>
            <w:gridSpan w:val="2"/>
          </w:tcPr>
          <w:p>
            <w:pPr>
              <w:jc w:val="right"/>
              <w:ind w:right="80"/>
              <w:spacing w:after="0"/>
              <w:rPr>
                <w:sz w:val="20"/>
                <w:szCs w:val="20"/>
                <w:color w:val="auto"/>
              </w:rPr>
            </w:pPr>
            <w:r>
              <w:rPr>
                <w:rFonts w:ascii="Times New Roman" w:cs="Times New Roman" w:eastAsia="Times New Roman" w:hAnsi="Times New Roman"/>
                <w:sz w:val="19"/>
                <w:szCs w:val="19"/>
                <w:color w:val="231F20"/>
              </w:rPr>
              <w:t>$</w:t>
            </w:r>
          </w:p>
        </w:tc>
        <w:tc>
          <w:tcPr>
            <w:tcW w:w="960" w:type="dxa"/>
            <w:vAlign w:val="bottom"/>
            <w:tcBorders>
              <w:bottom w:val="single" w:sz="8" w:color="231F20"/>
            </w:tcBorders>
          </w:tcPr>
          <w:p>
            <w:pPr>
              <w:jc w:val="right"/>
              <w:ind w:right="7"/>
              <w:spacing w:after="0"/>
              <w:rPr>
                <w:sz w:val="20"/>
                <w:szCs w:val="20"/>
                <w:color w:val="auto"/>
              </w:rPr>
            </w:pPr>
            <w:r>
              <w:rPr>
                <w:rFonts w:ascii="Times New Roman" w:cs="Times New Roman" w:eastAsia="Times New Roman" w:hAnsi="Times New Roman"/>
                <w:sz w:val="19"/>
                <w:szCs w:val="19"/>
                <w:color w:val="231F20"/>
              </w:rPr>
              <w:t>3,362.4</w:t>
            </w:r>
          </w:p>
        </w:tc>
        <w:tc>
          <w:tcPr>
            <w:tcW w:w="380" w:type="dxa"/>
            <w:vAlign w:val="bottom"/>
            <w:tcBorders>
              <w:bottom w:val="single" w:sz="8" w:color="231F20"/>
            </w:tcBorders>
          </w:tcPr>
          <w:p>
            <w:pPr>
              <w:jc w:val="right"/>
              <w:ind w:right="88"/>
              <w:spacing w:after="0"/>
              <w:rPr>
                <w:sz w:val="20"/>
                <w:szCs w:val="20"/>
                <w:color w:val="auto"/>
              </w:rPr>
            </w:pPr>
            <w:r>
              <w:rPr>
                <w:rFonts w:ascii="Times New Roman" w:cs="Times New Roman" w:eastAsia="Times New Roman" w:hAnsi="Times New Roman"/>
                <w:sz w:val="19"/>
                <w:szCs w:val="19"/>
                <w:color w:val="231F20"/>
              </w:rPr>
              <w:t>$</w:t>
            </w: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1,508.0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960"/>
          </w:cols>
          <w:pgMar w:left="960" w:top="25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72</w:t>
      </w:r>
    </w:p>
    <w:p>
      <w:pPr>
        <w:sectPr>
          <w:pgSz w:w="11880" w:h="15480" w:orient="portrait"/>
          <w:cols w:equalWidth="0" w:num="1">
            <w:col w:w="9960"/>
          </w:cols>
          <w:pgMar w:left="960" w:top="250" w:right="960" w:bottom="0"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740" w:firstLine="398"/>
        <w:spacing w:after="0" w:line="268" w:lineRule="auto"/>
        <w:rPr>
          <w:sz w:val="20"/>
          <w:szCs w:val="20"/>
          <w:color w:val="auto"/>
        </w:rPr>
      </w:pPr>
      <w:r>
        <w:rPr>
          <w:rFonts w:ascii="Times New Roman" w:cs="Times New Roman" w:eastAsia="Times New Roman" w:hAnsi="Times New Roman"/>
          <w:sz w:val="19"/>
          <w:szCs w:val="19"/>
          <w:color w:val="231F20"/>
        </w:rPr>
        <w:t>Certain trademarks and tradenames obtained as a result of business combinations are indefinite-lived assets. The approximate carrying value of these assets at March 31, 2026 and March 31, 2025 was $14.3 million. We evaluate our indefinite-lived intangible assets annually during the third quarter or when evidence of potential impairment exists. No impairment was recognized for fiscal years 2026, 2025 or 2024.</w:t>
      </w:r>
    </w:p>
    <w:p>
      <w:pPr>
        <w:spacing w:after="0" w:line="72" w:lineRule="exact"/>
        <w:rPr>
          <w:sz w:val="20"/>
          <w:szCs w:val="20"/>
          <w:color w:val="auto"/>
        </w:rPr>
      </w:pPr>
    </w:p>
    <w:p>
      <w:pPr>
        <w:ind w:right="20" w:firstLine="349"/>
        <w:spacing w:after="0" w:line="274" w:lineRule="auto"/>
        <w:rPr>
          <w:sz w:val="20"/>
          <w:szCs w:val="20"/>
          <w:color w:val="auto"/>
        </w:rPr>
      </w:pPr>
      <w:r>
        <w:rPr>
          <w:rFonts w:ascii="Times New Roman" w:cs="Times New Roman" w:eastAsia="Times New Roman" w:hAnsi="Times New Roman"/>
          <w:sz w:val="19"/>
          <w:szCs w:val="19"/>
          <w:color w:val="231F20"/>
        </w:rPr>
        <w:t>Total amortization expense for intangible assets was $268.2 million, $276.2 million, and $268.3 million for the years ended March 31, 2026, 2025, and 2024, respectively. Based upon the current amount of intangible assets subject to amortization, the amortization expense for each of the five succeeding fiscal years is estimated to be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20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9"/>
                <w:szCs w:val="19"/>
                <w:color w:val="231F20"/>
              </w:rPr>
              <w:t>(in millions)</w:t>
            </w:r>
          </w:p>
        </w:tc>
        <w:tc>
          <w:tcPr>
            <w:tcW w:w="900" w:type="dxa"/>
            <w:vAlign w:val="bottom"/>
            <w:tcBorders>
              <w:bottom w:val="single" w:sz="8" w:color="231F20"/>
            </w:tcBorders>
          </w:tcPr>
          <w:p>
            <w:pPr>
              <w:spacing w:after="0"/>
              <w:rPr>
                <w:sz w:val="22"/>
                <w:szCs w:val="22"/>
                <w:color w:val="auto"/>
              </w:rPr>
            </w:pPr>
          </w:p>
        </w:tc>
        <w:tc>
          <w:tcPr>
            <w:tcW w:w="900" w:type="dxa"/>
            <w:vAlign w:val="bottom"/>
            <w:tcBorders>
              <w:bottom w:val="single" w:sz="8" w:color="231F20"/>
            </w:tcBorders>
          </w:tcPr>
          <w:p>
            <w:pPr>
              <w:jc w:val="right"/>
              <w:ind w:right="328"/>
              <w:spacing w:after="0"/>
              <w:rPr>
                <w:sz w:val="20"/>
                <w:szCs w:val="20"/>
                <w:color w:val="auto"/>
              </w:rPr>
            </w:pPr>
            <w:r>
              <w:rPr>
                <w:rFonts w:ascii="Times New Roman" w:cs="Times New Roman" w:eastAsia="Times New Roman" w:hAnsi="Times New Roman"/>
                <w:sz w:val="17"/>
                <w:szCs w:val="17"/>
                <w:color w:val="231F20"/>
              </w:rPr>
              <w:t>2027</w:t>
            </w:r>
          </w:p>
        </w:tc>
        <w:tc>
          <w:tcPr>
            <w:tcW w:w="340" w:type="dxa"/>
            <w:vAlign w:val="bottom"/>
            <w:tcBorders>
              <w:bottom w:val="single" w:sz="8" w:color="231F20"/>
            </w:tcBorders>
          </w:tcPr>
          <w:p>
            <w:pPr>
              <w:spacing w:after="0"/>
              <w:rPr>
                <w:sz w:val="22"/>
                <w:szCs w:val="22"/>
                <w:color w:val="auto"/>
              </w:rPr>
            </w:pPr>
          </w:p>
        </w:tc>
        <w:tc>
          <w:tcPr>
            <w:tcW w:w="900" w:type="dxa"/>
            <w:vAlign w:val="bottom"/>
            <w:tcBorders>
              <w:bottom w:val="single" w:sz="8" w:color="231F20"/>
            </w:tcBorders>
          </w:tcPr>
          <w:p>
            <w:pPr>
              <w:jc w:val="right"/>
              <w:ind w:right="348"/>
              <w:spacing w:after="0"/>
              <w:rPr>
                <w:sz w:val="20"/>
                <w:szCs w:val="20"/>
                <w:color w:val="auto"/>
              </w:rPr>
            </w:pPr>
            <w:r>
              <w:rPr>
                <w:rFonts w:ascii="Times New Roman" w:cs="Times New Roman" w:eastAsia="Times New Roman" w:hAnsi="Times New Roman"/>
                <w:sz w:val="17"/>
                <w:szCs w:val="17"/>
                <w:color w:val="231F20"/>
              </w:rPr>
              <w:t>2028</w:t>
            </w:r>
          </w:p>
        </w:tc>
        <w:tc>
          <w:tcPr>
            <w:tcW w:w="32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tcBorders>
          </w:tcPr>
          <w:p>
            <w:pPr>
              <w:jc w:val="right"/>
              <w:ind w:right="348"/>
              <w:spacing w:after="0"/>
              <w:rPr>
                <w:sz w:val="20"/>
                <w:szCs w:val="20"/>
                <w:color w:val="auto"/>
              </w:rPr>
            </w:pPr>
            <w:r>
              <w:rPr>
                <w:rFonts w:ascii="Times New Roman" w:cs="Times New Roman" w:eastAsia="Times New Roman" w:hAnsi="Times New Roman"/>
                <w:sz w:val="17"/>
                <w:szCs w:val="17"/>
                <w:color w:val="231F20"/>
              </w:rPr>
              <w:t>2029</w:t>
            </w:r>
          </w:p>
        </w:tc>
        <w:tc>
          <w:tcPr>
            <w:tcW w:w="32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tcBorders>
          </w:tcPr>
          <w:p>
            <w:pPr>
              <w:jc w:val="right"/>
              <w:ind w:right="348"/>
              <w:spacing w:after="0"/>
              <w:rPr>
                <w:sz w:val="20"/>
                <w:szCs w:val="20"/>
                <w:color w:val="auto"/>
              </w:rPr>
            </w:pPr>
            <w:r>
              <w:rPr>
                <w:rFonts w:ascii="Times New Roman" w:cs="Times New Roman" w:eastAsia="Times New Roman" w:hAnsi="Times New Roman"/>
                <w:sz w:val="17"/>
                <w:szCs w:val="17"/>
                <w:color w:val="231F20"/>
              </w:rPr>
              <w:t>2030</w:t>
            </w:r>
          </w:p>
        </w:tc>
        <w:tc>
          <w:tcPr>
            <w:tcW w:w="320" w:type="dxa"/>
            <w:vAlign w:val="bottom"/>
            <w:tcBorders>
              <w:bottom w:val="single" w:sz="8" w:color="231F20"/>
            </w:tcBorders>
          </w:tcPr>
          <w:p>
            <w:pPr>
              <w:spacing w:after="0"/>
              <w:rPr>
                <w:sz w:val="22"/>
                <w:szCs w:val="22"/>
                <w:color w:val="auto"/>
              </w:rPr>
            </w:pPr>
          </w:p>
        </w:tc>
        <w:tc>
          <w:tcPr>
            <w:tcW w:w="880" w:type="dxa"/>
            <w:vAlign w:val="bottom"/>
            <w:tcBorders>
              <w:bottom w:val="single" w:sz="8" w:color="231F20"/>
            </w:tcBorders>
          </w:tcPr>
          <w:p>
            <w:pPr>
              <w:jc w:val="right"/>
              <w:ind w:right="308"/>
              <w:spacing w:after="0"/>
              <w:rPr>
                <w:sz w:val="20"/>
                <w:szCs w:val="20"/>
                <w:color w:val="auto"/>
              </w:rPr>
            </w:pPr>
            <w:r>
              <w:rPr>
                <w:rFonts w:ascii="Times New Roman" w:cs="Times New Roman" w:eastAsia="Times New Roman" w:hAnsi="Times New Roman"/>
                <w:sz w:val="17"/>
                <w:szCs w:val="17"/>
                <w:color w:val="231F20"/>
              </w:rPr>
              <w:t>2031</w:t>
            </w:r>
          </w:p>
        </w:tc>
      </w:tr>
      <w:tr>
        <w:trPr>
          <w:trHeight w:val="269"/>
        </w:trPr>
        <w:tc>
          <w:tcPr>
            <w:tcW w:w="320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Estimated amortization expense</w:t>
            </w:r>
          </w:p>
        </w:tc>
        <w:tc>
          <w:tcPr>
            <w:tcW w:w="90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231F20"/>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9"/>
                <w:szCs w:val="19"/>
                <w:color w:val="231F20"/>
              </w:rPr>
              <w:t>253.1</w:t>
            </w:r>
          </w:p>
        </w:tc>
        <w:tc>
          <w:tcPr>
            <w:tcW w:w="3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231F20"/>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9"/>
                <w:szCs w:val="19"/>
                <w:color w:val="231F20"/>
              </w:rPr>
              <w:t>248.2</w:t>
            </w:r>
          </w:p>
        </w:tc>
        <w:tc>
          <w:tcPr>
            <w:tcW w:w="3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231F20"/>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9"/>
                <w:szCs w:val="19"/>
                <w:color w:val="231F20"/>
              </w:rPr>
              <w:t>246.3</w:t>
            </w:r>
          </w:p>
        </w:tc>
        <w:tc>
          <w:tcPr>
            <w:tcW w:w="3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231F20"/>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9"/>
                <w:szCs w:val="19"/>
                <w:color w:val="231F20"/>
              </w:rPr>
              <w:t>241.3</w:t>
            </w:r>
          </w:p>
        </w:tc>
        <w:tc>
          <w:tcPr>
            <w:tcW w:w="3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231F2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209.1</w:t>
            </w:r>
          </w:p>
        </w:tc>
      </w:tr>
    </w:tbl>
    <w:p>
      <w:pPr>
        <w:spacing w:after="0" w:line="166" w:lineRule="exact"/>
        <w:rPr>
          <w:sz w:val="20"/>
          <w:szCs w:val="20"/>
          <w:color w:val="auto"/>
        </w:rPr>
      </w:pPr>
    </w:p>
    <w:p>
      <w:pPr>
        <w:ind w:right="400" w:firstLine="349"/>
        <w:spacing w:after="0" w:line="293" w:lineRule="auto"/>
        <w:rPr>
          <w:sz w:val="20"/>
          <w:szCs w:val="20"/>
          <w:color w:val="auto"/>
        </w:rPr>
      </w:pPr>
      <w:r>
        <w:rPr>
          <w:rFonts w:ascii="Times New Roman" w:cs="Times New Roman" w:eastAsia="Times New Roman" w:hAnsi="Times New Roman"/>
          <w:sz w:val="19"/>
          <w:szCs w:val="19"/>
          <w:color w:val="231F20"/>
        </w:rPr>
        <w:t>The estimated annual amortization expense presented in the preceding table has been calculated based upon March 31, 2026 currency exchange rates.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6. INVENTORIES, NET</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Components of our inventories are presented in the following table.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20" w:type="dxa"/>
            <w:vAlign w:val="bottom"/>
          </w:tcPr>
          <w:p>
            <w:pPr>
              <w:ind w:left="180"/>
              <w:spacing w:after="0"/>
              <w:rPr>
                <w:sz w:val="20"/>
                <w:szCs w:val="20"/>
                <w:color w:val="auto"/>
              </w:rPr>
            </w:pPr>
            <w:r>
              <w:rPr>
                <w:rFonts w:ascii="Times New Roman" w:cs="Times New Roman" w:eastAsia="Times New Roman" w:hAnsi="Times New Roman"/>
                <w:sz w:val="17"/>
                <w:szCs w:val="17"/>
                <w:color w:val="231F20"/>
              </w:rPr>
              <w:t>(in millions)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96"/>
        </w:trPr>
        <w:tc>
          <w:tcPr>
            <w:tcW w:w="7220" w:type="dxa"/>
            <w:vAlign w:val="bottom"/>
            <w:tcBorders>
              <w:bottom w:val="single" w:sz="8" w:color="231F20"/>
            </w:tcBorders>
          </w:tcPr>
          <w:p>
            <w:pPr>
              <w:ind w:left="180"/>
              <w:spacing w:after="0"/>
              <w:rPr>
                <w:sz w:val="20"/>
                <w:szCs w:val="20"/>
                <w:color w:val="auto"/>
              </w:rPr>
            </w:pPr>
            <w:r>
              <w:rPr>
                <w:rFonts w:ascii="Times New Roman" w:cs="Times New Roman" w:eastAsia="Times New Roman" w:hAnsi="Times New Roman"/>
                <w:sz w:val="17"/>
                <w:szCs w:val="17"/>
                <w:color w:val="231F20"/>
              </w:rPr>
              <w:t>March 31,</w:t>
            </w:r>
          </w:p>
        </w:tc>
        <w:tc>
          <w:tcPr>
            <w:tcW w:w="20" w:type="dxa"/>
            <w:vAlign w:val="bottom"/>
            <w:tcBorders>
              <w:bottom w:val="single" w:sz="8" w:color="231F20"/>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ind w:right="444"/>
              <w:spacing w:after="0"/>
              <w:rPr>
                <w:sz w:val="20"/>
                <w:szCs w:val="20"/>
                <w:color w:val="auto"/>
              </w:rPr>
            </w:pPr>
            <w:r>
              <w:rPr>
                <w:rFonts w:ascii="Times New Roman" w:cs="Times New Roman" w:eastAsia="Times New Roman" w:hAnsi="Times New Roman"/>
                <w:sz w:val="17"/>
                <w:szCs w:val="17"/>
                <w:color w:val="231F20"/>
              </w:rPr>
              <w:t>2026</w:t>
            </w:r>
          </w:p>
        </w:tc>
        <w:tc>
          <w:tcPr>
            <w:tcW w:w="34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ind w:right="384"/>
              <w:spacing w:after="0"/>
              <w:rPr>
                <w:sz w:val="20"/>
                <w:szCs w:val="20"/>
                <w:color w:val="auto"/>
              </w:rPr>
            </w:pPr>
            <w:r>
              <w:rPr>
                <w:rFonts w:ascii="Times New Roman" w:cs="Times New Roman" w:eastAsia="Times New Roman" w:hAnsi="Times New Roman"/>
                <w:sz w:val="17"/>
                <w:szCs w:val="17"/>
                <w:color w:val="231F20"/>
              </w:rPr>
              <w:t>2025</w:t>
            </w:r>
          </w:p>
        </w:tc>
        <w:tc>
          <w:tcPr>
            <w:tcW w:w="20" w:type="dxa"/>
            <w:vAlign w:val="bottom"/>
          </w:tcPr>
          <w:p>
            <w:pPr>
              <w:spacing w:after="0"/>
              <w:rPr>
                <w:sz w:val="24"/>
                <w:szCs w:val="24"/>
                <w:color w:val="auto"/>
              </w:rPr>
            </w:pPr>
          </w:p>
        </w:tc>
      </w:tr>
      <w:tr>
        <w:trPr>
          <w:trHeight w:val="269"/>
        </w:trPr>
        <w:tc>
          <w:tcPr>
            <w:tcW w:w="722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Raw materials</w:t>
            </w:r>
          </w:p>
        </w:tc>
        <w:tc>
          <w:tcPr>
            <w:tcW w:w="320" w:type="dxa"/>
            <w:vAlign w:val="bottom"/>
            <w:gridSpan w:val="2"/>
          </w:tcPr>
          <w:p>
            <w:pPr>
              <w:jc w:val="right"/>
              <w:ind w:right="83"/>
              <w:spacing w:after="0"/>
              <w:rPr>
                <w:sz w:val="20"/>
                <w:szCs w:val="20"/>
                <w:color w:val="auto"/>
              </w:rPr>
            </w:pPr>
            <w:r>
              <w:rPr>
                <w:rFonts w:ascii="Times New Roman" w:cs="Times New Roman" w:eastAsia="Times New Roman" w:hAnsi="Times New Roman"/>
                <w:sz w:val="19"/>
                <w:szCs w:val="19"/>
                <w:b w:val="1"/>
                <w:bCs w:val="1"/>
                <w:color w:val="231F20"/>
              </w:rPr>
              <w:t>$</w:t>
            </w: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9"/>
                <w:szCs w:val="19"/>
                <w:b w:val="1"/>
                <w:bCs w:val="1"/>
                <w:color w:val="231F20"/>
              </w:rPr>
              <w:t>225.4</w:t>
            </w: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213.1</w:t>
            </w:r>
          </w:p>
        </w:tc>
        <w:tc>
          <w:tcPr>
            <w:tcW w:w="20" w:type="dxa"/>
            <w:vAlign w:val="bottom"/>
          </w:tcPr>
          <w:p>
            <w:pPr>
              <w:spacing w:after="0"/>
              <w:rPr>
                <w:sz w:val="23"/>
                <w:szCs w:val="23"/>
                <w:color w:val="auto"/>
              </w:rPr>
            </w:pPr>
          </w:p>
        </w:tc>
      </w:tr>
      <w:tr>
        <w:trPr>
          <w:trHeight w:val="291"/>
        </w:trPr>
        <w:tc>
          <w:tcPr>
            <w:tcW w:w="722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Work in process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9"/>
                <w:szCs w:val="19"/>
                <w:b w:val="1"/>
                <w:bCs w:val="1"/>
                <w:color w:val="231F20"/>
              </w:rPr>
              <w:t>90.7</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83.1</w:t>
            </w:r>
          </w:p>
        </w:tc>
        <w:tc>
          <w:tcPr>
            <w:tcW w:w="20" w:type="dxa"/>
            <w:vAlign w:val="bottom"/>
          </w:tcPr>
          <w:p>
            <w:pPr>
              <w:spacing w:after="0"/>
              <w:rPr>
                <w:sz w:val="24"/>
                <w:szCs w:val="24"/>
                <w:color w:val="auto"/>
              </w:rPr>
            </w:pPr>
          </w:p>
        </w:tc>
      </w:tr>
      <w:tr>
        <w:trPr>
          <w:trHeight w:val="291"/>
        </w:trPr>
        <w:tc>
          <w:tcPr>
            <w:tcW w:w="722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Finished goods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9"/>
                <w:szCs w:val="19"/>
                <w:b w:val="1"/>
                <w:bCs w:val="1"/>
                <w:color w:val="231F20"/>
              </w:rPr>
              <w:t>355.2</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334.9</w:t>
            </w:r>
          </w:p>
        </w:tc>
        <w:tc>
          <w:tcPr>
            <w:tcW w:w="20" w:type="dxa"/>
            <w:vAlign w:val="bottom"/>
          </w:tcPr>
          <w:p>
            <w:pPr>
              <w:spacing w:after="0"/>
              <w:rPr>
                <w:sz w:val="24"/>
                <w:szCs w:val="24"/>
                <w:color w:val="auto"/>
              </w:rPr>
            </w:pPr>
          </w:p>
        </w:tc>
      </w:tr>
      <w:tr>
        <w:trPr>
          <w:trHeight w:val="294"/>
        </w:trPr>
        <w:tc>
          <w:tcPr>
            <w:tcW w:w="722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Reserve for excess and obsolete inventory</w:t>
            </w:r>
          </w:p>
        </w:tc>
        <w:tc>
          <w:tcPr>
            <w:tcW w:w="20" w:type="dxa"/>
            <w:vAlign w:val="bottom"/>
            <w:tcBorders>
              <w:bottom w:val="single" w:sz="8" w:color="231F20"/>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(39.4)</w:t>
            </w:r>
          </w:p>
        </w:tc>
        <w:tc>
          <w:tcPr>
            <w:tcW w:w="34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(49.8)</w:t>
            </w:r>
          </w:p>
        </w:tc>
        <w:tc>
          <w:tcPr>
            <w:tcW w:w="20" w:type="dxa"/>
            <w:vAlign w:val="bottom"/>
          </w:tcPr>
          <w:p>
            <w:pPr>
              <w:spacing w:after="0"/>
              <w:rPr>
                <w:sz w:val="24"/>
                <w:szCs w:val="24"/>
                <w:color w:val="auto"/>
              </w:rPr>
            </w:pPr>
          </w:p>
        </w:tc>
      </w:tr>
      <w:tr>
        <w:trPr>
          <w:trHeight w:val="276"/>
        </w:trPr>
        <w:tc>
          <w:tcPr>
            <w:tcW w:w="72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Inventories, net</w:t>
            </w:r>
          </w:p>
        </w:tc>
        <w:tc>
          <w:tcPr>
            <w:tcW w:w="320" w:type="dxa"/>
            <w:vAlign w:val="bottom"/>
            <w:tcBorders>
              <w:bottom w:val="single" w:sz="8" w:color="231F20"/>
            </w:tcBorders>
            <w:gridSpan w:val="2"/>
          </w:tcPr>
          <w:p>
            <w:pPr>
              <w:jc w:val="right"/>
              <w:ind w:right="83"/>
              <w:spacing w:after="0"/>
              <w:rPr>
                <w:sz w:val="20"/>
                <w:szCs w:val="20"/>
                <w:color w:val="auto"/>
              </w:rPr>
            </w:pPr>
            <w:r>
              <w:rPr>
                <w:rFonts w:ascii="Times New Roman" w:cs="Times New Roman" w:eastAsia="Times New Roman" w:hAnsi="Times New Roman"/>
                <w:sz w:val="19"/>
                <w:szCs w:val="19"/>
                <w:b w:val="1"/>
                <w:bCs w:val="1"/>
                <w:color w:val="231F20"/>
              </w:rPr>
              <w:t>$</w:t>
            </w:r>
          </w:p>
        </w:tc>
        <w:tc>
          <w:tcPr>
            <w:tcW w:w="1060" w:type="dxa"/>
            <w:vAlign w:val="bottom"/>
            <w:tcBorders>
              <w:bottom w:val="single" w:sz="8" w:color="231F20"/>
            </w:tcBorders>
          </w:tcPr>
          <w:p>
            <w:pPr>
              <w:jc w:val="right"/>
              <w:ind w:right="44"/>
              <w:spacing w:after="0"/>
              <w:rPr>
                <w:sz w:val="20"/>
                <w:szCs w:val="20"/>
                <w:color w:val="auto"/>
              </w:rPr>
            </w:pPr>
            <w:r>
              <w:rPr>
                <w:rFonts w:ascii="Times New Roman" w:cs="Times New Roman" w:eastAsia="Times New Roman" w:hAnsi="Times New Roman"/>
                <w:sz w:val="19"/>
                <w:szCs w:val="19"/>
                <w:b w:val="1"/>
                <w:bCs w:val="1"/>
                <w:color w:val="231F20"/>
              </w:rPr>
              <w:t>631.8</w:t>
            </w:r>
          </w:p>
        </w:tc>
        <w:tc>
          <w:tcPr>
            <w:tcW w:w="340" w:type="dxa"/>
            <w:vAlign w:val="bottom"/>
            <w:tcBorders>
              <w:bottom w:val="single" w:sz="8" w:color="231F20"/>
            </w:tcBorders>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581.3</w:t>
            </w:r>
          </w:p>
        </w:tc>
        <w:tc>
          <w:tcPr>
            <w:tcW w:w="20" w:type="dxa"/>
            <w:vAlign w:val="bottom"/>
          </w:tcPr>
          <w:p>
            <w:pPr>
              <w:spacing w:after="0"/>
              <w:rPr>
                <w:sz w:val="23"/>
                <w:szCs w:val="23"/>
                <w:color w:val="auto"/>
              </w:rPr>
            </w:pPr>
          </w:p>
        </w:tc>
      </w:tr>
      <w:tr>
        <w:trPr>
          <w:trHeight w:val="706"/>
        </w:trPr>
        <w:tc>
          <w:tcPr>
            <w:tcW w:w="7220" w:type="dxa"/>
            <w:vAlign w:val="bottom"/>
          </w:tcPr>
          <w:p>
            <w:pPr>
              <w:spacing w:after="0"/>
              <w:rPr>
                <w:sz w:val="20"/>
                <w:szCs w:val="20"/>
                <w:color w:val="auto"/>
              </w:rPr>
            </w:pPr>
            <w:r>
              <w:rPr>
                <w:rFonts w:ascii="Times New Roman" w:cs="Times New Roman" w:eastAsia="Times New Roman" w:hAnsi="Times New Roman"/>
                <w:sz w:val="19"/>
                <w:szCs w:val="19"/>
                <w:b w:val="1"/>
                <w:bCs w:val="1"/>
                <w:color w:val="231F20"/>
              </w:rPr>
              <w:t>7. PROPERTY, PLANT, AND EQUIPMENT</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2"/>
        </w:trPr>
        <w:tc>
          <w:tcPr>
            <w:tcW w:w="7220" w:type="dxa"/>
            <w:vAlign w:val="bottom"/>
          </w:tcPr>
          <w:p>
            <w:pPr>
              <w:spacing w:after="0"/>
              <w:rPr>
                <w:sz w:val="20"/>
                <w:szCs w:val="20"/>
                <w:color w:val="auto"/>
              </w:rPr>
            </w:pPr>
            <w:r>
              <w:rPr>
                <w:rFonts w:ascii="Times New Roman" w:cs="Times New Roman" w:eastAsia="Times New Roman" w:hAnsi="Times New Roman"/>
                <w:sz w:val="19"/>
                <w:szCs w:val="19"/>
                <w:color w:val="231F20"/>
              </w:rPr>
              <w:t>Information related to the major categories of our depreciable assets is as follows: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2"/>
        </w:trPr>
        <w:tc>
          <w:tcPr>
            <w:tcW w:w="7220" w:type="dxa"/>
            <w:vAlign w:val="bottom"/>
          </w:tcPr>
          <w:p>
            <w:pPr>
              <w:ind w:left="180"/>
              <w:spacing w:after="0"/>
              <w:rPr>
                <w:sz w:val="20"/>
                <w:szCs w:val="20"/>
                <w:color w:val="auto"/>
              </w:rPr>
            </w:pPr>
            <w:r>
              <w:rPr>
                <w:rFonts w:ascii="Times New Roman" w:cs="Times New Roman" w:eastAsia="Times New Roman" w:hAnsi="Times New Roman"/>
                <w:sz w:val="17"/>
                <w:szCs w:val="17"/>
                <w:color w:val="231F20"/>
              </w:rPr>
              <w:t>(in millions)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1"/>
        </w:trPr>
        <w:tc>
          <w:tcPr>
            <w:tcW w:w="7220" w:type="dxa"/>
            <w:vAlign w:val="bottom"/>
            <w:tcBorders>
              <w:bottom w:val="single" w:sz="8" w:color="231F20"/>
            </w:tcBorders>
          </w:tcPr>
          <w:p>
            <w:pPr>
              <w:ind w:left="220"/>
              <w:spacing w:after="0"/>
              <w:rPr>
                <w:sz w:val="20"/>
                <w:szCs w:val="20"/>
                <w:color w:val="auto"/>
              </w:rPr>
            </w:pPr>
            <w:r>
              <w:rPr>
                <w:rFonts w:ascii="Times New Roman" w:cs="Times New Roman" w:eastAsia="Times New Roman" w:hAnsi="Times New Roman"/>
                <w:sz w:val="17"/>
                <w:szCs w:val="17"/>
                <w:color w:val="231F20"/>
              </w:rPr>
              <w:t>March 31,</w:t>
            </w:r>
          </w:p>
        </w:tc>
        <w:tc>
          <w:tcPr>
            <w:tcW w:w="20" w:type="dxa"/>
            <w:vAlign w:val="bottom"/>
            <w:tcBorders>
              <w:bottom w:val="single" w:sz="8" w:color="231F20"/>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ind w:right="424"/>
              <w:spacing w:after="0"/>
              <w:rPr>
                <w:sz w:val="20"/>
                <w:szCs w:val="20"/>
                <w:color w:val="auto"/>
              </w:rPr>
            </w:pPr>
            <w:r>
              <w:rPr>
                <w:rFonts w:ascii="Times New Roman" w:cs="Times New Roman" w:eastAsia="Times New Roman" w:hAnsi="Times New Roman"/>
                <w:sz w:val="17"/>
                <w:szCs w:val="17"/>
                <w:color w:val="231F20"/>
              </w:rPr>
              <w:t>2026</w:t>
            </w:r>
          </w:p>
        </w:tc>
        <w:tc>
          <w:tcPr>
            <w:tcW w:w="34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ind w:right="384"/>
              <w:spacing w:after="0"/>
              <w:rPr>
                <w:sz w:val="20"/>
                <w:szCs w:val="20"/>
                <w:color w:val="auto"/>
              </w:rPr>
            </w:pPr>
            <w:r>
              <w:rPr>
                <w:rFonts w:ascii="Times New Roman" w:cs="Times New Roman" w:eastAsia="Times New Roman" w:hAnsi="Times New Roman"/>
                <w:sz w:val="17"/>
                <w:szCs w:val="17"/>
                <w:color w:val="231F20"/>
              </w:rPr>
              <w:t>2025</w:t>
            </w:r>
          </w:p>
        </w:tc>
        <w:tc>
          <w:tcPr>
            <w:tcW w:w="20" w:type="dxa"/>
            <w:vAlign w:val="bottom"/>
            <w:tcBorders>
              <w:bottom w:val="single" w:sz="8" w:color="231F20"/>
            </w:tcBorders>
          </w:tcPr>
          <w:p>
            <w:pPr>
              <w:spacing w:after="0"/>
              <w:rPr>
                <w:sz w:val="24"/>
                <w:szCs w:val="24"/>
                <w:color w:val="auto"/>
              </w:rPr>
            </w:pPr>
          </w:p>
        </w:tc>
      </w:tr>
      <w:tr>
        <w:trPr>
          <w:trHeight w:val="215"/>
        </w:trPr>
        <w:tc>
          <w:tcPr>
            <w:tcW w:w="7220" w:type="dxa"/>
            <w:vAlign w:val="bottom"/>
          </w:tcPr>
          <w:p>
            <w:pPr>
              <w:ind w:left="500"/>
              <w:spacing w:after="0" w:line="216" w:lineRule="exact"/>
              <w:rPr>
                <w:sz w:val="20"/>
                <w:szCs w:val="20"/>
                <w:color w:val="auto"/>
              </w:rPr>
            </w:pPr>
            <w:r>
              <w:rPr>
                <w:rFonts w:ascii="Times New Roman" w:cs="Times New Roman" w:eastAsia="Times New Roman" w:hAnsi="Times New Roman"/>
                <w:sz w:val="19"/>
                <w:szCs w:val="19"/>
                <w:color w:val="231F20"/>
              </w:rPr>
              <w:t xml:space="preserve">Land and land improvements </w:t>
            </w:r>
            <w:r>
              <w:rPr>
                <w:rFonts w:ascii="Times New Roman" w:cs="Times New Roman" w:eastAsia="Times New Roman" w:hAnsi="Times New Roman"/>
                <w:sz w:val="24"/>
                <w:szCs w:val="24"/>
                <w:color w:val="231F20"/>
                <w:vertAlign w:val="superscript"/>
              </w:rPr>
              <w:t>(1)</w:t>
            </w:r>
          </w:p>
        </w:tc>
        <w:tc>
          <w:tcPr>
            <w:tcW w:w="320" w:type="dxa"/>
            <w:vAlign w:val="bottom"/>
            <w:gridSpan w:val="2"/>
          </w:tcPr>
          <w:p>
            <w:pPr>
              <w:jc w:val="right"/>
              <w:ind w:right="63"/>
              <w:spacing w:after="0" w:line="215" w:lineRule="exact"/>
              <w:rPr>
                <w:sz w:val="20"/>
                <w:szCs w:val="20"/>
                <w:color w:val="auto"/>
              </w:rPr>
            </w:pPr>
            <w:r>
              <w:rPr>
                <w:rFonts w:ascii="Times New Roman" w:cs="Times New Roman" w:eastAsia="Times New Roman" w:hAnsi="Times New Roman"/>
                <w:sz w:val="19"/>
                <w:szCs w:val="19"/>
                <w:b w:val="1"/>
                <w:bCs w:val="1"/>
                <w:color w:val="231F20"/>
              </w:rPr>
              <w:t>$</w:t>
            </w:r>
          </w:p>
        </w:tc>
        <w:tc>
          <w:tcPr>
            <w:tcW w:w="1060" w:type="dxa"/>
            <w:vAlign w:val="bottom"/>
          </w:tcPr>
          <w:p>
            <w:pPr>
              <w:jc w:val="right"/>
              <w:ind w:right="24"/>
              <w:spacing w:after="0" w:line="215" w:lineRule="exact"/>
              <w:rPr>
                <w:sz w:val="20"/>
                <w:szCs w:val="20"/>
                <w:color w:val="auto"/>
              </w:rPr>
            </w:pPr>
            <w:r>
              <w:rPr>
                <w:rFonts w:ascii="Times New Roman" w:cs="Times New Roman" w:eastAsia="Times New Roman" w:hAnsi="Times New Roman"/>
                <w:sz w:val="19"/>
                <w:szCs w:val="19"/>
                <w:b w:val="1"/>
                <w:bCs w:val="1"/>
                <w:color w:val="231F20"/>
              </w:rPr>
              <w:t>112.3</w:t>
            </w:r>
          </w:p>
        </w:tc>
        <w:tc>
          <w:tcPr>
            <w:tcW w:w="340" w:type="dxa"/>
            <w:vAlign w:val="bottom"/>
          </w:tcPr>
          <w:p>
            <w:pPr>
              <w:jc w:val="right"/>
              <w:ind w:right="63"/>
              <w:spacing w:after="0" w:line="215" w:lineRule="exact"/>
              <w:rPr>
                <w:sz w:val="20"/>
                <w:szCs w:val="20"/>
                <w:color w:val="auto"/>
              </w:rPr>
            </w:pPr>
            <w:r>
              <w:rPr>
                <w:rFonts w:ascii="Times New Roman" w:cs="Times New Roman" w:eastAsia="Times New Roman" w:hAnsi="Times New Roman"/>
                <w:sz w:val="19"/>
                <w:szCs w:val="19"/>
                <w:color w:val="231F20"/>
              </w:rPr>
              <w:t>$</w:t>
            </w:r>
          </w:p>
        </w:tc>
        <w:tc>
          <w:tcPr>
            <w:tcW w:w="1000" w:type="dxa"/>
            <w:vAlign w:val="bottom"/>
          </w:tcPr>
          <w:p>
            <w:pPr>
              <w:jc w:val="right"/>
              <w:spacing w:after="0" w:line="215" w:lineRule="exact"/>
              <w:rPr>
                <w:sz w:val="20"/>
                <w:szCs w:val="20"/>
                <w:color w:val="auto"/>
              </w:rPr>
            </w:pPr>
            <w:r>
              <w:rPr>
                <w:rFonts w:ascii="Times New Roman" w:cs="Times New Roman" w:eastAsia="Times New Roman" w:hAnsi="Times New Roman"/>
                <w:sz w:val="19"/>
                <w:szCs w:val="19"/>
                <w:color w:val="231F20"/>
              </w:rPr>
              <w:t>106.1</w:t>
            </w:r>
          </w:p>
        </w:tc>
        <w:tc>
          <w:tcPr>
            <w:tcW w:w="20" w:type="dxa"/>
            <w:vAlign w:val="bottom"/>
          </w:tcPr>
          <w:p>
            <w:pPr>
              <w:spacing w:after="0"/>
              <w:rPr>
                <w:sz w:val="18"/>
                <w:szCs w:val="18"/>
                <w:color w:val="auto"/>
              </w:rPr>
            </w:pPr>
          </w:p>
        </w:tc>
      </w:tr>
      <w:tr>
        <w:trPr>
          <w:trHeight w:val="247"/>
        </w:trPr>
        <w:tc>
          <w:tcPr>
            <w:tcW w:w="7220" w:type="dxa"/>
            <w:vAlign w:val="bottom"/>
          </w:tcPr>
          <w:p>
            <w:pPr>
              <w:ind w:left="500"/>
              <w:spacing w:after="0"/>
              <w:rPr>
                <w:sz w:val="20"/>
                <w:szCs w:val="20"/>
                <w:color w:val="auto"/>
              </w:rPr>
            </w:pPr>
            <w:r>
              <w:rPr>
                <w:rFonts w:ascii="Times New Roman" w:cs="Times New Roman" w:eastAsia="Times New Roman" w:hAnsi="Times New Roman"/>
                <w:sz w:val="19"/>
                <w:szCs w:val="19"/>
                <w:color w:val="231F20"/>
              </w:rPr>
              <w:t>Buildings and leasehold improvements</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24"/>
              <w:spacing w:after="0"/>
              <w:rPr>
                <w:sz w:val="20"/>
                <w:szCs w:val="20"/>
                <w:color w:val="auto"/>
              </w:rPr>
            </w:pPr>
            <w:r>
              <w:rPr>
                <w:rFonts w:ascii="Times New Roman" w:cs="Times New Roman" w:eastAsia="Times New Roman" w:hAnsi="Times New Roman"/>
                <w:sz w:val="19"/>
                <w:szCs w:val="19"/>
                <w:b w:val="1"/>
                <w:bCs w:val="1"/>
                <w:color w:val="231F20"/>
              </w:rPr>
              <w:t>903.6</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832.1</w:t>
            </w:r>
          </w:p>
        </w:tc>
        <w:tc>
          <w:tcPr>
            <w:tcW w:w="20" w:type="dxa"/>
            <w:vAlign w:val="bottom"/>
          </w:tcPr>
          <w:p>
            <w:pPr>
              <w:spacing w:after="0"/>
              <w:rPr>
                <w:sz w:val="21"/>
                <w:szCs w:val="21"/>
                <w:color w:val="auto"/>
              </w:rPr>
            </w:pPr>
          </w:p>
        </w:tc>
      </w:tr>
      <w:tr>
        <w:trPr>
          <w:trHeight w:val="247"/>
        </w:trPr>
        <w:tc>
          <w:tcPr>
            <w:tcW w:w="7220" w:type="dxa"/>
            <w:vAlign w:val="bottom"/>
          </w:tcPr>
          <w:p>
            <w:pPr>
              <w:ind w:left="500"/>
              <w:spacing w:after="0"/>
              <w:rPr>
                <w:sz w:val="20"/>
                <w:szCs w:val="20"/>
                <w:color w:val="auto"/>
              </w:rPr>
            </w:pPr>
            <w:r>
              <w:rPr>
                <w:rFonts w:ascii="Times New Roman" w:cs="Times New Roman" w:eastAsia="Times New Roman" w:hAnsi="Times New Roman"/>
                <w:sz w:val="19"/>
                <w:szCs w:val="19"/>
                <w:color w:val="231F20"/>
              </w:rPr>
              <w:t>Machinery and equipment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24"/>
              <w:spacing w:after="0"/>
              <w:rPr>
                <w:sz w:val="20"/>
                <w:szCs w:val="20"/>
                <w:color w:val="auto"/>
              </w:rPr>
            </w:pPr>
            <w:r>
              <w:rPr>
                <w:rFonts w:ascii="Times New Roman" w:cs="Times New Roman" w:eastAsia="Times New Roman" w:hAnsi="Times New Roman"/>
                <w:sz w:val="19"/>
                <w:szCs w:val="19"/>
                <w:b w:val="1"/>
                <w:bCs w:val="1"/>
                <w:color w:val="231F20"/>
              </w:rPr>
              <w:t>1,434.3</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1,205.4</w:t>
            </w:r>
          </w:p>
        </w:tc>
        <w:tc>
          <w:tcPr>
            <w:tcW w:w="20" w:type="dxa"/>
            <w:vAlign w:val="bottom"/>
          </w:tcPr>
          <w:p>
            <w:pPr>
              <w:spacing w:after="0"/>
              <w:rPr>
                <w:sz w:val="21"/>
                <w:szCs w:val="21"/>
                <w:color w:val="auto"/>
              </w:rPr>
            </w:pPr>
          </w:p>
        </w:tc>
      </w:tr>
      <w:tr>
        <w:trPr>
          <w:trHeight w:val="247"/>
        </w:trPr>
        <w:tc>
          <w:tcPr>
            <w:tcW w:w="7220" w:type="dxa"/>
            <w:vAlign w:val="bottom"/>
          </w:tcPr>
          <w:p>
            <w:pPr>
              <w:ind w:left="500"/>
              <w:spacing w:after="0"/>
              <w:rPr>
                <w:sz w:val="20"/>
                <w:szCs w:val="20"/>
                <w:color w:val="auto"/>
              </w:rPr>
            </w:pPr>
            <w:r>
              <w:rPr>
                <w:rFonts w:ascii="Times New Roman" w:cs="Times New Roman" w:eastAsia="Times New Roman" w:hAnsi="Times New Roman"/>
                <w:sz w:val="19"/>
                <w:szCs w:val="19"/>
                <w:color w:val="231F20"/>
              </w:rPr>
              <w:t>Information systems</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24"/>
              <w:spacing w:after="0"/>
              <w:rPr>
                <w:sz w:val="20"/>
                <w:szCs w:val="20"/>
                <w:color w:val="auto"/>
              </w:rPr>
            </w:pPr>
            <w:r>
              <w:rPr>
                <w:rFonts w:ascii="Times New Roman" w:cs="Times New Roman" w:eastAsia="Times New Roman" w:hAnsi="Times New Roman"/>
                <w:sz w:val="19"/>
                <w:szCs w:val="19"/>
                <w:b w:val="1"/>
                <w:bCs w:val="1"/>
                <w:color w:val="231F20"/>
              </w:rPr>
              <w:t>316.3</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282.1</w:t>
            </w:r>
          </w:p>
        </w:tc>
        <w:tc>
          <w:tcPr>
            <w:tcW w:w="20" w:type="dxa"/>
            <w:vAlign w:val="bottom"/>
          </w:tcPr>
          <w:p>
            <w:pPr>
              <w:spacing w:after="0"/>
              <w:rPr>
                <w:sz w:val="21"/>
                <w:szCs w:val="21"/>
                <w:color w:val="auto"/>
              </w:rPr>
            </w:pPr>
          </w:p>
        </w:tc>
      </w:tr>
      <w:tr>
        <w:trPr>
          <w:trHeight w:val="247"/>
        </w:trPr>
        <w:tc>
          <w:tcPr>
            <w:tcW w:w="7220" w:type="dxa"/>
            <w:vAlign w:val="bottom"/>
          </w:tcPr>
          <w:p>
            <w:pPr>
              <w:ind w:left="500"/>
              <w:spacing w:after="0"/>
              <w:rPr>
                <w:sz w:val="20"/>
                <w:szCs w:val="20"/>
                <w:color w:val="auto"/>
              </w:rPr>
            </w:pPr>
            <w:r>
              <w:rPr>
                <w:rFonts w:ascii="Times New Roman" w:cs="Times New Roman" w:eastAsia="Times New Roman" w:hAnsi="Times New Roman"/>
                <w:sz w:val="19"/>
                <w:szCs w:val="19"/>
                <w:color w:val="231F20"/>
              </w:rPr>
              <w:t>Radioisotope</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24"/>
              <w:spacing w:after="0"/>
              <w:rPr>
                <w:sz w:val="20"/>
                <w:szCs w:val="20"/>
                <w:color w:val="auto"/>
              </w:rPr>
            </w:pPr>
            <w:r>
              <w:rPr>
                <w:rFonts w:ascii="Times New Roman" w:cs="Times New Roman" w:eastAsia="Times New Roman" w:hAnsi="Times New Roman"/>
                <w:sz w:val="19"/>
                <w:szCs w:val="19"/>
                <w:b w:val="1"/>
                <w:bCs w:val="1"/>
                <w:color w:val="231F20"/>
              </w:rPr>
              <w:t>829.9</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749.8</w:t>
            </w:r>
          </w:p>
        </w:tc>
        <w:tc>
          <w:tcPr>
            <w:tcW w:w="20" w:type="dxa"/>
            <w:vAlign w:val="bottom"/>
          </w:tcPr>
          <w:p>
            <w:pPr>
              <w:spacing w:after="0"/>
              <w:rPr>
                <w:sz w:val="21"/>
                <w:szCs w:val="21"/>
                <w:color w:val="auto"/>
              </w:rPr>
            </w:pPr>
          </w:p>
        </w:tc>
      </w:tr>
      <w:tr>
        <w:trPr>
          <w:trHeight w:val="260"/>
        </w:trPr>
        <w:tc>
          <w:tcPr>
            <w:tcW w:w="7220" w:type="dxa"/>
            <w:vAlign w:val="bottom"/>
          </w:tcPr>
          <w:p>
            <w:pPr>
              <w:ind w:left="500"/>
              <w:spacing w:after="0" w:line="260" w:lineRule="exact"/>
              <w:rPr>
                <w:sz w:val="20"/>
                <w:szCs w:val="20"/>
                <w:color w:val="auto"/>
              </w:rPr>
            </w:pPr>
            <w:r>
              <w:rPr>
                <w:rFonts w:ascii="Times New Roman" w:cs="Times New Roman" w:eastAsia="Times New Roman" w:hAnsi="Times New Roman"/>
                <w:sz w:val="19"/>
                <w:szCs w:val="19"/>
                <w:color w:val="231F20"/>
              </w:rPr>
              <w:t xml:space="preserve">Construction in progress </w:t>
            </w:r>
            <w:r>
              <w:rPr>
                <w:rFonts w:ascii="Times New Roman" w:cs="Times New Roman" w:eastAsia="Times New Roman" w:hAnsi="Times New Roman"/>
                <w:sz w:val="25"/>
                <w:szCs w:val="25"/>
                <w:color w:val="231F20"/>
                <w:vertAlign w:val="superscript"/>
              </w:rPr>
              <w:t>(1)</w:t>
            </w:r>
          </w:p>
        </w:tc>
        <w:tc>
          <w:tcPr>
            <w:tcW w:w="20" w:type="dxa"/>
            <w:vAlign w:val="bottom"/>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tcBorders>
          </w:tcPr>
          <w:p>
            <w:pPr>
              <w:jc w:val="right"/>
              <w:ind w:right="24"/>
              <w:spacing w:after="0"/>
              <w:rPr>
                <w:sz w:val="20"/>
                <w:szCs w:val="20"/>
                <w:color w:val="auto"/>
              </w:rPr>
            </w:pPr>
            <w:r>
              <w:rPr>
                <w:rFonts w:ascii="Times New Roman" w:cs="Times New Roman" w:eastAsia="Times New Roman" w:hAnsi="Times New Roman"/>
                <w:sz w:val="19"/>
                <w:szCs w:val="19"/>
                <w:b w:val="1"/>
                <w:bCs w:val="1"/>
                <w:color w:val="231F20"/>
              </w:rPr>
              <w:t>509.5</w:t>
            </w:r>
          </w:p>
        </w:tc>
        <w:tc>
          <w:tcPr>
            <w:tcW w:w="34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512.1</w:t>
            </w:r>
          </w:p>
        </w:tc>
        <w:tc>
          <w:tcPr>
            <w:tcW w:w="20" w:type="dxa"/>
            <w:vAlign w:val="bottom"/>
            <w:tcBorders>
              <w:bottom w:val="single" w:sz="8" w:color="231F20"/>
            </w:tcBorders>
          </w:tcPr>
          <w:p>
            <w:pPr>
              <w:spacing w:after="0"/>
              <w:rPr>
                <w:sz w:val="22"/>
                <w:szCs w:val="22"/>
                <w:color w:val="auto"/>
              </w:rPr>
            </w:pPr>
          </w:p>
        </w:tc>
      </w:tr>
      <w:tr>
        <w:trPr>
          <w:trHeight w:val="215"/>
        </w:trPr>
        <w:tc>
          <w:tcPr>
            <w:tcW w:w="7220" w:type="dxa"/>
            <w:vAlign w:val="bottom"/>
          </w:tcPr>
          <w:p>
            <w:pPr>
              <w:ind w:left="500"/>
              <w:spacing w:after="0" w:line="214" w:lineRule="exact"/>
              <w:rPr>
                <w:sz w:val="20"/>
                <w:szCs w:val="20"/>
                <w:color w:val="auto"/>
              </w:rPr>
            </w:pPr>
            <w:r>
              <w:rPr>
                <w:rFonts w:ascii="Times New Roman" w:cs="Times New Roman" w:eastAsia="Times New Roman" w:hAnsi="Times New Roman"/>
                <w:sz w:val="19"/>
                <w:szCs w:val="19"/>
                <w:b w:val="1"/>
                <w:bCs w:val="1"/>
                <w:color w:val="231F20"/>
              </w:rPr>
              <w:t>Total property, plant, and equipment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24"/>
              <w:spacing w:after="0" w:line="214" w:lineRule="exact"/>
              <w:rPr>
                <w:sz w:val="20"/>
                <w:szCs w:val="20"/>
                <w:color w:val="auto"/>
              </w:rPr>
            </w:pPr>
            <w:r>
              <w:rPr>
                <w:rFonts w:ascii="Times New Roman" w:cs="Times New Roman" w:eastAsia="Times New Roman" w:hAnsi="Times New Roman"/>
                <w:sz w:val="19"/>
                <w:szCs w:val="19"/>
                <w:b w:val="1"/>
                <w:bCs w:val="1"/>
                <w:color w:val="231F20"/>
              </w:rPr>
              <w:t>4,105.9</w:t>
            </w:r>
          </w:p>
        </w:tc>
        <w:tc>
          <w:tcPr>
            <w:tcW w:w="340" w:type="dxa"/>
            <w:vAlign w:val="bottom"/>
          </w:tcPr>
          <w:p>
            <w:pPr>
              <w:spacing w:after="0"/>
              <w:rPr>
                <w:sz w:val="18"/>
                <w:szCs w:val="18"/>
                <w:color w:val="auto"/>
              </w:rPr>
            </w:pPr>
          </w:p>
        </w:tc>
        <w:tc>
          <w:tcPr>
            <w:tcW w:w="100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231F20"/>
              </w:rPr>
              <w:t>3,687.7</w:t>
            </w:r>
          </w:p>
        </w:tc>
        <w:tc>
          <w:tcPr>
            <w:tcW w:w="20" w:type="dxa"/>
            <w:vAlign w:val="bottom"/>
          </w:tcPr>
          <w:p>
            <w:pPr>
              <w:spacing w:after="0"/>
              <w:rPr>
                <w:sz w:val="18"/>
                <w:szCs w:val="18"/>
                <w:color w:val="auto"/>
              </w:rPr>
            </w:pPr>
          </w:p>
        </w:tc>
      </w:tr>
      <w:tr>
        <w:trPr>
          <w:trHeight w:val="260"/>
        </w:trPr>
        <w:tc>
          <w:tcPr>
            <w:tcW w:w="7220" w:type="dxa"/>
            <w:vAlign w:val="bottom"/>
          </w:tcPr>
          <w:p>
            <w:pPr>
              <w:ind w:left="500"/>
              <w:spacing w:after="0"/>
              <w:rPr>
                <w:sz w:val="20"/>
                <w:szCs w:val="20"/>
                <w:color w:val="auto"/>
              </w:rPr>
            </w:pPr>
            <w:r>
              <w:rPr>
                <w:rFonts w:ascii="Times New Roman" w:cs="Times New Roman" w:eastAsia="Times New Roman" w:hAnsi="Times New Roman"/>
                <w:sz w:val="19"/>
                <w:szCs w:val="19"/>
                <w:color w:val="231F20"/>
              </w:rPr>
              <w:t>Less: accumulated depreciation and depletion</w:t>
            </w:r>
          </w:p>
        </w:tc>
        <w:tc>
          <w:tcPr>
            <w:tcW w:w="20" w:type="dxa"/>
            <w:vAlign w:val="bottom"/>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(1,944.6)</w:t>
            </w:r>
          </w:p>
        </w:tc>
        <w:tc>
          <w:tcPr>
            <w:tcW w:w="34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(1,731.1)</w:t>
            </w:r>
          </w:p>
        </w:tc>
        <w:tc>
          <w:tcPr>
            <w:tcW w:w="20" w:type="dxa"/>
            <w:vAlign w:val="bottom"/>
            <w:tcBorders>
              <w:bottom w:val="single" w:sz="8" w:color="231F20"/>
            </w:tcBorders>
          </w:tcPr>
          <w:p>
            <w:pPr>
              <w:spacing w:after="0"/>
              <w:rPr>
                <w:sz w:val="22"/>
                <w:szCs w:val="22"/>
                <w:color w:val="auto"/>
              </w:rPr>
            </w:pPr>
          </w:p>
        </w:tc>
      </w:tr>
      <w:tr>
        <w:trPr>
          <w:trHeight w:val="232"/>
        </w:trPr>
        <w:tc>
          <w:tcPr>
            <w:tcW w:w="7220" w:type="dxa"/>
            <w:vAlign w:val="bottom"/>
          </w:tcPr>
          <w:p>
            <w:pPr>
              <w:ind w:left="500"/>
              <w:spacing w:after="0"/>
              <w:rPr>
                <w:sz w:val="20"/>
                <w:szCs w:val="20"/>
                <w:color w:val="auto"/>
              </w:rPr>
            </w:pPr>
            <w:r>
              <w:rPr>
                <w:rFonts w:ascii="Times New Roman" w:cs="Times New Roman" w:eastAsia="Times New Roman" w:hAnsi="Times New Roman"/>
                <w:sz w:val="19"/>
                <w:szCs w:val="19"/>
                <w:b w:val="1"/>
                <w:bCs w:val="1"/>
                <w:color w:val="231F20"/>
              </w:rPr>
              <w:t>Property, plant, and equipment, net</w:t>
            </w:r>
          </w:p>
        </w:tc>
        <w:tc>
          <w:tcPr>
            <w:tcW w:w="20" w:type="dxa"/>
            <w:vAlign w:val="bottom"/>
          </w:tcPr>
          <w:p>
            <w:pPr>
              <w:spacing w:after="0"/>
              <w:rPr>
                <w:sz w:val="20"/>
                <w:szCs w:val="20"/>
                <w:color w:val="auto"/>
              </w:rPr>
            </w:pPr>
          </w:p>
        </w:tc>
        <w:tc>
          <w:tcPr>
            <w:tcW w:w="300" w:type="dxa"/>
            <w:vAlign w:val="bottom"/>
            <w:tcBorders>
              <w:bottom w:val="single" w:sz="8" w:color="231F20"/>
            </w:tcBorders>
          </w:tcPr>
          <w:p>
            <w:pPr>
              <w:jc w:val="right"/>
              <w:ind w:right="63"/>
              <w:spacing w:after="0"/>
              <w:rPr>
                <w:sz w:val="20"/>
                <w:szCs w:val="20"/>
                <w:color w:val="auto"/>
              </w:rPr>
            </w:pPr>
            <w:r>
              <w:rPr>
                <w:rFonts w:ascii="Times New Roman" w:cs="Times New Roman" w:eastAsia="Times New Roman" w:hAnsi="Times New Roman"/>
                <w:sz w:val="19"/>
                <w:szCs w:val="19"/>
                <w:b w:val="1"/>
                <w:bCs w:val="1"/>
                <w:color w:val="231F20"/>
              </w:rPr>
              <w:t>$</w:t>
            </w:r>
          </w:p>
        </w:tc>
        <w:tc>
          <w:tcPr>
            <w:tcW w:w="1060" w:type="dxa"/>
            <w:vAlign w:val="bottom"/>
            <w:tcBorders>
              <w:bottom w:val="single" w:sz="8" w:color="231F20"/>
            </w:tcBorders>
          </w:tcPr>
          <w:p>
            <w:pPr>
              <w:jc w:val="right"/>
              <w:ind w:right="24"/>
              <w:spacing w:after="0"/>
              <w:rPr>
                <w:sz w:val="20"/>
                <w:szCs w:val="20"/>
                <w:color w:val="auto"/>
              </w:rPr>
            </w:pPr>
            <w:r>
              <w:rPr>
                <w:rFonts w:ascii="Times New Roman" w:cs="Times New Roman" w:eastAsia="Times New Roman" w:hAnsi="Times New Roman"/>
                <w:sz w:val="19"/>
                <w:szCs w:val="19"/>
                <w:b w:val="1"/>
                <w:bCs w:val="1"/>
                <w:color w:val="231F20"/>
              </w:rPr>
              <w:t>2,161.2</w:t>
            </w:r>
          </w:p>
        </w:tc>
        <w:tc>
          <w:tcPr>
            <w:tcW w:w="340" w:type="dxa"/>
            <w:vAlign w:val="bottom"/>
            <w:tcBorders>
              <w:bottom w:val="single" w:sz="8" w:color="231F20"/>
            </w:tcBorders>
          </w:tcPr>
          <w:p>
            <w:pPr>
              <w:jc w:val="right"/>
              <w:ind w:right="63"/>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1,956.5</w:t>
            </w:r>
          </w:p>
        </w:tc>
        <w:tc>
          <w:tcPr>
            <w:tcW w:w="20" w:type="dxa"/>
            <w:vAlign w:val="bottom"/>
            <w:tcBorders>
              <w:bottom w:val="single" w:sz="8" w:color="231F20"/>
            </w:tcBorders>
          </w:tcPr>
          <w:p>
            <w:pPr>
              <w:spacing w:after="0"/>
              <w:rPr>
                <w:sz w:val="20"/>
                <w:szCs w:val="20"/>
                <w:color w:val="auto"/>
              </w:rPr>
            </w:pPr>
          </w:p>
        </w:tc>
      </w:tr>
    </w:tbl>
    <w:p>
      <w:pPr>
        <w:spacing w:after="0" w:line="3" w:lineRule="exact"/>
        <w:rPr>
          <w:sz w:val="20"/>
          <w:szCs w:val="20"/>
          <w:color w:val="auto"/>
        </w:rPr>
      </w:pPr>
    </w:p>
    <w:p>
      <w:pPr>
        <w:ind w:left="180" w:hanging="177"/>
        <w:spacing w:after="0"/>
        <w:tabs>
          <w:tab w:leader="none" w:pos="180" w:val="left"/>
        </w:tabs>
        <w:numPr>
          <w:ilvl w:val="0"/>
          <w:numId w:val="25"/>
        </w:numPr>
        <w:rPr>
          <w:rFonts w:ascii="Times New Roman" w:cs="Times New Roman" w:eastAsia="Times New Roman" w:hAnsi="Times New Roman"/>
          <w:sz w:val="22"/>
          <w:szCs w:val="22"/>
          <w:color w:val="231F20"/>
          <w:vertAlign w:val="superscript"/>
        </w:rPr>
      </w:pPr>
      <w:r>
        <w:rPr>
          <w:rFonts w:ascii="Times New Roman" w:cs="Times New Roman" w:eastAsia="Times New Roman" w:hAnsi="Times New Roman"/>
          <w:sz w:val="17"/>
          <w:szCs w:val="17"/>
          <w:color w:val="231F20"/>
        </w:rPr>
        <w:t>Land is not depreciated. Construction in progress is not depreciated until placed in service.</w:t>
      </w:r>
    </w:p>
    <w:p>
      <w:pPr>
        <w:spacing w:after="0" w:line="92" w:lineRule="exact"/>
        <w:rPr>
          <w:sz w:val="20"/>
          <w:szCs w:val="20"/>
          <w:color w:val="auto"/>
        </w:rPr>
      </w:pPr>
    </w:p>
    <w:p>
      <w:pPr>
        <w:ind w:right="40" w:firstLine="349"/>
        <w:spacing w:after="0" w:line="293" w:lineRule="auto"/>
        <w:rPr>
          <w:sz w:val="20"/>
          <w:szCs w:val="20"/>
          <w:color w:val="auto"/>
        </w:rPr>
      </w:pPr>
      <w:r>
        <w:rPr>
          <w:rFonts w:ascii="Times New Roman" w:cs="Times New Roman" w:eastAsia="Times New Roman" w:hAnsi="Times New Roman"/>
          <w:sz w:val="19"/>
          <w:szCs w:val="19"/>
          <w:color w:val="231F20"/>
        </w:rPr>
        <w:t>Depreciation and depletion expense were $218.3 million, $199.7 million and $181.7 million, for the years ended March 31, 2026, 2025, and 2024, respectively.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Asset Retirement Obligations</w:t>
      </w:r>
    </w:p>
    <w:p>
      <w:pPr>
        <w:spacing w:after="0" w:line="138" w:lineRule="exact"/>
        <w:rPr>
          <w:sz w:val="20"/>
          <w:szCs w:val="20"/>
          <w:color w:val="auto"/>
        </w:rPr>
      </w:pPr>
    </w:p>
    <w:p>
      <w:pPr>
        <w:ind w:right="120" w:firstLine="349"/>
        <w:spacing w:after="0" w:line="268" w:lineRule="auto"/>
        <w:rPr>
          <w:sz w:val="20"/>
          <w:szCs w:val="20"/>
          <w:color w:val="auto"/>
        </w:rPr>
      </w:pPr>
      <w:r>
        <w:rPr>
          <w:rFonts w:ascii="Times New Roman" w:cs="Times New Roman" w:eastAsia="Times New Roman" w:hAnsi="Times New Roman"/>
          <w:sz w:val="19"/>
          <w:szCs w:val="19"/>
          <w:color w:val="231F20"/>
        </w:rPr>
        <w:t>We provide contract sterilization services including Gamma irradiation which utilizes cobalt-60 in the form of cobalt pencils. We have incurred asset retirement obligations (ARO) associated with the future disposal of these assets once depleted. Recognition of ARO includes: the present value of a liability and offsetting asset, the subsequent accretion of that liability and depletion of the asset, and the periodic review of the ARO liability estimates and discount rates used in the analysis.</w:t>
      </w:r>
    </w:p>
    <w:p>
      <w:pPr>
        <w:sectPr>
          <w:pgSz w:w="11880" w:h="15480" w:orient="portrait"/>
          <w:cols w:equalWidth="0" w:num="1">
            <w:col w:w="9960"/>
          </w:cols>
          <w:pgMar w:left="960" w:top="25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73</w:t>
      </w:r>
    </w:p>
    <w:p>
      <w:pPr>
        <w:sectPr>
          <w:pgSz w:w="11880" w:h="15480" w:orient="portrait"/>
          <w:cols w:equalWidth="0" w:num="1">
            <w:col w:w="9960"/>
          </w:cols>
          <w:pgMar w:left="960" w:top="250" w:right="960" w:bottom="0"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The following table summarizes the activity in the liability for asset retirement obligations.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24"/>
              <w:spacing w:after="0"/>
              <w:rPr>
                <w:sz w:val="20"/>
                <w:szCs w:val="20"/>
                <w:color w:val="auto"/>
              </w:rPr>
            </w:pPr>
            <w:r>
              <w:rPr>
                <w:rFonts w:ascii="Times New Roman" w:cs="Times New Roman" w:eastAsia="Times New Roman" w:hAnsi="Times New Roman"/>
                <w:sz w:val="19"/>
                <w:szCs w:val="19"/>
                <w:color w:val="231F20"/>
              </w:rPr>
              <w:t>Asset</w:t>
            </w:r>
          </w:p>
        </w:tc>
        <w:tc>
          <w:tcPr>
            <w:tcW w:w="0" w:type="dxa"/>
            <w:vAlign w:val="bottom"/>
          </w:tcPr>
          <w:p>
            <w:pPr>
              <w:spacing w:after="0"/>
              <w:rPr>
                <w:sz w:val="1"/>
                <w:szCs w:val="1"/>
                <w:color w:val="auto"/>
              </w:rPr>
            </w:pPr>
          </w:p>
        </w:tc>
      </w:tr>
      <w:tr>
        <w:trPr>
          <w:trHeight w:val="194"/>
        </w:trPr>
        <w:tc>
          <w:tcPr>
            <w:tcW w:w="7060" w:type="dxa"/>
            <w:vAlign w:val="bottom"/>
            <w:vMerge w:val="restart"/>
          </w:tcPr>
          <w:p>
            <w:pPr>
              <w:ind w:left="60"/>
              <w:spacing w:after="0"/>
              <w:rPr>
                <w:sz w:val="20"/>
                <w:szCs w:val="20"/>
                <w:color w:val="auto"/>
              </w:rPr>
            </w:pPr>
            <w:r>
              <w:rPr>
                <w:rFonts w:ascii="Times New Roman" w:cs="Times New Roman" w:eastAsia="Times New Roman" w:hAnsi="Times New Roman"/>
                <w:sz w:val="19"/>
                <w:szCs w:val="19"/>
                <w:color w:val="231F20"/>
              </w:rPr>
              <w:t>(in millions)</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231F20"/>
              </w:rPr>
              <w:t>Retirement</w:t>
            </w:r>
          </w:p>
        </w:tc>
        <w:tc>
          <w:tcPr>
            <w:tcW w:w="0" w:type="dxa"/>
            <w:vAlign w:val="bottom"/>
          </w:tcPr>
          <w:p>
            <w:pPr>
              <w:spacing w:after="0"/>
              <w:rPr>
                <w:sz w:val="1"/>
                <w:szCs w:val="1"/>
                <w:color w:val="auto"/>
              </w:rPr>
            </w:pPr>
          </w:p>
        </w:tc>
      </w:tr>
      <w:tr>
        <w:trPr>
          <w:trHeight w:val="255"/>
        </w:trPr>
        <w:tc>
          <w:tcPr>
            <w:tcW w:w="7060" w:type="dxa"/>
            <w:vAlign w:val="bottom"/>
            <w:tcBorders>
              <w:bottom w:val="single" w:sz="8" w:color="231F20"/>
            </w:tcBorders>
            <w:vMerge w:val="continue"/>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1220" w:type="dxa"/>
            <w:vAlign w:val="bottom"/>
            <w:tcBorders>
              <w:bottom w:val="single" w:sz="8" w:color="231F20"/>
            </w:tcBorders>
          </w:tcPr>
          <w:p>
            <w:pPr>
              <w:spacing w:after="0"/>
              <w:rPr>
                <w:sz w:val="22"/>
                <w:szCs w:val="22"/>
                <w:color w:val="auto"/>
              </w:rPr>
            </w:pPr>
          </w:p>
        </w:tc>
        <w:tc>
          <w:tcPr>
            <w:tcW w:w="160" w:type="dxa"/>
            <w:vAlign w:val="bottom"/>
            <w:tcBorders>
              <w:bottom w:val="single" w:sz="8" w:color="231F20"/>
            </w:tcBorders>
          </w:tcPr>
          <w:p>
            <w:pPr>
              <w:spacing w:after="0"/>
              <w:rPr>
                <w:sz w:val="22"/>
                <w:szCs w:val="22"/>
                <w:color w:val="auto"/>
              </w:rPr>
            </w:pPr>
          </w:p>
        </w:tc>
        <w:tc>
          <w:tcPr>
            <w:tcW w:w="40" w:type="dxa"/>
            <w:vAlign w:val="bottom"/>
            <w:tcBorders>
              <w:bottom w:val="single" w:sz="8" w:color="231F20"/>
            </w:tcBorders>
          </w:tcPr>
          <w:p>
            <w:pPr>
              <w:spacing w:after="0"/>
              <w:rPr>
                <w:sz w:val="22"/>
                <w:szCs w:val="22"/>
                <w:color w:val="auto"/>
              </w:rPr>
            </w:pPr>
          </w:p>
        </w:tc>
        <w:tc>
          <w:tcPr>
            <w:tcW w:w="120" w:type="dxa"/>
            <w:vAlign w:val="bottom"/>
            <w:tcBorders>
              <w:bottom w:val="single" w:sz="8" w:color="231F20"/>
            </w:tcBorders>
          </w:tcPr>
          <w:p>
            <w:pPr>
              <w:spacing w:after="0"/>
              <w:rPr>
                <w:sz w:val="22"/>
                <w:szCs w:val="22"/>
                <w:color w:val="auto"/>
              </w:rPr>
            </w:pPr>
          </w:p>
        </w:tc>
        <w:tc>
          <w:tcPr>
            <w:tcW w:w="1120" w:type="dxa"/>
            <w:vAlign w:val="bottom"/>
            <w:tcBorders>
              <w:bottom w:val="single" w:sz="8" w:color="231F20"/>
            </w:tcBorders>
          </w:tcPr>
          <w:p>
            <w:pPr>
              <w:ind w:left="20"/>
              <w:spacing w:after="0"/>
              <w:rPr>
                <w:sz w:val="20"/>
                <w:szCs w:val="20"/>
                <w:color w:val="auto"/>
              </w:rPr>
            </w:pPr>
            <w:r>
              <w:rPr>
                <w:rFonts w:ascii="Times New Roman" w:cs="Times New Roman" w:eastAsia="Times New Roman" w:hAnsi="Times New Roman"/>
                <w:sz w:val="19"/>
                <w:szCs w:val="19"/>
                <w:color w:val="231F20"/>
              </w:rPr>
              <w:t>Obligations</w:t>
            </w:r>
          </w:p>
        </w:tc>
        <w:tc>
          <w:tcPr>
            <w:tcW w:w="0" w:type="dxa"/>
            <w:vAlign w:val="bottom"/>
          </w:tcPr>
          <w:p>
            <w:pPr>
              <w:spacing w:after="0"/>
              <w:rPr>
                <w:sz w:val="1"/>
                <w:szCs w:val="1"/>
                <w:color w:val="auto"/>
              </w:rPr>
            </w:pPr>
          </w:p>
        </w:tc>
      </w:tr>
      <w:tr>
        <w:trPr>
          <w:trHeight w:val="269"/>
        </w:trPr>
        <w:tc>
          <w:tcPr>
            <w:tcW w:w="706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Balance at March 31, 2024</w:t>
            </w: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13.7</w:t>
            </w:r>
          </w:p>
        </w:tc>
        <w:tc>
          <w:tcPr>
            <w:tcW w:w="0" w:type="dxa"/>
            <w:vAlign w:val="bottom"/>
          </w:tcPr>
          <w:p>
            <w:pPr>
              <w:spacing w:after="0"/>
              <w:rPr>
                <w:sz w:val="1"/>
                <w:szCs w:val="1"/>
                <w:color w:val="auto"/>
              </w:rPr>
            </w:pPr>
          </w:p>
        </w:tc>
      </w:tr>
      <w:tr>
        <w:trPr>
          <w:trHeight w:val="291"/>
        </w:trPr>
        <w:tc>
          <w:tcPr>
            <w:tcW w:w="70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Liabilities incurred during the period</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0.6</w:t>
            </w:r>
          </w:p>
        </w:tc>
        <w:tc>
          <w:tcPr>
            <w:tcW w:w="0" w:type="dxa"/>
            <w:vAlign w:val="bottom"/>
          </w:tcPr>
          <w:p>
            <w:pPr>
              <w:spacing w:after="0"/>
              <w:rPr>
                <w:sz w:val="1"/>
                <w:szCs w:val="1"/>
                <w:color w:val="auto"/>
              </w:rPr>
            </w:pPr>
          </w:p>
        </w:tc>
      </w:tr>
      <w:tr>
        <w:trPr>
          <w:trHeight w:val="306"/>
        </w:trPr>
        <w:tc>
          <w:tcPr>
            <w:tcW w:w="70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Liabilities settled during the period</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(0.1)</w:t>
            </w:r>
          </w:p>
        </w:tc>
        <w:tc>
          <w:tcPr>
            <w:tcW w:w="0" w:type="dxa"/>
            <w:vAlign w:val="bottom"/>
          </w:tcPr>
          <w:p>
            <w:pPr>
              <w:spacing w:after="0"/>
              <w:rPr>
                <w:sz w:val="1"/>
                <w:szCs w:val="1"/>
                <w:color w:val="auto"/>
              </w:rPr>
            </w:pPr>
          </w:p>
        </w:tc>
      </w:tr>
      <w:tr>
        <w:trPr>
          <w:trHeight w:val="291"/>
        </w:trPr>
        <w:tc>
          <w:tcPr>
            <w:tcW w:w="70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Accretion expense and change in estimate</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0.3</w:t>
            </w:r>
          </w:p>
        </w:tc>
        <w:tc>
          <w:tcPr>
            <w:tcW w:w="0" w:type="dxa"/>
            <w:vAlign w:val="bottom"/>
          </w:tcPr>
          <w:p>
            <w:pPr>
              <w:spacing w:after="0"/>
              <w:rPr>
                <w:sz w:val="1"/>
                <w:szCs w:val="1"/>
                <w:color w:val="auto"/>
              </w:rPr>
            </w:pPr>
          </w:p>
        </w:tc>
      </w:tr>
      <w:tr>
        <w:trPr>
          <w:trHeight w:val="294"/>
        </w:trPr>
        <w:tc>
          <w:tcPr>
            <w:tcW w:w="70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Foreign currency and other</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bottom w:val="single" w:sz="8" w:color="231F20"/>
            </w:tcBorders>
          </w:tcPr>
          <w:p>
            <w:pPr>
              <w:spacing w:after="0"/>
              <w:rPr>
                <w:sz w:val="24"/>
                <w:szCs w:val="24"/>
                <w:color w:val="auto"/>
              </w:rPr>
            </w:pPr>
          </w:p>
        </w:tc>
        <w:tc>
          <w:tcPr>
            <w:tcW w:w="12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(0.1)</w:t>
            </w:r>
          </w:p>
        </w:tc>
        <w:tc>
          <w:tcPr>
            <w:tcW w:w="0" w:type="dxa"/>
            <w:vAlign w:val="bottom"/>
          </w:tcPr>
          <w:p>
            <w:pPr>
              <w:spacing w:after="0"/>
              <w:rPr>
                <w:sz w:val="1"/>
                <w:szCs w:val="1"/>
                <w:color w:val="auto"/>
              </w:rPr>
            </w:pPr>
          </w:p>
        </w:tc>
      </w:tr>
      <w:tr>
        <w:trPr>
          <w:trHeight w:val="281"/>
        </w:trPr>
        <w:tc>
          <w:tcPr>
            <w:tcW w:w="706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Balance at March 31, 2025</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bottom w:val="single" w:sz="8" w:color="231F20"/>
            </w:tcBorders>
          </w:tcPr>
          <w:p>
            <w:pPr>
              <w:spacing w:after="0"/>
              <w:rPr>
                <w:sz w:val="24"/>
                <w:szCs w:val="24"/>
                <w:color w:val="auto"/>
              </w:rPr>
            </w:pPr>
          </w:p>
        </w:tc>
        <w:tc>
          <w:tcPr>
            <w:tcW w:w="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14.4</w:t>
            </w:r>
          </w:p>
        </w:tc>
        <w:tc>
          <w:tcPr>
            <w:tcW w:w="0" w:type="dxa"/>
            <w:vAlign w:val="bottom"/>
          </w:tcPr>
          <w:p>
            <w:pPr>
              <w:spacing w:after="0"/>
              <w:rPr>
                <w:sz w:val="1"/>
                <w:szCs w:val="1"/>
                <w:color w:val="auto"/>
              </w:rPr>
            </w:pPr>
          </w:p>
        </w:tc>
      </w:tr>
      <w:tr>
        <w:trPr>
          <w:trHeight w:val="259"/>
        </w:trPr>
        <w:tc>
          <w:tcPr>
            <w:tcW w:w="70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Liabilities incurred during the period</w:t>
            </w: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1.0</w:t>
            </w:r>
          </w:p>
        </w:tc>
        <w:tc>
          <w:tcPr>
            <w:tcW w:w="0" w:type="dxa"/>
            <w:vAlign w:val="bottom"/>
          </w:tcPr>
          <w:p>
            <w:pPr>
              <w:spacing w:after="0"/>
              <w:rPr>
                <w:sz w:val="1"/>
                <w:szCs w:val="1"/>
                <w:color w:val="auto"/>
              </w:rPr>
            </w:pPr>
          </w:p>
        </w:tc>
      </w:tr>
      <w:tr>
        <w:trPr>
          <w:trHeight w:val="291"/>
        </w:trPr>
        <w:tc>
          <w:tcPr>
            <w:tcW w:w="70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Liabilities settled during the period</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0" w:type="dxa"/>
            <w:vAlign w:val="bottom"/>
          </w:tcPr>
          <w:p>
            <w:pPr>
              <w:spacing w:after="0"/>
              <w:rPr>
                <w:sz w:val="1"/>
                <w:szCs w:val="1"/>
                <w:color w:val="auto"/>
              </w:rPr>
            </w:pPr>
          </w:p>
        </w:tc>
      </w:tr>
      <w:tr>
        <w:trPr>
          <w:trHeight w:val="291"/>
        </w:trPr>
        <w:tc>
          <w:tcPr>
            <w:tcW w:w="70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Accretion expense and change in estimate</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0.3</w:t>
            </w:r>
          </w:p>
        </w:tc>
        <w:tc>
          <w:tcPr>
            <w:tcW w:w="0" w:type="dxa"/>
            <w:vAlign w:val="bottom"/>
          </w:tcPr>
          <w:p>
            <w:pPr>
              <w:spacing w:after="0"/>
              <w:rPr>
                <w:sz w:val="1"/>
                <w:szCs w:val="1"/>
                <w:color w:val="auto"/>
              </w:rPr>
            </w:pPr>
          </w:p>
        </w:tc>
      </w:tr>
      <w:tr>
        <w:trPr>
          <w:trHeight w:val="294"/>
        </w:trPr>
        <w:tc>
          <w:tcPr>
            <w:tcW w:w="70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Foreign currency and other</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bottom w:val="single" w:sz="8" w:color="231F20"/>
            </w:tcBorders>
          </w:tcPr>
          <w:p>
            <w:pPr>
              <w:spacing w:after="0"/>
              <w:rPr>
                <w:sz w:val="24"/>
                <w:szCs w:val="24"/>
                <w:color w:val="auto"/>
              </w:rPr>
            </w:pPr>
          </w:p>
        </w:tc>
        <w:tc>
          <w:tcPr>
            <w:tcW w:w="12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(0.4)</w:t>
            </w:r>
          </w:p>
        </w:tc>
        <w:tc>
          <w:tcPr>
            <w:tcW w:w="0" w:type="dxa"/>
            <w:vAlign w:val="bottom"/>
          </w:tcPr>
          <w:p>
            <w:pPr>
              <w:spacing w:after="0"/>
              <w:rPr>
                <w:sz w:val="1"/>
                <w:szCs w:val="1"/>
                <w:color w:val="auto"/>
              </w:rPr>
            </w:pPr>
          </w:p>
        </w:tc>
      </w:tr>
      <w:tr>
        <w:trPr>
          <w:trHeight w:val="281"/>
        </w:trPr>
        <w:tc>
          <w:tcPr>
            <w:tcW w:w="706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Balance at March 31, 2026</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bottom w:val="single" w:sz="8" w:color="231F20"/>
            </w:tcBorders>
          </w:tcPr>
          <w:p>
            <w:pPr>
              <w:spacing w:after="0"/>
              <w:rPr>
                <w:sz w:val="24"/>
                <w:szCs w:val="24"/>
                <w:color w:val="auto"/>
              </w:rPr>
            </w:pPr>
          </w:p>
        </w:tc>
        <w:tc>
          <w:tcPr>
            <w:tcW w:w="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w w:val="83"/>
              </w:rPr>
              <w:t>$</w:t>
            </w: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15.3</w:t>
            </w:r>
          </w:p>
        </w:tc>
        <w:tc>
          <w:tcPr>
            <w:tcW w:w="0" w:type="dxa"/>
            <w:vAlign w:val="bottom"/>
          </w:tcPr>
          <w:p>
            <w:pPr>
              <w:spacing w:after="0"/>
              <w:rPr>
                <w:sz w:val="1"/>
                <w:szCs w:val="1"/>
                <w:color w:val="auto"/>
              </w:rPr>
            </w:pPr>
          </w:p>
        </w:tc>
      </w:tr>
      <w:tr>
        <w:trPr>
          <w:trHeight w:val="383"/>
        </w:trPr>
        <w:tc>
          <w:tcPr>
            <w:tcW w:w="7060" w:type="dxa"/>
            <w:vAlign w:val="bottom"/>
          </w:tcPr>
          <w:p>
            <w:pPr>
              <w:spacing w:after="0"/>
              <w:rPr>
                <w:sz w:val="20"/>
                <w:szCs w:val="20"/>
                <w:color w:val="auto"/>
              </w:rPr>
            </w:pPr>
            <w:r>
              <w:rPr>
                <w:rFonts w:ascii="Times New Roman" w:cs="Times New Roman" w:eastAsia="Times New Roman" w:hAnsi="Times New Roman"/>
                <w:sz w:val="19"/>
                <w:szCs w:val="19"/>
                <w:b w:val="1"/>
                <w:bCs w:val="1"/>
                <w:color w:val="231F20"/>
              </w:rPr>
              <w:t>8. DEBT</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7060" w:type="dxa"/>
            <w:vAlign w:val="bottom"/>
          </w:tcPr>
          <w:p>
            <w:pPr>
              <w:ind w:left="260"/>
              <w:spacing w:after="0"/>
              <w:rPr>
                <w:sz w:val="20"/>
                <w:szCs w:val="20"/>
                <w:color w:val="auto"/>
              </w:rPr>
            </w:pPr>
            <w:r>
              <w:rPr>
                <w:rFonts w:ascii="Times New Roman" w:cs="Times New Roman" w:eastAsia="Times New Roman" w:hAnsi="Times New Roman"/>
                <w:sz w:val="19"/>
                <w:szCs w:val="19"/>
                <w:color w:val="231F20"/>
              </w:rPr>
              <w:t>Indebtedness as of March 31, 2026 and 2025 was as follows:</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0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231F20"/>
              </w:rPr>
              <w:t>(in millions)</w:t>
            </w:r>
          </w:p>
        </w:tc>
        <w:tc>
          <w:tcPr>
            <w:tcW w:w="240" w:type="dxa"/>
            <w:vAlign w:val="bottom"/>
          </w:tcPr>
          <w:p>
            <w:pPr>
              <w:spacing w:after="0"/>
              <w:rPr>
                <w:sz w:val="19"/>
                <w:szCs w:val="19"/>
                <w:color w:val="auto"/>
              </w:rPr>
            </w:pPr>
          </w:p>
        </w:tc>
        <w:tc>
          <w:tcPr>
            <w:tcW w:w="1220" w:type="dxa"/>
            <w:vAlign w:val="bottom"/>
          </w:tcPr>
          <w:p>
            <w:pPr>
              <w:jc w:val="right"/>
              <w:ind w:right="305"/>
              <w:spacing w:after="0"/>
              <w:rPr>
                <w:sz w:val="20"/>
                <w:szCs w:val="20"/>
                <w:color w:val="auto"/>
              </w:rPr>
            </w:pPr>
            <w:r>
              <w:rPr>
                <w:rFonts w:ascii="Times New Roman" w:cs="Times New Roman" w:eastAsia="Times New Roman" w:hAnsi="Times New Roman"/>
                <w:sz w:val="17"/>
                <w:szCs w:val="17"/>
                <w:color w:val="231F20"/>
              </w:rPr>
              <w:t>March 31,</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March 31,</w:t>
            </w:r>
          </w:p>
        </w:tc>
        <w:tc>
          <w:tcPr>
            <w:tcW w:w="0" w:type="dxa"/>
            <w:vAlign w:val="bottom"/>
          </w:tcPr>
          <w:p>
            <w:pPr>
              <w:spacing w:after="0"/>
              <w:rPr>
                <w:sz w:val="1"/>
                <w:szCs w:val="1"/>
                <w:color w:val="auto"/>
              </w:rPr>
            </w:pPr>
          </w:p>
        </w:tc>
      </w:tr>
      <w:tr>
        <w:trPr>
          <w:trHeight w:val="231"/>
        </w:trPr>
        <w:tc>
          <w:tcPr>
            <w:tcW w:w="7060" w:type="dxa"/>
            <w:vAlign w:val="bottom"/>
            <w:vMerge w:val="continue"/>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1220" w:type="dxa"/>
            <w:vAlign w:val="bottom"/>
            <w:tcBorders>
              <w:bottom w:val="single" w:sz="8" w:color="231F20"/>
            </w:tcBorders>
          </w:tcPr>
          <w:p>
            <w:pPr>
              <w:jc w:val="right"/>
              <w:ind w:right="485"/>
              <w:spacing w:after="0"/>
              <w:rPr>
                <w:sz w:val="20"/>
                <w:szCs w:val="20"/>
                <w:color w:val="auto"/>
              </w:rPr>
            </w:pPr>
            <w:r>
              <w:rPr>
                <w:rFonts w:ascii="Times New Roman" w:cs="Times New Roman" w:eastAsia="Times New Roman" w:hAnsi="Times New Roman"/>
                <w:sz w:val="17"/>
                <w:szCs w:val="17"/>
                <w:color w:val="231F20"/>
              </w:rPr>
              <w:t>2026</w:t>
            </w:r>
          </w:p>
        </w:tc>
        <w:tc>
          <w:tcPr>
            <w:tcW w:w="160" w:type="dxa"/>
            <w:vAlign w:val="bottom"/>
            <w:tcBorders>
              <w:bottom w:val="single" w:sz="8" w:color="231F20"/>
            </w:tcBorders>
          </w:tcPr>
          <w:p>
            <w:pPr>
              <w:spacing w:after="0"/>
              <w:rPr>
                <w:sz w:val="20"/>
                <w:szCs w:val="20"/>
                <w:color w:val="auto"/>
              </w:rPr>
            </w:pPr>
          </w:p>
        </w:tc>
        <w:tc>
          <w:tcPr>
            <w:tcW w:w="40" w:type="dxa"/>
            <w:vAlign w:val="bottom"/>
            <w:tcBorders>
              <w:bottom w:val="single" w:sz="8" w:color="231F20"/>
            </w:tcBorders>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1120" w:type="dxa"/>
            <w:vAlign w:val="bottom"/>
            <w:tcBorders>
              <w:bottom w:val="single" w:sz="8" w:color="231F20"/>
            </w:tcBorders>
          </w:tcPr>
          <w:p>
            <w:pPr>
              <w:jc w:val="right"/>
              <w:ind w:right="444"/>
              <w:spacing w:after="0"/>
              <w:rPr>
                <w:sz w:val="20"/>
                <w:szCs w:val="20"/>
                <w:color w:val="auto"/>
              </w:rPr>
            </w:pPr>
            <w:r>
              <w:rPr>
                <w:rFonts w:ascii="Times New Roman" w:cs="Times New Roman" w:eastAsia="Times New Roman" w:hAnsi="Times New Roman"/>
                <w:sz w:val="17"/>
                <w:szCs w:val="17"/>
                <w:color w:val="231F20"/>
              </w:rPr>
              <w:t>2025</w:t>
            </w:r>
          </w:p>
        </w:tc>
        <w:tc>
          <w:tcPr>
            <w:tcW w:w="0" w:type="dxa"/>
            <w:vAlign w:val="bottom"/>
          </w:tcPr>
          <w:p>
            <w:pPr>
              <w:spacing w:after="0"/>
              <w:rPr>
                <w:sz w:val="1"/>
                <w:szCs w:val="1"/>
                <w:color w:val="auto"/>
              </w:rPr>
            </w:pPr>
          </w:p>
        </w:tc>
      </w:tr>
      <w:tr>
        <w:trPr>
          <w:trHeight w:val="214"/>
        </w:trPr>
        <w:tc>
          <w:tcPr>
            <w:tcW w:w="7060" w:type="dxa"/>
            <w:vAlign w:val="bottom"/>
          </w:tcPr>
          <w:p>
            <w:pPr>
              <w:ind w:left="60"/>
              <w:spacing w:after="0" w:line="214" w:lineRule="exact"/>
              <w:rPr>
                <w:sz w:val="20"/>
                <w:szCs w:val="20"/>
                <w:color w:val="auto"/>
              </w:rPr>
            </w:pPr>
            <w:r>
              <w:rPr>
                <w:rFonts w:ascii="Times New Roman" w:cs="Times New Roman" w:eastAsia="Times New Roman" w:hAnsi="Times New Roman"/>
                <w:sz w:val="19"/>
                <w:szCs w:val="19"/>
                <w:b w:val="1"/>
                <w:bCs w:val="1"/>
                <w:color w:val="231F20"/>
              </w:rPr>
              <w:t>Short-term debt</w:t>
            </w:r>
          </w:p>
        </w:tc>
        <w:tc>
          <w:tcPr>
            <w:tcW w:w="240" w:type="dxa"/>
            <w:vAlign w:val="bottom"/>
          </w:tcPr>
          <w:p>
            <w:pPr>
              <w:spacing w:after="0"/>
              <w:rPr>
                <w:sz w:val="18"/>
                <w:szCs w:val="18"/>
                <w:color w:val="auto"/>
              </w:rPr>
            </w:pPr>
          </w:p>
        </w:tc>
        <w:tc>
          <w:tcPr>
            <w:tcW w:w="1220" w:type="dxa"/>
            <w:vAlign w:val="bottom"/>
            <w:vMerge w:val="restart"/>
          </w:tcPr>
          <w:p>
            <w:pPr>
              <w:jc w:val="right"/>
              <w:ind w:right="25"/>
              <w:spacing w:after="0"/>
              <w:rPr>
                <w:sz w:val="20"/>
                <w:szCs w:val="20"/>
                <w:color w:val="auto"/>
              </w:rPr>
            </w:pPr>
            <w:r>
              <w:rPr>
                <w:rFonts w:ascii="Times New Roman" w:cs="Times New Roman" w:eastAsia="Times New Roman" w:hAnsi="Times New Roman"/>
                <w:sz w:val="19"/>
                <w:szCs w:val="19"/>
                <w:b w:val="1"/>
                <w:bCs w:val="1"/>
                <w:color w:val="231F20"/>
              </w:rPr>
              <w:t>118.9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06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Private Placement Senior Notes</w:t>
            </w:r>
          </w:p>
        </w:tc>
        <w:tc>
          <w:tcPr>
            <w:tcW w:w="240" w:type="dxa"/>
            <w:vAlign w:val="bottom"/>
            <w:tcBorders>
              <w:bottom w:val="single" w:sz="8" w:color="231F20"/>
            </w:tcBorders>
          </w:tcPr>
          <w:p>
            <w:pPr>
              <w:spacing w:after="0"/>
              <w:rPr>
                <w:sz w:val="20"/>
                <w:szCs w:val="20"/>
                <w:color w:val="auto"/>
              </w:rPr>
            </w:pPr>
          </w:p>
        </w:tc>
        <w:tc>
          <w:tcPr>
            <w:tcW w:w="1220" w:type="dxa"/>
            <w:vAlign w:val="bottom"/>
            <w:tcBorders>
              <w:bottom w:val="single" w:sz="8" w:color="231F20"/>
            </w:tcBorders>
            <w:vMerge w:val="continue"/>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40" w:type="dxa"/>
            <w:vAlign w:val="bottom"/>
            <w:tcBorders>
              <w:bottom w:val="single" w:sz="8" w:color="231F20"/>
            </w:tcBorders>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125.0</w:t>
            </w:r>
          </w:p>
        </w:tc>
        <w:tc>
          <w:tcPr>
            <w:tcW w:w="0" w:type="dxa"/>
            <w:vAlign w:val="bottom"/>
          </w:tcPr>
          <w:p>
            <w:pPr>
              <w:spacing w:after="0"/>
              <w:rPr>
                <w:sz w:val="1"/>
                <w:szCs w:val="1"/>
                <w:color w:val="auto"/>
              </w:rPr>
            </w:pPr>
          </w:p>
        </w:tc>
      </w:tr>
      <w:tr>
        <w:trPr>
          <w:trHeight w:val="256"/>
        </w:trPr>
        <w:tc>
          <w:tcPr>
            <w:tcW w:w="706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Total short-term debt</w:t>
            </w:r>
          </w:p>
        </w:tc>
        <w:tc>
          <w:tcPr>
            <w:tcW w:w="240" w:type="dxa"/>
            <w:vAlign w:val="bottom"/>
          </w:tcPr>
          <w:p>
            <w:pPr>
              <w:jc w:val="right"/>
              <w:ind w:right="3"/>
              <w:spacing w:after="0"/>
              <w:rPr>
                <w:sz w:val="20"/>
                <w:szCs w:val="20"/>
                <w:color w:val="auto"/>
              </w:rPr>
            </w:pPr>
            <w:r>
              <w:rPr>
                <w:rFonts w:ascii="Times New Roman" w:cs="Times New Roman" w:eastAsia="Times New Roman" w:hAnsi="Times New Roman"/>
                <w:sz w:val="19"/>
                <w:szCs w:val="19"/>
                <w:b w:val="1"/>
                <w:bCs w:val="1"/>
                <w:color w:val="231F20"/>
              </w:rPr>
              <w:t>$</w:t>
            </w:r>
          </w:p>
        </w:tc>
        <w:tc>
          <w:tcPr>
            <w:tcW w:w="1220" w:type="dxa"/>
            <w:vAlign w:val="bottom"/>
          </w:tcPr>
          <w:p>
            <w:pPr>
              <w:jc w:val="right"/>
              <w:ind w:right="25"/>
              <w:spacing w:after="0"/>
              <w:rPr>
                <w:sz w:val="20"/>
                <w:szCs w:val="20"/>
                <w:color w:val="auto"/>
              </w:rPr>
            </w:pPr>
            <w:r>
              <w:rPr>
                <w:rFonts w:ascii="Times New Roman" w:cs="Times New Roman" w:eastAsia="Times New Roman" w:hAnsi="Times New Roman"/>
                <w:sz w:val="19"/>
                <w:szCs w:val="19"/>
                <w:b w:val="1"/>
                <w:bCs w:val="1"/>
                <w:color w:val="231F20"/>
              </w:rPr>
              <w:t>118.9</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231F20"/>
              </w:rPr>
              <w:t>$</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125.0</w:t>
            </w:r>
          </w:p>
        </w:tc>
        <w:tc>
          <w:tcPr>
            <w:tcW w:w="0" w:type="dxa"/>
            <w:vAlign w:val="bottom"/>
          </w:tcPr>
          <w:p>
            <w:pPr>
              <w:spacing w:after="0"/>
              <w:rPr>
                <w:sz w:val="1"/>
                <w:szCs w:val="1"/>
                <w:color w:val="auto"/>
              </w:rPr>
            </w:pPr>
          </w:p>
        </w:tc>
      </w:tr>
      <w:tr>
        <w:trPr>
          <w:trHeight w:val="423"/>
        </w:trPr>
        <w:tc>
          <w:tcPr>
            <w:tcW w:w="706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Long-term debt</w:t>
            </w:r>
          </w:p>
        </w:tc>
        <w:tc>
          <w:tcPr>
            <w:tcW w:w="240" w:type="dxa"/>
            <w:vAlign w:val="bottom"/>
            <w:vMerge w:val="restart"/>
          </w:tcPr>
          <w:p>
            <w:pPr>
              <w:jc w:val="right"/>
              <w:ind w:right="3"/>
              <w:spacing w:after="0"/>
              <w:rPr>
                <w:sz w:val="20"/>
                <w:szCs w:val="20"/>
                <w:color w:val="auto"/>
              </w:rPr>
            </w:pPr>
            <w:r>
              <w:rPr>
                <w:rFonts w:ascii="Times New Roman" w:cs="Times New Roman" w:eastAsia="Times New Roman" w:hAnsi="Times New Roman"/>
                <w:sz w:val="19"/>
                <w:szCs w:val="19"/>
                <w:b w:val="1"/>
                <w:bCs w:val="1"/>
                <w:color w:val="231F20"/>
              </w:rPr>
              <w:t>$</w:t>
            </w:r>
          </w:p>
        </w:tc>
        <w:tc>
          <w:tcPr>
            <w:tcW w:w="1220" w:type="dxa"/>
            <w:vAlign w:val="bottom"/>
            <w:vMerge w:val="restart"/>
          </w:tcPr>
          <w:p>
            <w:pPr>
              <w:jc w:val="right"/>
              <w:ind w:right="25"/>
              <w:spacing w:after="0"/>
              <w:rPr>
                <w:sz w:val="20"/>
                <w:szCs w:val="20"/>
                <w:color w:val="auto"/>
              </w:rPr>
            </w:pPr>
            <w:r>
              <w:rPr>
                <w:rFonts w:ascii="Times New Roman" w:cs="Times New Roman" w:eastAsia="Times New Roman" w:hAnsi="Times New Roman"/>
                <w:sz w:val="19"/>
                <w:szCs w:val="19"/>
                <w:b w:val="1"/>
                <w:bCs w:val="1"/>
                <w:color w:val="231F20"/>
              </w:rPr>
              <w:t>438.9</w:t>
            </w:r>
          </w:p>
        </w:tc>
        <w:tc>
          <w:tcPr>
            <w:tcW w:w="2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9"/>
                <w:szCs w:val="19"/>
                <w:color w:val="231F20"/>
              </w:rPr>
              <w:t>$</w:t>
            </w:r>
          </w:p>
        </w:tc>
        <w:tc>
          <w:tcPr>
            <w:tcW w:w="12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549.2</w:t>
            </w:r>
          </w:p>
        </w:tc>
        <w:tc>
          <w:tcPr>
            <w:tcW w:w="0" w:type="dxa"/>
            <w:vAlign w:val="bottom"/>
          </w:tcPr>
          <w:p>
            <w:pPr>
              <w:spacing w:after="0"/>
              <w:rPr>
                <w:sz w:val="1"/>
                <w:szCs w:val="1"/>
                <w:color w:val="auto"/>
              </w:rPr>
            </w:pPr>
          </w:p>
        </w:tc>
      </w:tr>
      <w:tr>
        <w:trPr>
          <w:trHeight w:val="220"/>
        </w:trPr>
        <w:tc>
          <w:tcPr>
            <w:tcW w:w="706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Private Placement Senior Notes</w:t>
            </w:r>
          </w:p>
        </w:tc>
        <w:tc>
          <w:tcPr>
            <w:tcW w:w="24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06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Revolving Credit Facility</w:t>
            </w:r>
          </w:p>
        </w:tc>
        <w:tc>
          <w:tcPr>
            <w:tcW w:w="240" w:type="dxa"/>
            <w:vAlign w:val="bottom"/>
          </w:tcPr>
          <w:p>
            <w:pPr>
              <w:spacing w:after="0"/>
              <w:rPr>
                <w:sz w:val="21"/>
                <w:szCs w:val="21"/>
                <w:color w:val="auto"/>
              </w:rPr>
            </w:pPr>
          </w:p>
        </w:tc>
        <w:tc>
          <w:tcPr>
            <w:tcW w:w="1220" w:type="dxa"/>
            <w:vAlign w:val="bottom"/>
          </w:tcPr>
          <w:p>
            <w:pPr>
              <w:jc w:val="right"/>
              <w:ind w:right="25"/>
              <w:spacing w:after="0"/>
              <w:rPr>
                <w:sz w:val="20"/>
                <w:szCs w:val="20"/>
                <w:color w:val="auto"/>
              </w:rPr>
            </w:pPr>
            <w:r>
              <w:rPr>
                <w:rFonts w:ascii="Times New Roman" w:cs="Times New Roman" w:eastAsia="Times New Roman" w:hAnsi="Times New Roman"/>
                <w:sz w:val="19"/>
                <w:szCs w:val="19"/>
                <w:b w:val="1"/>
                <w:bCs w:val="1"/>
                <w:color w:val="231F20"/>
              </w:rPr>
              <w:t>37.8</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34.8</w:t>
            </w:r>
          </w:p>
        </w:tc>
        <w:tc>
          <w:tcPr>
            <w:tcW w:w="0" w:type="dxa"/>
            <w:vAlign w:val="bottom"/>
          </w:tcPr>
          <w:p>
            <w:pPr>
              <w:spacing w:after="0"/>
              <w:rPr>
                <w:sz w:val="1"/>
                <w:szCs w:val="1"/>
                <w:color w:val="auto"/>
              </w:rPr>
            </w:pPr>
          </w:p>
        </w:tc>
      </w:tr>
      <w:tr>
        <w:trPr>
          <w:trHeight w:val="247"/>
        </w:trPr>
        <w:tc>
          <w:tcPr>
            <w:tcW w:w="706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Deferred financing costs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(13.8)</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(15.3)</w:t>
            </w:r>
          </w:p>
        </w:tc>
        <w:tc>
          <w:tcPr>
            <w:tcW w:w="0" w:type="dxa"/>
            <w:vAlign w:val="bottom"/>
          </w:tcPr>
          <w:p>
            <w:pPr>
              <w:spacing w:after="0"/>
              <w:rPr>
                <w:sz w:val="1"/>
                <w:szCs w:val="1"/>
                <w:color w:val="auto"/>
              </w:rPr>
            </w:pPr>
          </w:p>
        </w:tc>
      </w:tr>
      <w:tr>
        <w:trPr>
          <w:trHeight w:val="260"/>
        </w:trPr>
        <w:tc>
          <w:tcPr>
            <w:tcW w:w="706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Senior Public Notes</w:t>
            </w:r>
          </w:p>
        </w:tc>
        <w:tc>
          <w:tcPr>
            <w:tcW w:w="240" w:type="dxa"/>
            <w:vAlign w:val="bottom"/>
            <w:tcBorders>
              <w:bottom w:val="single" w:sz="8" w:color="231F20"/>
            </w:tcBorders>
          </w:tcPr>
          <w:p>
            <w:pPr>
              <w:spacing w:after="0"/>
              <w:rPr>
                <w:sz w:val="22"/>
                <w:szCs w:val="22"/>
                <w:color w:val="auto"/>
              </w:rPr>
            </w:pPr>
          </w:p>
        </w:tc>
        <w:tc>
          <w:tcPr>
            <w:tcW w:w="1220" w:type="dxa"/>
            <w:vAlign w:val="bottom"/>
            <w:tcBorders>
              <w:bottom w:val="single" w:sz="8" w:color="231F20"/>
            </w:tcBorders>
          </w:tcPr>
          <w:p>
            <w:pPr>
              <w:jc w:val="right"/>
              <w:ind w:right="25"/>
              <w:spacing w:after="0"/>
              <w:rPr>
                <w:sz w:val="20"/>
                <w:szCs w:val="20"/>
                <w:color w:val="auto"/>
              </w:rPr>
            </w:pPr>
            <w:r>
              <w:rPr>
                <w:rFonts w:ascii="Times New Roman" w:cs="Times New Roman" w:eastAsia="Times New Roman" w:hAnsi="Times New Roman"/>
                <w:sz w:val="19"/>
                <w:szCs w:val="19"/>
                <w:b w:val="1"/>
                <w:bCs w:val="1"/>
                <w:color w:val="231F20"/>
              </w:rPr>
              <w:t>1,350.0</w:t>
            </w:r>
          </w:p>
        </w:tc>
        <w:tc>
          <w:tcPr>
            <w:tcW w:w="160" w:type="dxa"/>
            <w:vAlign w:val="bottom"/>
            <w:tcBorders>
              <w:bottom w:val="single" w:sz="8" w:color="231F20"/>
            </w:tcBorders>
          </w:tcPr>
          <w:p>
            <w:pPr>
              <w:spacing w:after="0"/>
              <w:rPr>
                <w:sz w:val="22"/>
                <w:szCs w:val="22"/>
                <w:color w:val="auto"/>
              </w:rPr>
            </w:pPr>
          </w:p>
        </w:tc>
        <w:tc>
          <w:tcPr>
            <w:tcW w:w="40" w:type="dxa"/>
            <w:vAlign w:val="bottom"/>
            <w:tcBorders>
              <w:bottom w:val="single" w:sz="8" w:color="231F20"/>
            </w:tcBorders>
          </w:tcPr>
          <w:p>
            <w:pPr>
              <w:spacing w:after="0"/>
              <w:rPr>
                <w:sz w:val="22"/>
                <w:szCs w:val="22"/>
                <w:color w:val="auto"/>
              </w:rPr>
            </w:pPr>
          </w:p>
        </w:tc>
        <w:tc>
          <w:tcPr>
            <w:tcW w:w="120" w:type="dxa"/>
            <w:vAlign w:val="bottom"/>
            <w:tcBorders>
              <w:bottom w:val="single" w:sz="8" w:color="231F20"/>
            </w:tcBorders>
          </w:tcPr>
          <w:p>
            <w:pPr>
              <w:spacing w:after="0"/>
              <w:rPr>
                <w:sz w:val="22"/>
                <w:szCs w:val="22"/>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1,350.0</w:t>
            </w:r>
          </w:p>
        </w:tc>
        <w:tc>
          <w:tcPr>
            <w:tcW w:w="0" w:type="dxa"/>
            <w:vAlign w:val="bottom"/>
          </w:tcPr>
          <w:p>
            <w:pPr>
              <w:spacing w:after="0"/>
              <w:rPr>
                <w:sz w:val="1"/>
                <w:szCs w:val="1"/>
                <w:color w:val="auto"/>
              </w:rPr>
            </w:pPr>
          </w:p>
        </w:tc>
      </w:tr>
      <w:tr>
        <w:trPr>
          <w:trHeight w:val="227"/>
        </w:trPr>
        <w:tc>
          <w:tcPr>
            <w:tcW w:w="706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Total long-term debt</w:t>
            </w:r>
          </w:p>
        </w:tc>
        <w:tc>
          <w:tcPr>
            <w:tcW w:w="24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19"/>
                <w:szCs w:val="19"/>
                <w:b w:val="1"/>
                <w:bCs w:val="1"/>
                <w:color w:val="231F20"/>
              </w:rPr>
              <w:t>$</w:t>
            </w:r>
          </w:p>
        </w:tc>
        <w:tc>
          <w:tcPr>
            <w:tcW w:w="1220" w:type="dxa"/>
            <w:vAlign w:val="bottom"/>
            <w:tcBorders>
              <w:bottom w:val="single" w:sz="8" w:color="231F20"/>
            </w:tcBorders>
          </w:tcPr>
          <w:p>
            <w:pPr>
              <w:jc w:val="right"/>
              <w:ind w:right="25"/>
              <w:spacing w:after="0"/>
              <w:rPr>
                <w:sz w:val="20"/>
                <w:szCs w:val="20"/>
                <w:color w:val="auto"/>
              </w:rPr>
            </w:pPr>
            <w:r>
              <w:rPr>
                <w:rFonts w:ascii="Times New Roman" w:cs="Times New Roman" w:eastAsia="Times New Roman" w:hAnsi="Times New Roman"/>
                <w:sz w:val="19"/>
                <w:szCs w:val="19"/>
                <w:b w:val="1"/>
                <w:bCs w:val="1"/>
                <w:color w:val="231F20"/>
              </w:rPr>
              <w:t>1,812.8</w:t>
            </w:r>
          </w:p>
        </w:tc>
        <w:tc>
          <w:tcPr>
            <w:tcW w:w="200" w:type="dxa"/>
            <w:vAlign w:val="bottom"/>
            <w:tcBorders>
              <w:bottom w:val="single" w:sz="8" w:color="231F20"/>
            </w:tcBorders>
            <w:gridSpan w:val="2"/>
          </w:tcPr>
          <w:p>
            <w:pPr>
              <w:jc w:val="right"/>
              <w:ind w:right="20"/>
              <w:spacing w:after="0"/>
              <w:rPr>
                <w:sz w:val="20"/>
                <w:szCs w:val="20"/>
                <w:color w:val="auto"/>
              </w:rPr>
            </w:pPr>
            <w:r>
              <w:rPr>
                <w:rFonts w:ascii="Times New Roman" w:cs="Times New Roman" w:eastAsia="Times New Roman" w:hAnsi="Times New Roman"/>
                <w:sz w:val="19"/>
                <w:szCs w:val="19"/>
                <w:color w:val="231F20"/>
              </w:rPr>
              <w:t>$</w:t>
            </w:r>
          </w:p>
        </w:tc>
        <w:tc>
          <w:tcPr>
            <w:tcW w:w="120" w:type="dxa"/>
            <w:vAlign w:val="bottom"/>
            <w:tcBorders>
              <w:bottom w:val="single" w:sz="8" w:color="231F20"/>
            </w:tcBorders>
          </w:tcPr>
          <w:p>
            <w:pPr>
              <w:spacing w:after="0"/>
              <w:rPr>
                <w:sz w:val="19"/>
                <w:szCs w:val="19"/>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1,918.7</w:t>
            </w:r>
          </w:p>
        </w:tc>
        <w:tc>
          <w:tcPr>
            <w:tcW w:w="0" w:type="dxa"/>
            <w:vAlign w:val="bottom"/>
          </w:tcPr>
          <w:p>
            <w:pPr>
              <w:spacing w:after="0"/>
              <w:rPr>
                <w:sz w:val="1"/>
                <w:szCs w:val="1"/>
                <w:color w:val="auto"/>
              </w:rPr>
            </w:pPr>
          </w:p>
        </w:tc>
      </w:tr>
      <w:tr>
        <w:trPr>
          <w:trHeight w:val="261"/>
        </w:trPr>
        <w:tc>
          <w:tcPr>
            <w:tcW w:w="706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Total debt</w:t>
            </w:r>
          </w:p>
        </w:tc>
        <w:tc>
          <w:tcPr>
            <w:tcW w:w="24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19"/>
                <w:szCs w:val="19"/>
                <w:b w:val="1"/>
                <w:bCs w:val="1"/>
                <w:color w:val="231F20"/>
              </w:rPr>
              <w:t>$</w:t>
            </w:r>
          </w:p>
        </w:tc>
        <w:tc>
          <w:tcPr>
            <w:tcW w:w="1220" w:type="dxa"/>
            <w:vAlign w:val="bottom"/>
            <w:tcBorders>
              <w:bottom w:val="single" w:sz="8" w:color="231F20"/>
            </w:tcBorders>
          </w:tcPr>
          <w:p>
            <w:pPr>
              <w:jc w:val="right"/>
              <w:ind w:right="25"/>
              <w:spacing w:after="0"/>
              <w:rPr>
                <w:sz w:val="20"/>
                <w:szCs w:val="20"/>
                <w:color w:val="auto"/>
              </w:rPr>
            </w:pPr>
            <w:r>
              <w:rPr>
                <w:rFonts w:ascii="Times New Roman" w:cs="Times New Roman" w:eastAsia="Times New Roman" w:hAnsi="Times New Roman"/>
                <w:sz w:val="19"/>
                <w:szCs w:val="19"/>
                <w:b w:val="1"/>
                <w:bCs w:val="1"/>
                <w:color w:val="231F20"/>
              </w:rPr>
              <w:t>1,931.7</w:t>
            </w:r>
          </w:p>
        </w:tc>
        <w:tc>
          <w:tcPr>
            <w:tcW w:w="200" w:type="dxa"/>
            <w:vAlign w:val="bottom"/>
            <w:tcBorders>
              <w:bottom w:val="single" w:sz="8" w:color="231F20"/>
            </w:tcBorders>
            <w:gridSpan w:val="2"/>
          </w:tcPr>
          <w:p>
            <w:pPr>
              <w:jc w:val="right"/>
              <w:ind w:right="20"/>
              <w:spacing w:after="0"/>
              <w:rPr>
                <w:sz w:val="20"/>
                <w:szCs w:val="20"/>
                <w:color w:val="auto"/>
              </w:rPr>
            </w:pPr>
            <w:r>
              <w:rPr>
                <w:rFonts w:ascii="Times New Roman" w:cs="Times New Roman" w:eastAsia="Times New Roman" w:hAnsi="Times New Roman"/>
                <w:sz w:val="19"/>
                <w:szCs w:val="19"/>
                <w:color w:val="231F20"/>
              </w:rPr>
              <w:t>$</w:t>
            </w:r>
          </w:p>
        </w:tc>
        <w:tc>
          <w:tcPr>
            <w:tcW w:w="120" w:type="dxa"/>
            <w:vAlign w:val="bottom"/>
            <w:tcBorders>
              <w:bottom w:val="single" w:sz="8" w:color="231F20"/>
            </w:tcBorders>
          </w:tcPr>
          <w:p>
            <w:pPr>
              <w:spacing w:after="0"/>
              <w:rPr>
                <w:sz w:val="22"/>
                <w:szCs w:val="22"/>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2,043.7</w:t>
            </w:r>
          </w:p>
        </w:tc>
        <w:tc>
          <w:tcPr>
            <w:tcW w:w="0" w:type="dxa"/>
            <w:vAlign w:val="bottom"/>
          </w:tcPr>
          <w:p>
            <w:pPr>
              <w:spacing w:after="0"/>
              <w:rPr>
                <w:sz w:val="1"/>
                <w:szCs w:val="1"/>
                <w:color w:val="auto"/>
              </w:rPr>
            </w:pPr>
          </w:p>
        </w:tc>
      </w:tr>
    </w:tbl>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Revolving Credit Facility</w:t>
      </w:r>
    </w:p>
    <w:p>
      <w:pPr>
        <w:spacing w:after="0" w:line="122" w:lineRule="exact"/>
        <w:rPr>
          <w:sz w:val="20"/>
          <w:szCs w:val="20"/>
          <w:color w:val="auto"/>
        </w:rPr>
      </w:pPr>
    </w:p>
    <w:p>
      <w:pPr>
        <w:ind w:right="60" w:firstLine="349"/>
        <w:spacing w:after="0" w:line="248" w:lineRule="auto"/>
        <w:rPr>
          <w:sz w:val="20"/>
          <w:szCs w:val="20"/>
          <w:color w:val="auto"/>
        </w:rPr>
      </w:pPr>
      <w:r>
        <w:rPr>
          <w:rFonts w:ascii="Times New Roman" w:cs="Times New Roman" w:eastAsia="Times New Roman" w:hAnsi="Times New Roman"/>
          <w:sz w:val="19"/>
          <w:szCs w:val="19"/>
          <w:color w:val="231F20"/>
        </w:rPr>
        <w:t>On October 7, 2024, STERIS plc (“Parent”), STERIS Corporation ("Corporation"), STERIS Limited ("Limited"), and STERIS Irish FinCo Unlimited Company (“FinCo”), each as a borrower and guarantor, entered into a credit agreement with various financial institutions as lenders, and JPMorgan Chase Bank, N.A., as administrative agent (the “Revolving Credit Agreement”) providing for a $1,100.0 million revolving credit facility (the “Revolving Credit Facility”), which replaced a prior credit agreement, dated as of March 19, 2021.</w:t>
      </w:r>
    </w:p>
    <w:p>
      <w:pPr>
        <w:spacing w:after="0" w:line="74" w:lineRule="exact"/>
        <w:rPr>
          <w:sz w:val="20"/>
          <w:szCs w:val="20"/>
          <w:color w:val="auto"/>
        </w:rPr>
      </w:pPr>
    </w:p>
    <w:p>
      <w:pPr>
        <w:ind w:right="60" w:firstLine="349"/>
        <w:spacing w:after="0" w:line="241" w:lineRule="auto"/>
        <w:rPr>
          <w:sz w:val="20"/>
          <w:szCs w:val="20"/>
          <w:color w:val="auto"/>
        </w:rPr>
      </w:pPr>
      <w:r>
        <w:rPr>
          <w:rFonts w:ascii="Times New Roman" w:cs="Times New Roman" w:eastAsia="Times New Roman" w:hAnsi="Times New Roman"/>
          <w:sz w:val="19"/>
          <w:szCs w:val="19"/>
          <w:color w:val="231F20"/>
        </w:rPr>
        <w:t>The Revolving Credit Agreement provides for revolving credit borrowings, swing line borrowings and letters of credit, with sublimits for swing line borrowings and letters of credit. The Revolving Credit Agreement may be increased in specified circumstances by up to $625.0 million in the discretion of the lenders. The Revolving Credit Agreement matures on the date that is five years after October 7, 2024, and all unpaid borrowings, together with accrued and unpaid interest thereon, are repayable on that date. The Revolving Credit Facility bears interest from time to time, at either the Base Rate or the Relevant Rate, as defined in and calculated under and as in effect from time to time under the Revolving Credit Agreement, plus the Applicable Margin, as defined in the Revolving Credit Agreement. The Applicable Margin is determined based on the Debt Rating of Parent, as defined in the Revolving Credit Agreement. Base Rate Advances are payable quarterly in arrears and Term Benchmark Advances are payable at the end of the relevant interest period therefor, but in no event less frequently than every three months. Swingline borrowings bear interest at a rate to be agreed by the applicable swingline lender and the applicable borrower, subject to a cap in the case of swingline borrowings denominated in U.S. Dollars equal to the Base Rate plus the Applicable Margin for Base Rate Advances plus the Facility Fee. There is no premium or penalty for prepayment of Base Rate Advances, but prepayments of Term Benchmark Advances are generally subject to a breakage fee. Advances may be extended</w:t>
      </w:r>
    </w:p>
    <w:p>
      <w:pPr>
        <w:sectPr>
          <w:pgSz w:w="11880" w:h="15480" w:orient="portrait"/>
          <w:cols w:equalWidth="0" w:num="1">
            <w:col w:w="9960"/>
          </w:cols>
          <w:pgMar w:left="960" w:top="25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74</w:t>
      </w:r>
    </w:p>
    <w:p>
      <w:pPr>
        <w:sectPr>
          <w:pgSz w:w="11880" w:h="15480" w:orient="portrait"/>
          <w:cols w:equalWidth="0" w:num="1">
            <w:col w:w="9960"/>
          </w:cols>
          <w:pgMar w:left="960" w:top="250" w:right="960" w:bottom="0" w:gutter="0" w:footer="0" w:header="0"/>
          <w:type w:val="continuous"/>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9"/>
          <w:szCs w:val="19"/>
          <w:color w:val="231F20"/>
        </w:rPr>
        <w:t>in U.S. Dollars or in specified alternative currencies (“Alternative Currency Advances”). Alternative Currency Advances are limited in the aggregate to the equivalent of $625.0 million.</w:t>
      </w:r>
    </w:p>
    <w:p>
      <w:pPr>
        <w:spacing w:after="0" w:line="49" w:lineRule="exact"/>
        <w:rPr>
          <w:sz w:val="20"/>
          <w:szCs w:val="20"/>
          <w:color w:val="auto"/>
        </w:rPr>
      </w:pPr>
    </w:p>
    <w:p>
      <w:pPr>
        <w:ind w:right="680" w:firstLine="349"/>
        <w:spacing w:after="0" w:line="383" w:lineRule="auto"/>
        <w:rPr>
          <w:sz w:val="20"/>
          <w:szCs w:val="20"/>
          <w:color w:val="auto"/>
        </w:rPr>
      </w:pPr>
      <w:r>
        <w:rPr>
          <w:rFonts w:ascii="Times New Roman" w:cs="Times New Roman" w:eastAsia="Times New Roman" w:hAnsi="Times New Roman"/>
          <w:sz w:val="19"/>
          <w:szCs w:val="19"/>
          <w:color w:val="231F20"/>
        </w:rPr>
        <w:t xml:space="preserve">As of March 31, 2026 a total of $37.8 million of borrowings were outstanding under the Revolving Credit Facility. </w:t>
      </w:r>
      <w:r>
        <w:rPr>
          <w:rFonts w:ascii="Times New Roman" w:cs="Times New Roman" w:eastAsia="Times New Roman" w:hAnsi="Times New Roman"/>
          <w:sz w:val="19"/>
          <w:szCs w:val="19"/>
          <w:b w:val="1"/>
          <w:bCs w:val="1"/>
          <w:i w:val="1"/>
          <w:iCs w:val="1"/>
          <w:color w:val="231F20"/>
        </w:rPr>
        <w:t>Senior Public Notes</w:t>
      </w:r>
    </w:p>
    <w:p>
      <w:pPr>
        <w:spacing w:after="0" w:line="1"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231F20"/>
        </w:rPr>
        <w:t>On April 1, 2021, FinCo completed an offering of $1,350.0 million in aggregate principal amount, of its senior notes in two separate tranches: (i) $675.0 million aggregate principal amount of FinCo’s 2.700% Senior Notes due 2031 (the “2031 Notes”) and (ii) $675.0 million aggregate principal amount of FinCo’s 3.750% Senior Notes due 2051 (the “2051 Notes” and, together with the 2031 Notes, the “Senior Public Notes”). The Senior Public Notes were issued pursuant to an Indenture, dated as of April 1, 2021, among FinCo, as the issuer, Parent, Corporation and Limited (together Parent, Corporation and Limited, the “Guarantors”) and U.S. Bank National Association, as trustee (the “Trustee”), as supplemented by the First Supplemental Indenture, dated as of April 1, 2021, among FinCo, the Guarantors and the Trustee. Each of the Guarantors guaranteed the Senior Public Notes jointly and severally on a senior unsecured basis. The 2031 Notes will mature on March 15, 2031 and the 2051 Notes will mature on March 15, 2051. The Senior Public Notes will bear interest at the rates set forth above. Interest on the Senior Public Notes is payable on March 15 and September 15 of each year until their respective maturities.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Private Placement Senior Notes</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Our outstanding Private Placement Senior Notes at March 31, 2026 and 2025 were as follows: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680" w:type="dxa"/>
            <w:vAlign w:val="bottom"/>
            <w:vMerge w:val="restart"/>
          </w:tcPr>
          <w:p>
            <w:pPr>
              <w:ind w:left="60"/>
              <w:spacing w:after="0"/>
              <w:rPr>
                <w:sz w:val="20"/>
                <w:szCs w:val="20"/>
                <w:color w:val="auto"/>
              </w:rPr>
            </w:pPr>
            <w:r>
              <w:rPr>
                <w:rFonts w:ascii="Times New Roman" w:cs="Times New Roman" w:eastAsia="Times New Roman" w:hAnsi="Times New Roman"/>
                <w:sz w:val="19"/>
                <w:szCs w:val="19"/>
                <w:color w:val="231F20"/>
              </w:rPr>
              <w:t>(in millions)</w:t>
            </w:r>
          </w:p>
        </w:tc>
        <w:tc>
          <w:tcPr>
            <w:tcW w:w="2320" w:type="dxa"/>
            <w:vAlign w:val="bottom"/>
          </w:tcPr>
          <w:p>
            <w:pPr>
              <w:ind w:left="180"/>
              <w:spacing w:after="0"/>
              <w:rPr>
                <w:sz w:val="20"/>
                <w:szCs w:val="20"/>
                <w:color w:val="auto"/>
              </w:rPr>
            </w:pPr>
            <w:r>
              <w:rPr>
                <w:rFonts w:ascii="Times New Roman" w:cs="Times New Roman" w:eastAsia="Times New Roman" w:hAnsi="Times New Roman"/>
                <w:sz w:val="19"/>
                <w:szCs w:val="19"/>
                <w:color w:val="231F20"/>
              </w:rPr>
              <w:t>Applicable Note Purchase</w:t>
            </w:r>
          </w:p>
        </w:tc>
        <w:tc>
          <w:tcPr>
            <w:tcW w:w="1720" w:type="dxa"/>
            <w:vAlign w:val="bottom"/>
            <w:vMerge w:val="restart"/>
          </w:tcPr>
          <w:p>
            <w:pPr>
              <w:ind w:left="260"/>
              <w:spacing w:after="0"/>
              <w:rPr>
                <w:sz w:val="20"/>
                <w:szCs w:val="20"/>
                <w:color w:val="auto"/>
              </w:rPr>
            </w:pPr>
            <w:r>
              <w:rPr>
                <w:rFonts w:ascii="Times New Roman" w:cs="Times New Roman" w:eastAsia="Times New Roman" w:hAnsi="Times New Roman"/>
                <w:sz w:val="19"/>
                <w:szCs w:val="19"/>
                <w:color w:val="231F20"/>
              </w:rPr>
              <w:t>Maturity Date</w:t>
            </w: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231F20"/>
              </w:rPr>
              <w:t>U.S. Dollar Value</w:t>
            </w: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231F20"/>
              </w:rPr>
              <w:t>U.S. Dollar Value</w:t>
            </w:r>
          </w:p>
        </w:tc>
        <w:tc>
          <w:tcPr>
            <w:tcW w:w="0" w:type="dxa"/>
            <w:vAlign w:val="bottom"/>
          </w:tcPr>
          <w:p>
            <w:pPr>
              <w:spacing w:after="0"/>
              <w:rPr>
                <w:sz w:val="1"/>
                <w:szCs w:val="1"/>
                <w:color w:val="auto"/>
              </w:rPr>
            </w:pPr>
          </w:p>
        </w:tc>
      </w:tr>
      <w:tr>
        <w:trPr>
          <w:trHeight w:val="232"/>
        </w:trPr>
        <w:tc>
          <w:tcPr>
            <w:tcW w:w="2680" w:type="dxa"/>
            <w:vAlign w:val="bottom"/>
            <w:tcBorders>
              <w:bottom w:val="single" w:sz="8" w:color="231F20"/>
            </w:tcBorders>
            <w:vMerge w:val="continue"/>
          </w:tcPr>
          <w:p>
            <w:pPr>
              <w:spacing w:after="0"/>
              <w:rPr>
                <w:sz w:val="20"/>
                <w:szCs w:val="20"/>
                <w:color w:val="auto"/>
              </w:rPr>
            </w:pPr>
          </w:p>
        </w:tc>
        <w:tc>
          <w:tcPr>
            <w:tcW w:w="2320" w:type="dxa"/>
            <w:vAlign w:val="bottom"/>
            <w:tcBorders>
              <w:bottom w:val="single" w:sz="8" w:color="231F20"/>
            </w:tcBorders>
          </w:tcPr>
          <w:p>
            <w:pPr>
              <w:ind w:left="760"/>
              <w:spacing w:after="0"/>
              <w:rPr>
                <w:sz w:val="20"/>
                <w:szCs w:val="20"/>
                <w:color w:val="auto"/>
              </w:rPr>
            </w:pPr>
            <w:r>
              <w:rPr>
                <w:rFonts w:ascii="Times New Roman" w:cs="Times New Roman" w:eastAsia="Times New Roman" w:hAnsi="Times New Roman"/>
                <w:sz w:val="19"/>
                <w:szCs w:val="19"/>
                <w:color w:val="231F20"/>
              </w:rPr>
              <w:t>Agreement</w:t>
            </w:r>
          </w:p>
        </w:tc>
        <w:tc>
          <w:tcPr>
            <w:tcW w:w="1720" w:type="dxa"/>
            <w:vAlign w:val="bottom"/>
            <w:tcBorders>
              <w:bottom w:val="single" w:sz="8" w:color="231F20"/>
            </w:tcBorders>
            <w:vMerge w:val="continue"/>
          </w:tcPr>
          <w:p>
            <w:pPr>
              <w:spacing w:after="0"/>
              <w:rPr>
                <w:sz w:val="20"/>
                <w:szCs w:val="20"/>
                <w:color w:val="auto"/>
              </w:rPr>
            </w:pPr>
          </w:p>
        </w:tc>
        <w:tc>
          <w:tcPr>
            <w:tcW w:w="1420" w:type="dxa"/>
            <w:vAlign w:val="bottom"/>
            <w:tcBorders>
              <w:bottom w:val="single" w:sz="8" w:color="231F20"/>
            </w:tcBorders>
            <w:gridSpan w:val="2"/>
          </w:tcPr>
          <w:p>
            <w:pPr>
              <w:ind w:left="60"/>
              <w:spacing w:after="0"/>
              <w:rPr>
                <w:sz w:val="20"/>
                <w:szCs w:val="20"/>
                <w:color w:val="auto"/>
              </w:rPr>
            </w:pPr>
            <w:r>
              <w:rPr>
                <w:rFonts w:ascii="Times New Roman" w:cs="Times New Roman" w:eastAsia="Times New Roman" w:hAnsi="Times New Roman"/>
                <w:sz w:val="17"/>
                <w:szCs w:val="17"/>
                <w:color w:val="231F20"/>
              </w:rPr>
              <w:t>at March 31, 2026</w:t>
            </w:r>
          </w:p>
        </w:tc>
        <w:tc>
          <w:tcPr>
            <w:tcW w:w="1440" w:type="dxa"/>
            <w:vAlign w:val="bottom"/>
            <w:tcBorders>
              <w:bottom w:val="single" w:sz="8" w:color="231F20"/>
            </w:tcBorders>
            <w:gridSpan w:val="2"/>
          </w:tcPr>
          <w:p>
            <w:pPr>
              <w:ind w:left="100"/>
              <w:spacing w:after="0"/>
              <w:rPr>
                <w:sz w:val="20"/>
                <w:szCs w:val="20"/>
                <w:color w:val="auto"/>
              </w:rPr>
            </w:pPr>
            <w:r>
              <w:rPr>
                <w:rFonts w:ascii="Times New Roman" w:cs="Times New Roman" w:eastAsia="Times New Roman" w:hAnsi="Times New Roman"/>
                <w:sz w:val="17"/>
                <w:szCs w:val="17"/>
                <w:color w:val="231F20"/>
              </w:rPr>
              <w:t>at March 31, 2025</w:t>
            </w:r>
          </w:p>
        </w:tc>
        <w:tc>
          <w:tcPr>
            <w:tcW w:w="0" w:type="dxa"/>
            <w:vAlign w:val="bottom"/>
          </w:tcPr>
          <w:p>
            <w:pPr>
              <w:spacing w:after="0"/>
              <w:rPr>
                <w:sz w:val="1"/>
                <w:szCs w:val="1"/>
                <w:color w:val="auto"/>
              </w:rPr>
            </w:pPr>
          </w:p>
        </w:tc>
      </w:tr>
      <w:tr>
        <w:trPr>
          <w:trHeight w:val="268"/>
        </w:trPr>
        <w:tc>
          <w:tcPr>
            <w:tcW w:w="26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$25,000 Senior notes at 3.55%</w:t>
            </w:r>
          </w:p>
        </w:tc>
        <w:tc>
          <w:tcPr>
            <w:tcW w:w="232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2012 Private Placement</w:t>
            </w:r>
          </w:p>
        </w:tc>
        <w:tc>
          <w:tcPr>
            <w:tcW w:w="172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December 2027</w:t>
            </w:r>
          </w:p>
        </w:tc>
        <w:tc>
          <w:tcPr>
            <w:tcW w:w="500" w:type="dxa"/>
            <w:vAlign w:val="bottom"/>
          </w:tcPr>
          <w:p>
            <w:pPr>
              <w:ind w:left="40"/>
              <w:spacing w:after="0"/>
              <w:rPr>
                <w:sz w:val="20"/>
                <w:szCs w:val="20"/>
                <w:color w:val="auto"/>
              </w:rPr>
            </w:pPr>
            <w:r>
              <w:rPr>
                <w:rFonts w:ascii="Times New Roman" w:cs="Times New Roman" w:eastAsia="Times New Roman" w:hAnsi="Times New Roman"/>
                <w:sz w:val="19"/>
                <w:szCs w:val="19"/>
                <w:b w:val="1"/>
                <w:bCs w:val="1"/>
                <w:color w:val="231F20"/>
              </w:rPr>
              <w:t>$</w:t>
            </w: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231F20"/>
              </w:rPr>
              <w:t>25.0</w:t>
            </w:r>
          </w:p>
        </w:tc>
        <w:tc>
          <w:tcPr>
            <w:tcW w:w="56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25.0</w:t>
            </w:r>
          </w:p>
        </w:tc>
        <w:tc>
          <w:tcPr>
            <w:tcW w:w="0" w:type="dxa"/>
            <w:vAlign w:val="bottom"/>
          </w:tcPr>
          <w:p>
            <w:pPr>
              <w:spacing w:after="0"/>
              <w:rPr>
                <w:sz w:val="1"/>
                <w:szCs w:val="1"/>
                <w:color w:val="auto"/>
              </w:rPr>
            </w:pPr>
          </w:p>
        </w:tc>
      </w:tr>
      <w:tr>
        <w:trPr>
          <w:trHeight w:val="291"/>
        </w:trPr>
        <w:tc>
          <w:tcPr>
            <w:tcW w:w="26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$125,000 Senior notes at 3.45%</w:t>
            </w:r>
          </w:p>
        </w:tc>
        <w:tc>
          <w:tcPr>
            <w:tcW w:w="232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2015 Private Placement</w:t>
            </w:r>
          </w:p>
        </w:tc>
        <w:tc>
          <w:tcPr>
            <w:tcW w:w="172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May 2025</w:t>
            </w:r>
          </w:p>
        </w:tc>
        <w:tc>
          <w:tcPr>
            <w:tcW w:w="500" w:type="dxa"/>
            <w:vAlign w:val="bottom"/>
          </w:tcPr>
          <w:p>
            <w:pPr>
              <w:spacing w:after="0"/>
              <w:rPr>
                <w:sz w:val="24"/>
                <w:szCs w:val="24"/>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231F20"/>
              </w:rPr>
              <w:t>—</w:t>
            </w: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125.0</w:t>
            </w:r>
          </w:p>
        </w:tc>
        <w:tc>
          <w:tcPr>
            <w:tcW w:w="0" w:type="dxa"/>
            <w:vAlign w:val="bottom"/>
          </w:tcPr>
          <w:p>
            <w:pPr>
              <w:spacing w:after="0"/>
              <w:rPr>
                <w:sz w:val="1"/>
                <w:szCs w:val="1"/>
                <w:color w:val="auto"/>
              </w:rPr>
            </w:pPr>
          </w:p>
        </w:tc>
      </w:tr>
      <w:tr>
        <w:trPr>
          <w:trHeight w:val="291"/>
        </w:trPr>
        <w:tc>
          <w:tcPr>
            <w:tcW w:w="26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$125,000 Senior notes at 3.55%</w:t>
            </w:r>
          </w:p>
        </w:tc>
        <w:tc>
          <w:tcPr>
            <w:tcW w:w="232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2015 Private Placement</w:t>
            </w:r>
          </w:p>
        </w:tc>
        <w:tc>
          <w:tcPr>
            <w:tcW w:w="172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May 2027</w:t>
            </w:r>
          </w:p>
        </w:tc>
        <w:tc>
          <w:tcPr>
            <w:tcW w:w="500" w:type="dxa"/>
            <w:vAlign w:val="bottom"/>
          </w:tcPr>
          <w:p>
            <w:pPr>
              <w:spacing w:after="0"/>
              <w:rPr>
                <w:sz w:val="24"/>
                <w:szCs w:val="24"/>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231F20"/>
              </w:rPr>
              <w:t>125.0</w:t>
            </w: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125.0</w:t>
            </w:r>
          </w:p>
        </w:tc>
        <w:tc>
          <w:tcPr>
            <w:tcW w:w="0" w:type="dxa"/>
            <w:vAlign w:val="bottom"/>
          </w:tcPr>
          <w:p>
            <w:pPr>
              <w:spacing w:after="0"/>
              <w:rPr>
                <w:sz w:val="1"/>
                <w:szCs w:val="1"/>
                <w:color w:val="auto"/>
              </w:rPr>
            </w:pPr>
          </w:p>
        </w:tc>
      </w:tr>
      <w:tr>
        <w:trPr>
          <w:trHeight w:val="291"/>
        </w:trPr>
        <w:tc>
          <w:tcPr>
            <w:tcW w:w="26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$100,000 Senior notes at 3.70%</w:t>
            </w:r>
          </w:p>
        </w:tc>
        <w:tc>
          <w:tcPr>
            <w:tcW w:w="232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2015 Private Placement</w:t>
            </w:r>
          </w:p>
        </w:tc>
        <w:tc>
          <w:tcPr>
            <w:tcW w:w="172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May 2030</w:t>
            </w:r>
          </w:p>
        </w:tc>
        <w:tc>
          <w:tcPr>
            <w:tcW w:w="500" w:type="dxa"/>
            <w:vAlign w:val="bottom"/>
          </w:tcPr>
          <w:p>
            <w:pPr>
              <w:spacing w:after="0"/>
              <w:rPr>
                <w:sz w:val="24"/>
                <w:szCs w:val="24"/>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231F20"/>
              </w:rPr>
              <w:t>100.0</w:t>
            </w: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100.0</w:t>
            </w:r>
          </w:p>
        </w:tc>
        <w:tc>
          <w:tcPr>
            <w:tcW w:w="0" w:type="dxa"/>
            <w:vAlign w:val="bottom"/>
          </w:tcPr>
          <w:p>
            <w:pPr>
              <w:spacing w:after="0"/>
              <w:rPr>
                <w:sz w:val="1"/>
                <w:szCs w:val="1"/>
                <w:color w:val="auto"/>
              </w:rPr>
            </w:pPr>
          </w:p>
        </w:tc>
      </w:tr>
      <w:tr>
        <w:trPr>
          <w:trHeight w:val="291"/>
        </w:trPr>
        <w:tc>
          <w:tcPr>
            <w:tcW w:w="26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$50,000 Senior notes at 3.93%</w:t>
            </w:r>
          </w:p>
        </w:tc>
        <w:tc>
          <w:tcPr>
            <w:tcW w:w="232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2017 Private Placement</w:t>
            </w:r>
          </w:p>
        </w:tc>
        <w:tc>
          <w:tcPr>
            <w:tcW w:w="172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February 2027</w:t>
            </w:r>
          </w:p>
        </w:tc>
        <w:tc>
          <w:tcPr>
            <w:tcW w:w="500" w:type="dxa"/>
            <w:vAlign w:val="bottom"/>
          </w:tcPr>
          <w:p>
            <w:pPr>
              <w:spacing w:after="0"/>
              <w:rPr>
                <w:sz w:val="24"/>
                <w:szCs w:val="24"/>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231F20"/>
              </w:rPr>
              <w:t>50.0</w:t>
            </w: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50.0</w:t>
            </w:r>
          </w:p>
        </w:tc>
        <w:tc>
          <w:tcPr>
            <w:tcW w:w="0" w:type="dxa"/>
            <w:vAlign w:val="bottom"/>
          </w:tcPr>
          <w:p>
            <w:pPr>
              <w:spacing w:after="0"/>
              <w:rPr>
                <w:sz w:val="1"/>
                <w:szCs w:val="1"/>
                <w:color w:val="auto"/>
              </w:rPr>
            </w:pPr>
          </w:p>
        </w:tc>
      </w:tr>
      <w:tr>
        <w:trPr>
          <w:trHeight w:val="291"/>
        </w:trPr>
        <w:tc>
          <w:tcPr>
            <w:tcW w:w="26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€60,000 Senior notes at 1.86%</w:t>
            </w:r>
          </w:p>
        </w:tc>
        <w:tc>
          <w:tcPr>
            <w:tcW w:w="232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2017 Private Placement</w:t>
            </w:r>
          </w:p>
        </w:tc>
        <w:tc>
          <w:tcPr>
            <w:tcW w:w="172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February 2027</w:t>
            </w:r>
          </w:p>
        </w:tc>
        <w:tc>
          <w:tcPr>
            <w:tcW w:w="500" w:type="dxa"/>
            <w:vAlign w:val="bottom"/>
          </w:tcPr>
          <w:p>
            <w:pPr>
              <w:spacing w:after="0"/>
              <w:rPr>
                <w:sz w:val="24"/>
                <w:szCs w:val="24"/>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231F20"/>
              </w:rPr>
              <w:t>68.9</w:t>
            </w: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65.0</w:t>
            </w:r>
          </w:p>
        </w:tc>
        <w:tc>
          <w:tcPr>
            <w:tcW w:w="0" w:type="dxa"/>
            <w:vAlign w:val="bottom"/>
          </w:tcPr>
          <w:p>
            <w:pPr>
              <w:spacing w:after="0"/>
              <w:rPr>
                <w:sz w:val="1"/>
                <w:szCs w:val="1"/>
                <w:color w:val="auto"/>
              </w:rPr>
            </w:pPr>
          </w:p>
        </w:tc>
      </w:tr>
      <w:tr>
        <w:trPr>
          <w:trHeight w:val="291"/>
        </w:trPr>
        <w:tc>
          <w:tcPr>
            <w:tcW w:w="26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$45,000 Senior notes at 4.03%</w:t>
            </w:r>
          </w:p>
        </w:tc>
        <w:tc>
          <w:tcPr>
            <w:tcW w:w="232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2017 Private Placement</w:t>
            </w:r>
          </w:p>
        </w:tc>
        <w:tc>
          <w:tcPr>
            <w:tcW w:w="172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February 2029</w:t>
            </w:r>
          </w:p>
        </w:tc>
        <w:tc>
          <w:tcPr>
            <w:tcW w:w="500" w:type="dxa"/>
            <w:vAlign w:val="bottom"/>
          </w:tcPr>
          <w:p>
            <w:pPr>
              <w:spacing w:after="0"/>
              <w:rPr>
                <w:sz w:val="24"/>
                <w:szCs w:val="24"/>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231F20"/>
              </w:rPr>
              <w:t>45.0</w:t>
            </w: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45.0</w:t>
            </w:r>
          </w:p>
        </w:tc>
        <w:tc>
          <w:tcPr>
            <w:tcW w:w="0" w:type="dxa"/>
            <w:vAlign w:val="bottom"/>
          </w:tcPr>
          <w:p>
            <w:pPr>
              <w:spacing w:after="0"/>
              <w:rPr>
                <w:sz w:val="1"/>
                <w:szCs w:val="1"/>
                <w:color w:val="auto"/>
              </w:rPr>
            </w:pPr>
          </w:p>
        </w:tc>
      </w:tr>
      <w:tr>
        <w:trPr>
          <w:trHeight w:val="291"/>
        </w:trPr>
        <w:tc>
          <w:tcPr>
            <w:tcW w:w="26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€20,000 Senior notes at 2.04%</w:t>
            </w:r>
          </w:p>
        </w:tc>
        <w:tc>
          <w:tcPr>
            <w:tcW w:w="232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2017 Private Placement</w:t>
            </w:r>
          </w:p>
        </w:tc>
        <w:tc>
          <w:tcPr>
            <w:tcW w:w="172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February 2029</w:t>
            </w:r>
          </w:p>
        </w:tc>
        <w:tc>
          <w:tcPr>
            <w:tcW w:w="500" w:type="dxa"/>
            <w:vAlign w:val="bottom"/>
          </w:tcPr>
          <w:p>
            <w:pPr>
              <w:spacing w:after="0"/>
              <w:rPr>
                <w:sz w:val="24"/>
                <w:szCs w:val="24"/>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231F20"/>
              </w:rPr>
              <w:t>23.0</w:t>
            </w: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21.7</w:t>
            </w:r>
          </w:p>
        </w:tc>
        <w:tc>
          <w:tcPr>
            <w:tcW w:w="0" w:type="dxa"/>
            <w:vAlign w:val="bottom"/>
          </w:tcPr>
          <w:p>
            <w:pPr>
              <w:spacing w:after="0"/>
              <w:rPr>
                <w:sz w:val="1"/>
                <w:szCs w:val="1"/>
                <w:color w:val="auto"/>
              </w:rPr>
            </w:pPr>
          </w:p>
        </w:tc>
      </w:tr>
      <w:tr>
        <w:trPr>
          <w:trHeight w:val="291"/>
        </w:trPr>
        <w:tc>
          <w:tcPr>
            <w:tcW w:w="26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£45,000 Senior notes at 3.04%</w:t>
            </w:r>
          </w:p>
        </w:tc>
        <w:tc>
          <w:tcPr>
            <w:tcW w:w="232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2017 Private Placement</w:t>
            </w:r>
          </w:p>
        </w:tc>
        <w:tc>
          <w:tcPr>
            <w:tcW w:w="172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February 2029</w:t>
            </w:r>
          </w:p>
        </w:tc>
        <w:tc>
          <w:tcPr>
            <w:tcW w:w="500" w:type="dxa"/>
            <w:vAlign w:val="bottom"/>
          </w:tcPr>
          <w:p>
            <w:pPr>
              <w:spacing w:after="0"/>
              <w:rPr>
                <w:sz w:val="24"/>
                <w:szCs w:val="24"/>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231F20"/>
              </w:rPr>
              <w:t>59.5</w:t>
            </w: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58.2</w:t>
            </w:r>
          </w:p>
        </w:tc>
        <w:tc>
          <w:tcPr>
            <w:tcW w:w="0" w:type="dxa"/>
            <w:vAlign w:val="bottom"/>
          </w:tcPr>
          <w:p>
            <w:pPr>
              <w:spacing w:after="0"/>
              <w:rPr>
                <w:sz w:val="1"/>
                <w:szCs w:val="1"/>
                <w:color w:val="auto"/>
              </w:rPr>
            </w:pPr>
          </w:p>
        </w:tc>
      </w:tr>
      <w:tr>
        <w:trPr>
          <w:trHeight w:val="291"/>
        </w:trPr>
        <w:tc>
          <w:tcPr>
            <w:tcW w:w="26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€19,000 Senior notes at 2.30%</w:t>
            </w:r>
          </w:p>
        </w:tc>
        <w:tc>
          <w:tcPr>
            <w:tcW w:w="232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2017 Private Placement</w:t>
            </w:r>
          </w:p>
        </w:tc>
        <w:tc>
          <w:tcPr>
            <w:tcW w:w="172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February 2032</w:t>
            </w:r>
          </w:p>
        </w:tc>
        <w:tc>
          <w:tcPr>
            <w:tcW w:w="500" w:type="dxa"/>
            <w:vAlign w:val="bottom"/>
          </w:tcPr>
          <w:p>
            <w:pPr>
              <w:spacing w:after="0"/>
              <w:rPr>
                <w:sz w:val="24"/>
                <w:szCs w:val="24"/>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231F20"/>
              </w:rPr>
              <w:t>21.8</w:t>
            </w: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20.6</w:t>
            </w:r>
          </w:p>
        </w:tc>
        <w:tc>
          <w:tcPr>
            <w:tcW w:w="0" w:type="dxa"/>
            <w:vAlign w:val="bottom"/>
          </w:tcPr>
          <w:p>
            <w:pPr>
              <w:spacing w:after="0"/>
              <w:rPr>
                <w:sz w:val="1"/>
                <w:szCs w:val="1"/>
                <w:color w:val="auto"/>
              </w:rPr>
            </w:pPr>
          </w:p>
        </w:tc>
      </w:tr>
      <w:tr>
        <w:trPr>
          <w:trHeight w:val="294"/>
        </w:trPr>
        <w:tc>
          <w:tcPr>
            <w:tcW w:w="268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9"/>
                <w:szCs w:val="19"/>
                <w:color w:val="231F20"/>
              </w:rPr>
              <w:t>£30,000 Senior notes at 3.17%</w:t>
            </w:r>
          </w:p>
        </w:tc>
        <w:tc>
          <w:tcPr>
            <w:tcW w:w="2320" w:type="dxa"/>
            <w:vAlign w:val="bottom"/>
            <w:tcBorders>
              <w:bottom w:val="single" w:sz="8" w:color="231F20"/>
            </w:tcBorders>
          </w:tcPr>
          <w:p>
            <w:pPr>
              <w:ind w:left="140"/>
              <w:spacing w:after="0"/>
              <w:rPr>
                <w:sz w:val="20"/>
                <w:szCs w:val="20"/>
                <w:color w:val="auto"/>
              </w:rPr>
            </w:pPr>
            <w:r>
              <w:rPr>
                <w:rFonts w:ascii="Times New Roman" w:cs="Times New Roman" w:eastAsia="Times New Roman" w:hAnsi="Times New Roman"/>
                <w:sz w:val="19"/>
                <w:szCs w:val="19"/>
                <w:color w:val="231F20"/>
              </w:rPr>
              <w:t>2017 Private Placement</w:t>
            </w:r>
          </w:p>
        </w:tc>
        <w:tc>
          <w:tcPr>
            <w:tcW w:w="1720" w:type="dxa"/>
            <w:vAlign w:val="bottom"/>
            <w:tcBorders>
              <w:bottom w:val="single" w:sz="8" w:color="231F20"/>
            </w:tcBorders>
          </w:tcPr>
          <w:p>
            <w:pPr>
              <w:ind w:left="140"/>
              <w:spacing w:after="0"/>
              <w:rPr>
                <w:sz w:val="20"/>
                <w:szCs w:val="20"/>
                <w:color w:val="auto"/>
              </w:rPr>
            </w:pPr>
            <w:r>
              <w:rPr>
                <w:rFonts w:ascii="Times New Roman" w:cs="Times New Roman" w:eastAsia="Times New Roman" w:hAnsi="Times New Roman"/>
                <w:sz w:val="19"/>
                <w:szCs w:val="19"/>
                <w:color w:val="231F20"/>
              </w:rPr>
              <w:t>February 2032</w:t>
            </w:r>
          </w:p>
        </w:tc>
        <w:tc>
          <w:tcPr>
            <w:tcW w:w="50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ind w:right="23"/>
              <w:spacing w:after="0"/>
              <w:rPr>
                <w:sz w:val="20"/>
                <w:szCs w:val="20"/>
                <w:color w:val="auto"/>
              </w:rPr>
            </w:pPr>
            <w:r>
              <w:rPr>
                <w:rFonts w:ascii="Times New Roman" w:cs="Times New Roman" w:eastAsia="Times New Roman" w:hAnsi="Times New Roman"/>
                <w:sz w:val="19"/>
                <w:szCs w:val="19"/>
                <w:b w:val="1"/>
                <w:bCs w:val="1"/>
                <w:color w:val="231F20"/>
              </w:rPr>
              <w:t>39.7</w:t>
            </w:r>
          </w:p>
        </w:tc>
        <w:tc>
          <w:tcPr>
            <w:tcW w:w="56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38.8</w:t>
            </w:r>
          </w:p>
        </w:tc>
        <w:tc>
          <w:tcPr>
            <w:tcW w:w="0" w:type="dxa"/>
            <w:vAlign w:val="bottom"/>
          </w:tcPr>
          <w:p>
            <w:pPr>
              <w:spacing w:after="0"/>
              <w:rPr>
                <w:sz w:val="1"/>
                <w:szCs w:val="1"/>
                <w:color w:val="auto"/>
              </w:rPr>
            </w:pPr>
          </w:p>
        </w:tc>
      </w:tr>
      <w:tr>
        <w:trPr>
          <w:trHeight w:val="276"/>
        </w:trPr>
        <w:tc>
          <w:tcPr>
            <w:tcW w:w="500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231F20"/>
              </w:rPr>
              <w:t>Total Private Placement Senior Notes</w:t>
            </w:r>
          </w:p>
        </w:tc>
        <w:tc>
          <w:tcPr>
            <w:tcW w:w="1720" w:type="dxa"/>
            <w:vAlign w:val="bottom"/>
          </w:tcPr>
          <w:p>
            <w:pPr>
              <w:spacing w:after="0"/>
              <w:rPr>
                <w:sz w:val="23"/>
                <w:szCs w:val="23"/>
                <w:color w:val="auto"/>
              </w:rPr>
            </w:pPr>
          </w:p>
        </w:tc>
        <w:tc>
          <w:tcPr>
            <w:tcW w:w="500" w:type="dxa"/>
            <w:vAlign w:val="bottom"/>
            <w:tcBorders>
              <w:bottom w:val="single" w:sz="8" w:color="231F20"/>
            </w:tcBorders>
          </w:tcPr>
          <w:p>
            <w:pPr>
              <w:ind w:left="40"/>
              <w:spacing w:after="0"/>
              <w:rPr>
                <w:sz w:val="20"/>
                <w:szCs w:val="20"/>
                <w:color w:val="auto"/>
              </w:rPr>
            </w:pPr>
            <w:r>
              <w:rPr>
                <w:rFonts w:ascii="Times New Roman" w:cs="Times New Roman" w:eastAsia="Times New Roman" w:hAnsi="Times New Roman"/>
                <w:sz w:val="19"/>
                <w:szCs w:val="19"/>
                <w:b w:val="1"/>
                <w:bCs w:val="1"/>
                <w:color w:val="231F20"/>
              </w:rPr>
              <w:t>$</w:t>
            </w:r>
          </w:p>
        </w:tc>
        <w:tc>
          <w:tcPr>
            <w:tcW w:w="92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19"/>
                <w:szCs w:val="19"/>
                <w:b w:val="1"/>
                <w:bCs w:val="1"/>
                <w:color w:val="231F20"/>
              </w:rPr>
              <w:t>557.8</w:t>
            </w:r>
          </w:p>
        </w:tc>
        <w:tc>
          <w:tcPr>
            <w:tcW w:w="560" w:type="dxa"/>
            <w:vAlign w:val="bottom"/>
            <w:tcBorders>
              <w:bottom w:val="single" w:sz="8" w:color="231F20"/>
            </w:tcBorders>
          </w:tcPr>
          <w:p>
            <w:pPr>
              <w:ind w:left="100"/>
              <w:spacing w:after="0"/>
              <w:rPr>
                <w:sz w:val="20"/>
                <w:szCs w:val="20"/>
                <w:color w:val="auto"/>
              </w:rPr>
            </w:pPr>
            <w:r>
              <w:rPr>
                <w:rFonts w:ascii="Times New Roman" w:cs="Times New Roman" w:eastAsia="Times New Roman" w:hAnsi="Times New Roman"/>
                <w:sz w:val="19"/>
                <w:szCs w:val="19"/>
                <w:color w:val="231F20"/>
              </w:rPr>
              <w:t>$</w:t>
            </w: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674.2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-2239010</wp:posOffset>
            </wp:positionV>
            <wp:extent cx="91249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5">
                      <a:extLst>
                        <a:ext uri="{28A0092B-C50C-407E-A947-70E740481C1C}"/>
                      </a:extLst>
                    </a:blip>
                    <a:srcRect/>
                    <a:stretch>
                      <a:fillRect/>
                    </a:stretch>
                  </pic:blipFill>
                  <pic:spPr bwMode="auto">
                    <a:xfrm>
                      <a:off x="0" y="0"/>
                      <a:ext cx="912495" cy="25400"/>
                    </a:xfrm>
                    <a:prstGeom prst="rect">
                      <a:avLst/>
                    </a:prstGeom>
                    <a:noFill/>
                  </pic:spPr>
                </pic:pic>
              </a:graphicData>
            </a:graphic>
          </wp:anchor>
        </w:drawing>
        <w:drawing>
          <wp:anchor simplePos="0" relativeHeight="251657728" behindDoc="1" locked="0" layoutInCell="0" allowOverlap="1">
            <wp:simplePos x="0" y="0"/>
            <wp:positionH relativeFrom="column">
              <wp:posOffset>3140075</wp:posOffset>
            </wp:positionH>
            <wp:positionV relativeFrom="paragraph">
              <wp:posOffset>-206375</wp:posOffset>
            </wp:positionV>
            <wp:extent cx="295465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6">
                      <a:extLst>
                        <a:ext uri="{28A0092B-C50C-407E-A947-70E740481C1C}"/>
                      </a:extLst>
                    </a:blip>
                    <a:srcRect/>
                    <a:stretch>
                      <a:fillRect/>
                    </a:stretch>
                  </pic:blipFill>
                  <pic:spPr bwMode="auto">
                    <a:xfrm>
                      <a:off x="0" y="0"/>
                      <a:ext cx="2954655" cy="25400"/>
                    </a:xfrm>
                    <a:prstGeom prst="rect">
                      <a:avLst/>
                    </a:prstGeom>
                    <a:noFill/>
                  </pic:spPr>
                </pic:pic>
              </a:graphicData>
            </a:graphic>
          </wp:anchor>
        </w:drawing>
      </w:r>
    </w:p>
    <w:p>
      <w:pPr>
        <w:spacing w:after="0" w:line="60" w:lineRule="exact"/>
        <w:rPr>
          <w:sz w:val="20"/>
          <w:szCs w:val="20"/>
          <w:color w:val="auto"/>
        </w:rPr>
      </w:pPr>
    </w:p>
    <w:p>
      <w:pPr>
        <w:ind w:right="220" w:firstLine="349"/>
        <w:spacing w:after="0" w:line="248" w:lineRule="auto"/>
        <w:rPr>
          <w:sz w:val="20"/>
          <w:szCs w:val="20"/>
          <w:color w:val="auto"/>
        </w:rPr>
      </w:pPr>
      <w:r>
        <w:rPr>
          <w:rFonts w:ascii="Times New Roman" w:cs="Times New Roman" w:eastAsia="Times New Roman" w:hAnsi="Times New Roman"/>
          <w:sz w:val="19"/>
          <w:szCs w:val="19"/>
          <w:color w:val="231F20"/>
        </w:rPr>
        <w:t>On February 27, 2017, Limited issued and sold an aggregate principal amount of $95.0 million, €99.0 million, and £75.0 million, of senior notes (collectively, the “2017 senior notes”) in a private placement to certain institutional investors in an offering that was exempt from the registration requirements of the Securities Act of 1933. These notes have maturities of between 10 years and 15 years from the issue date. The agreement governing these notes contains leverage and interest coverage covenants.</w:t>
      </w:r>
    </w:p>
    <w:p>
      <w:pPr>
        <w:spacing w:after="0" w:line="74" w:lineRule="exact"/>
        <w:rPr>
          <w:sz w:val="20"/>
          <w:szCs w:val="20"/>
          <w:color w:val="auto"/>
        </w:rPr>
      </w:pPr>
    </w:p>
    <w:p>
      <w:pPr>
        <w:ind w:right="220" w:firstLine="349"/>
        <w:spacing w:after="0" w:line="268" w:lineRule="auto"/>
        <w:rPr>
          <w:sz w:val="20"/>
          <w:szCs w:val="20"/>
          <w:color w:val="auto"/>
        </w:rPr>
      </w:pPr>
      <w:r>
        <w:rPr>
          <w:rFonts w:ascii="Times New Roman" w:cs="Times New Roman" w:eastAsia="Times New Roman" w:hAnsi="Times New Roman"/>
          <w:sz w:val="19"/>
          <w:szCs w:val="19"/>
          <w:color w:val="231F20"/>
        </w:rPr>
        <w:t>On May 15, 2015, Corporation issued and sold $350.0 million of senior notes (the "2015 senior notes"), in a private placement to certain institutional investors in an offering that was exempt from the registration requirements of the Securities Act of 1933. These notes have maturities of 10 years to 15 years from the issue date. The agreement governing these notes contains leverage and interest coverage covenants.</w:t>
      </w:r>
    </w:p>
    <w:p>
      <w:pPr>
        <w:spacing w:after="0" w:line="72" w:lineRule="exact"/>
        <w:rPr>
          <w:sz w:val="20"/>
          <w:szCs w:val="20"/>
          <w:color w:val="auto"/>
        </w:rPr>
      </w:pPr>
    </w:p>
    <w:p>
      <w:pPr>
        <w:ind w:right="60" w:firstLine="349"/>
        <w:spacing w:after="0" w:line="268" w:lineRule="auto"/>
        <w:rPr>
          <w:sz w:val="20"/>
          <w:szCs w:val="20"/>
          <w:color w:val="auto"/>
        </w:rPr>
      </w:pPr>
      <w:r>
        <w:rPr>
          <w:rFonts w:ascii="Times New Roman" w:cs="Times New Roman" w:eastAsia="Times New Roman" w:hAnsi="Times New Roman"/>
          <w:sz w:val="19"/>
          <w:szCs w:val="19"/>
          <w:color w:val="231F20"/>
        </w:rPr>
        <w:t>In December 2012, and in February 2013 Corporation issued and sold $200.0 million of senior notes (collectively, the "2012 senior notes"), in a private placement to certain institutional investors in offerings that were exempt from the registration requirements of the Securities Act of 1933. The agreement governing the notes contains leverage and interest coverage covenants.</w:t>
      </w:r>
    </w:p>
    <w:p>
      <w:pPr>
        <w:spacing w:after="0" w:line="72" w:lineRule="exact"/>
        <w:rPr>
          <w:sz w:val="20"/>
          <w:szCs w:val="20"/>
          <w:color w:val="auto"/>
        </w:rPr>
      </w:pPr>
    </w:p>
    <w:p>
      <w:pPr>
        <w:ind w:right="160" w:firstLine="262"/>
        <w:spacing w:after="0" w:line="264" w:lineRule="auto"/>
        <w:rPr>
          <w:sz w:val="20"/>
          <w:szCs w:val="20"/>
          <w:color w:val="auto"/>
        </w:rPr>
      </w:pPr>
      <w:r>
        <w:rPr>
          <w:rFonts w:ascii="Times New Roman" w:cs="Times New Roman" w:eastAsia="Times New Roman" w:hAnsi="Times New Roman"/>
          <w:sz w:val="19"/>
          <w:szCs w:val="19"/>
          <w:color w:val="231F20"/>
        </w:rPr>
        <w:t>On March 19, 2021, Corporation as issuer, and Parent, Limited and FinCo, as guarantors, entered into (1) a First Amendment to Amended and Restated Note Purchase Agreement dated March 5, 2019 (which had amended and restated certain note purchase agreements originally dated December 4, 2012) for the 2012 senior notes (the “2012 Amendment”), and</w:t>
      </w:r>
    </w:p>
    <w:p>
      <w:pPr>
        <w:sectPr>
          <w:pgSz w:w="11880" w:h="15480" w:orient="portrait"/>
          <w:cols w:equalWidth="0" w:num="1">
            <w:col w:w="9940"/>
          </w:cols>
          <w:pgMar w:left="960" w:top="250" w:right="980" w:bottom="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75</w:t>
      </w:r>
    </w:p>
    <w:p>
      <w:pPr>
        <w:sectPr>
          <w:pgSz w:w="11880" w:h="15480" w:orient="portrait"/>
          <w:cols w:equalWidth="0" w:num="1">
            <w:col w:w="9940"/>
          </w:cols>
          <w:pgMar w:left="960" w:top="250" w:right="980" w:bottom="0" w:gutter="0" w:footer="0" w:header="0"/>
          <w:type w:val="continuous"/>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40" w:firstLine="3"/>
        <w:spacing w:after="0" w:line="250" w:lineRule="auto"/>
        <w:tabs>
          <w:tab w:leader="none" w:pos="275" w:val="left"/>
        </w:tabs>
        <w:numPr>
          <w:ilvl w:val="0"/>
          <w:numId w:val="2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 First Amendment to Amended and Restated Note Purchase Agreement dated March 5, 2019 (which had amended and restated certain note purchase agreements originally dated March 31, 2015) for the 2015 senior notes (the “2015 Amendment”). Also on March 19, 2021, Limited, as issuer, and Parent, Corporation and FinCo, as guarantors, entered into a First Amendment to Amended and Restated Note Purchase Agreement dated March 5, 2019 (which had amended and restated a certain note purchase agreement originally dated January 23, 2017) for the 2017 senior notes (together with the 2012 Amendment and the 2015 Amendment, the “NPA Amendments”). The NPA Amendments provided, among other things, for the waiver of certain repurchase rights of the note holders and increased the size of certain baskets to more closely align with other current credit agreement baskets.</w:t>
      </w:r>
    </w:p>
    <w:p>
      <w:pPr>
        <w:spacing w:after="0" w:line="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At March 31, 2026, we were in compliance with all financial covenants associated with our indebtedness.</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The combined annual aggregate amount of maturities of our outstanding debt by fiscal year is as follows:</w:t>
      </w:r>
    </w:p>
    <w:p>
      <w:pPr>
        <w:spacing w:after="0" w:line="90" w:lineRule="exact"/>
        <w:rPr>
          <w:sz w:val="20"/>
          <w:szCs w:val="20"/>
          <w:color w:val="auto"/>
        </w:rPr>
      </w:pPr>
    </w:p>
    <w:tbl>
      <w:tblPr>
        <w:tblLayout w:type="fixed"/>
        <w:tblInd w:w="60" w:type="dxa"/>
        <w:tblCellMar>
          <w:top w:w="0" w:type="dxa"/>
          <w:left w:w="0" w:type="dxa"/>
          <w:bottom w:w="0" w:type="dxa"/>
          <w:right w:w="0" w:type="dxa"/>
        </w:tblCellMar>
      </w:tblPr>
      <w:tr>
        <w:trPr>
          <w:trHeight w:val="253"/>
        </w:trPr>
        <w:tc>
          <w:tcPr>
            <w:tcW w:w="8560" w:type="dxa"/>
            <w:vAlign w:val="bottom"/>
          </w:tcPr>
          <w:p>
            <w:pPr>
              <w:spacing w:after="0"/>
              <w:rPr>
                <w:sz w:val="20"/>
                <w:szCs w:val="20"/>
                <w:color w:val="auto"/>
              </w:rPr>
            </w:pPr>
            <w:r>
              <w:rPr>
                <w:rFonts w:ascii="Times New Roman" w:cs="Times New Roman" w:eastAsia="Times New Roman" w:hAnsi="Times New Roman"/>
                <w:sz w:val="19"/>
                <w:szCs w:val="19"/>
                <w:color w:val="231F20"/>
              </w:rPr>
              <w:t>(in millions)</w:t>
            </w: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91"/>
        </w:trPr>
        <w:tc>
          <w:tcPr>
            <w:tcW w:w="8560" w:type="dxa"/>
            <w:vAlign w:val="bottom"/>
          </w:tcPr>
          <w:p>
            <w:pPr>
              <w:spacing w:after="0"/>
              <w:rPr>
                <w:sz w:val="20"/>
                <w:szCs w:val="20"/>
                <w:color w:val="auto"/>
              </w:rPr>
            </w:pPr>
            <w:r>
              <w:rPr>
                <w:rFonts w:ascii="Times New Roman" w:cs="Times New Roman" w:eastAsia="Times New Roman" w:hAnsi="Times New Roman"/>
                <w:sz w:val="19"/>
                <w:szCs w:val="19"/>
                <w:color w:val="231F20"/>
              </w:rPr>
              <w:t>2027</w:t>
            </w:r>
          </w:p>
        </w:tc>
        <w:tc>
          <w:tcPr>
            <w:tcW w:w="400" w:type="dxa"/>
            <w:vAlign w:val="bottom"/>
          </w:tcPr>
          <w:p>
            <w:pPr>
              <w:jc w:val="right"/>
              <w:ind w:right="163"/>
              <w:spacing w:after="0"/>
              <w:rPr>
                <w:sz w:val="20"/>
                <w:szCs w:val="20"/>
                <w:color w:val="auto"/>
              </w:rPr>
            </w:pPr>
            <w:r>
              <w:rPr>
                <w:rFonts w:ascii="Times New Roman" w:cs="Times New Roman" w:eastAsia="Times New Roman" w:hAnsi="Times New Roman"/>
                <w:sz w:val="19"/>
                <w:szCs w:val="19"/>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118.9</w:t>
            </w:r>
          </w:p>
        </w:tc>
      </w:tr>
      <w:tr>
        <w:trPr>
          <w:trHeight w:val="291"/>
        </w:trPr>
        <w:tc>
          <w:tcPr>
            <w:tcW w:w="8560" w:type="dxa"/>
            <w:vAlign w:val="bottom"/>
          </w:tcPr>
          <w:p>
            <w:pPr>
              <w:spacing w:after="0"/>
              <w:rPr>
                <w:sz w:val="20"/>
                <w:szCs w:val="20"/>
                <w:color w:val="auto"/>
              </w:rPr>
            </w:pPr>
            <w:r>
              <w:rPr>
                <w:rFonts w:ascii="Times New Roman" w:cs="Times New Roman" w:eastAsia="Times New Roman" w:hAnsi="Times New Roman"/>
                <w:sz w:val="19"/>
                <w:szCs w:val="19"/>
                <w:color w:val="231F20"/>
              </w:rPr>
              <w:t>2028</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150.0</w:t>
            </w:r>
          </w:p>
        </w:tc>
      </w:tr>
      <w:tr>
        <w:trPr>
          <w:trHeight w:val="291"/>
        </w:trPr>
        <w:tc>
          <w:tcPr>
            <w:tcW w:w="8560" w:type="dxa"/>
            <w:vAlign w:val="bottom"/>
          </w:tcPr>
          <w:p>
            <w:pPr>
              <w:spacing w:after="0"/>
              <w:rPr>
                <w:sz w:val="20"/>
                <w:szCs w:val="20"/>
                <w:color w:val="auto"/>
              </w:rPr>
            </w:pPr>
            <w:r>
              <w:rPr>
                <w:rFonts w:ascii="Times New Roman" w:cs="Times New Roman" w:eastAsia="Times New Roman" w:hAnsi="Times New Roman"/>
                <w:sz w:val="19"/>
                <w:szCs w:val="19"/>
                <w:color w:val="231F20"/>
              </w:rPr>
              <w:t>2029</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127.5</w:t>
            </w:r>
          </w:p>
        </w:tc>
      </w:tr>
      <w:tr>
        <w:trPr>
          <w:trHeight w:val="291"/>
        </w:trPr>
        <w:tc>
          <w:tcPr>
            <w:tcW w:w="8560" w:type="dxa"/>
            <w:vAlign w:val="bottom"/>
          </w:tcPr>
          <w:p>
            <w:pPr>
              <w:spacing w:after="0"/>
              <w:rPr>
                <w:sz w:val="20"/>
                <w:szCs w:val="20"/>
                <w:color w:val="auto"/>
              </w:rPr>
            </w:pPr>
            <w:r>
              <w:rPr>
                <w:rFonts w:ascii="Times New Roman" w:cs="Times New Roman" w:eastAsia="Times New Roman" w:hAnsi="Times New Roman"/>
                <w:sz w:val="19"/>
                <w:szCs w:val="19"/>
                <w:color w:val="231F20"/>
              </w:rPr>
              <w:t>2030</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37.8</w:t>
            </w:r>
          </w:p>
        </w:tc>
      </w:tr>
      <w:tr>
        <w:trPr>
          <w:trHeight w:val="294"/>
        </w:trPr>
        <w:tc>
          <w:tcPr>
            <w:tcW w:w="8560" w:type="dxa"/>
            <w:vAlign w:val="bottom"/>
          </w:tcPr>
          <w:p>
            <w:pPr>
              <w:spacing w:after="0"/>
              <w:rPr>
                <w:sz w:val="20"/>
                <w:szCs w:val="20"/>
                <w:color w:val="auto"/>
              </w:rPr>
            </w:pPr>
            <w:r>
              <w:rPr>
                <w:rFonts w:ascii="Times New Roman" w:cs="Times New Roman" w:eastAsia="Times New Roman" w:hAnsi="Times New Roman"/>
                <w:sz w:val="19"/>
                <w:szCs w:val="19"/>
                <w:color w:val="231F20"/>
              </w:rPr>
              <w:t>2031 and thereafter</w:t>
            </w:r>
          </w:p>
        </w:tc>
        <w:tc>
          <w:tcPr>
            <w:tcW w:w="40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1,511.5</w:t>
            </w:r>
          </w:p>
        </w:tc>
      </w:tr>
      <w:tr>
        <w:trPr>
          <w:trHeight w:val="276"/>
        </w:trPr>
        <w:tc>
          <w:tcPr>
            <w:tcW w:w="8560" w:type="dxa"/>
            <w:vAlign w:val="bottom"/>
          </w:tcPr>
          <w:p>
            <w:pPr>
              <w:spacing w:after="0"/>
              <w:rPr>
                <w:sz w:val="20"/>
                <w:szCs w:val="20"/>
                <w:color w:val="auto"/>
              </w:rPr>
            </w:pPr>
            <w:r>
              <w:rPr>
                <w:rFonts w:ascii="Times New Roman" w:cs="Times New Roman" w:eastAsia="Times New Roman" w:hAnsi="Times New Roman"/>
                <w:sz w:val="19"/>
                <w:szCs w:val="19"/>
                <w:b w:val="1"/>
                <w:bCs w:val="1"/>
                <w:color w:val="231F20"/>
              </w:rPr>
              <w:t>Total</w:t>
            </w:r>
          </w:p>
        </w:tc>
        <w:tc>
          <w:tcPr>
            <w:tcW w:w="400" w:type="dxa"/>
            <w:vAlign w:val="bottom"/>
            <w:tcBorders>
              <w:bottom w:val="single" w:sz="8" w:color="231F20"/>
            </w:tcBorders>
          </w:tcPr>
          <w:p>
            <w:pPr>
              <w:jc w:val="right"/>
              <w:ind w:right="163"/>
              <w:spacing w:after="0"/>
              <w:rPr>
                <w:sz w:val="20"/>
                <w:szCs w:val="20"/>
                <w:color w:val="auto"/>
              </w:rPr>
            </w:pPr>
            <w:r>
              <w:rPr>
                <w:rFonts w:ascii="Times New Roman" w:cs="Times New Roman" w:eastAsia="Times New Roman" w:hAnsi="Times New Roman"/>
                <w:sz w:val="19"/>
                <w:szCs w:val="19"/>
                <w:color w:val="231F20"/>
              </w:rPr>
              <w:t>$</w:t>
            </w: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1,945.6</w:t>
            </w:r>
          </w:p>
        </w:tc>
      </w:tr>
    </w:tbl>
    <w:p>
      <w:pPr>
        <w:spacing w:after="0" w:line="1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Supplemental cash flow information related to debt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20" w:type="dxa"/>
            <w:vAlign w:val="bottom"/>
          </w:tcPr>
          <w:p>
            <w:pPr>
              <w:ind w:left="180"/>
              <w:spacing w:after="0"/>
              <w:rPr>
                <w:sz w:val="20"/>
                <w:szCs w:val="20"/>
                <w:color w:val="auto"/>
              </w:rPr>
            </w:pPr>
            <w:r>
              <w:rPr>
                <w:rFonts w:ascii="Times New Roman" w:cs="Times New Roman" w:eastAsia="Times New Roman" w:hAnsi="Times New Roman"/>
                <w:sz w:val="17"/>
                <w:szCs w:val="17"/>
                <w:color w:val="231F20"/>
              </w:rPr>
              <w:t>(in millions)</w:t>
            </w: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2026</w:t>
            </w:r>
          </w:p>
        </w:tc>
        <w:tc>
          <w:tcPr>
            <w:tcW w:w="46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2025</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vMerge w:val="restart"/>
          </w:tcPr>
          <w:p>
            <w:pPr>
              <w:jc w:val="right"/>
              <w:ind w:right="363"/>
              <w:spacing w:after="0"/>
              <w:rPr>
                <w:sz w:val="20"/>
                <w:szCs w:val="20"/>
                <w:color w:val="auto"/>
              </w:rPr>
            </w:pPr>
            <w:r>
              <w:rPr>
                <w:rFonts w:ascii="Times New Roman" w:cs="Times New Roman" w:eastAsia="Times New Roman" w:hAnsi="Times New Roman"/>
                <w:sz w:val="19"/>
                <w:szCs w:val="19"/>
                <w:color w:val="231F20"/>
              </w:rPr>
              <w:t>2024</w:t>
            </w:r>
          </w:p>
        </w:tc>
        <w:tc>
          <w:tcPr>
            <w:tcW w:w="0" w:type="dxa"/>
            <w:vAlign w:val="bottom"/>
          </w:tcPr>
          <w:p>
            <w:pPr>
              <w:spacing w:after="0"/>
              <w:rPr>
                <w:sz w:val="1"/>
                <w:szCs w:val="1"/>
                <w:color w:val="auto"/>
              </w:rPr>
            </w:pPr>
          </w:p>
        </w:tc>
      </w:tr>
      <w:tr>
        <w:trPr>
          <w:trHeight w:val="237"/>
        </w:trPr>
        <w:tc>
          <w:tcPr>
            <w:tcW w:w="4420" w:type="dxa"/>
            <w:vAlign w:val="bottom"/>
            <w:tcBorders>
              <w:bottom w:val="single" w:sz="8" w:color="231F20"/>
            </w:tcBorders>
          </w:tcPr>
          <w:p>
            <w:pPr>
              <w:ind w:left="180"/>
              <w:spacing w:after="0"/>
              <w:rPr>
                <w:sz w:val="20"/>
                <w:szCs w:val="20"/>
                <w:color w:val="auto"/>
              </w:rPr>
            </w:pPr>
            <w:r>
              <w:rPr>
                <w:rFonts w:ascii="Times New Roman" w:cs="Times New Roman" w:eastAsia="Times New Roman" w:hAnsi="Times New Roman"/>
                <w:sz w:val="17"/>
                <w:szCs w:val="17"/>
                <w:color w:val="231F20"/>
              </w:rPr>
              <w:t>Years Ended March 31,</w:t>
            </w:r>
          </w:p>
        </w:tc>
        <w:tc>
          <w:tcPr>
            <w:tcW w:w="1960" w:type="dxa"/>
            <w:vAlign w:val="bottom"/>
            <w:tcBorders>
              <w:bottom w:val="single" w:sz="8" w:color="231F20"/>
            </w:tcBorders>
            <w:vMerge w:val="continue"/>
          </w:tcPr>
          <w:p>
            <w:pPr>
              <w:spacing w:after="0"/>
              <w:rPr>
                <w:sz w:val="20"/>
                <w:szCs w:val="20"/>
                <w:color w:val="auto"/>
              </w:rPr>
            </w:pPr>
          </w:p>
        </w:tc>
        <w:tc>
          <w:tcPr>
            <w:tcW w:w="46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vMerge w:val="continue"/>
          </w:tcPr>
          <w:p>
            <w:pPr>
              <w:spacing w:after="0"/>
              <w:rPr>
                <w:sz w:val="20"/>
                <w:szCs w:val="20"/>
                <w:color w:val="auto"/>
              </w:rPr>
            </w:pPr>
          </w:p>
        </w:tc>
        <w:tc>
          <w:tcPr>
            <w:tcW w:w="480" w:type="dxa"/>
            <w:vAlign w:val="bottom"/>
            <w:tcBorders>
              <w:bottom w:val="single" w:sz="8" w:color="231F20"/>
            </w:tcBorders>
          </w:tcPr>
          <w:p>
            <w:pPr>
              <w:spacing w:after="0"/>
              <w:rPr>
                <w:sz w:val="20"/>
                <w:szCs w:val="20"/>
                <w:color w:val="auto"/>
              </w:rPr>
            </w:pPr>
          </w:p>
        </w:tc>
        <w:tc>
          <w:tcPr>
            <w:tcW w:w="36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42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Cash paid during the year for interest</w:t>
            </w:r>
          </w:p>
        </w:tc>
        <w:tc>
          <w:tcPr>
            <w:tcW w:w="1960" w:type="dxa"/>
            <w:vAlign w:val="bottom"/>
          </w:tcPr>
          <w:p>
            <w:pPr>
              <w:jc w:val="right"/>
              <w:ind w:right="643"/>
              <w:spacing w:after="0"/>
              <w:rPr>
                <w:sz w:val="20"/>
                <w:szCs w:val="20"/>
                <w:color w:val="auto"/>
              </w:rPr>
            </w:pPr>
            <w:r>
              <w:rPr>
                <w:rFonts w:ascii="Times New Roman" w:cs="Times New Roman" w:eastAsia="Times New Roman" w:hAnsi="Times New Roman"/>
                <w:sz w:val="19"/>
                <w:szCs w:val="19"/>
                <w:b w:val="1"/>
                <w:bCs w:val="1"/>
                <w:color w:val="231F20"/>
              </w:rPr>
              <w:t>$</w:t>
            </w:r>
          </w:p>
        </w:tc>
        <w:tc>
          <w:tcPr>
            <w:tcW w:w="460" w:type="dxa"/>
            <w:vAlign w:val="bottom"/>
          </w:tcPr>
          <w:p>
            <w:pPr>
              <w:jc w:val="right"/>
              <w:ind w:right="3"/>
              <w:spacing w:after="0"/>
              <w:rPr>
                <w:sz w:val="20"/>
                <w:szCs w:val="20"/>
                <w:color w:val="auto"/>
              </w:rPr>
            </w:pPr>
            <w:r>
              <w:rPr>
                <w:rFonts w:ascii="Times New Roman" w:cs="Times New Roman" w:eastAsia="Times New Roman" w:hAnsi="Times New Roman"/>
                <w:sz w:val="19"/>
                <w:szCs w:val="19"/>
                <w:b w:val="1"/>
                <w:bCs w:val="1"/>
                <w:color w:val="231F20"/>
              </w:rPr>
              <w:t>64.7</w:t>
            </w:r>
          </w:p>
        </w:tc>
        <w:tc>
          <w:tcPr>
            <w:tcW w:w="920" w:type="dxa"/>
            <w:vAlign w:val="bottom"/>
          </w:tcPr>
          <w:p>
            <w:pPr>
              <w:jc w:val="right"/>
              <w:ind w:right="623"/>
              <w:spacing w:after="0"/>
              <w:rPr>
                <w:sz w:val="20"/>
                <w:szCs w:val="20"/>
                <w:color w:val="auto"/>
              </w:rPr>
            </w:pPr>
            <w:r>
              <w:rPr>
                <w:rFonts w:ascii="Times New Roman" w:cs="Times New Roman" w:eastAsia="Times New Roman" w:hAnsi="Times New Roman"/>
                <w:sz w:val="19"/>
                <w:szCs w:val="19"/>
                <w:color w:val="231F20"/>
              </w:rPr>
              <w:t>$</w:t>
            </w: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231F20"/>
              </w:rPr>
              <w:t>89.4</w:t>
            </w:r>
          </w:p>
        </w:tc>
        <w:tc>
          <w:tcPr>
            <w:tcW w:w="36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142.2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3472815</wp:posOffset>
            </wp:positionH>
            <wp:positionV relativeFrom="paragraph">
              <wp:posOffset>-181610</wp:posOffset>
            </wp:positionV>
            <wp:extent cx="264033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7">
                      <a:extLst>
                        <a:ext uri="{28A0092B-C50C-407E-A947-70E740481C1C}"/>
                      </a:extLst>
                    </a:blip>
                    <a:srcRect/>
                    <a:stretch>
                      <a:fillRect/>
                    </a:stretch>
                  </pic:blipFill>
                  <pic:spPr bwMode="auto">
                    <a:xfrm>
                      <a:off x="0" y="0"/>
                      <a:ext cx="2640330" cy="25400"/>
                    </a:xfrm>
                    <a:prstGeom prst="rect">
                      <a:avLst/>
                    </a:prstGeom>
                    <a:noFill/>
                  </pic:spPr>
                </pic:pic>
              </a:graphicData>
            </a:graphic>
          </wp:anchor>
        </w:drawing>
      </w:r>
    </w:p>
    <w:p>
      <w:pPr>
        <w:sectPr>
          <w:pgSz w:w="11880" w:h="15480" w:orient="portrait"/>
          <w:cols w:equalWidth="0" w:num="1">
            <w:col w:w="9940"/>
          </w:cols>
          <w:pgMar w:left="960" w:top="25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76</w:t>
      </w:r>
    </w:p>
    <w:p>
      <w:pPr>
        <w:sectPr>
          <w:pgSz w:w="11880" w:h="15480" w:orient="portrait"/>
          <w:cols w:equalWidth="0" w:num="1">
            <w:col w:w="9940"/>
          </w:cols>
          <w:pgMar w:left="960" w:top="250" w:right="980" w:bottom="0"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9. ADDITIONAL CONSOLIDATED BALANCE SHEET INFORMATION</w:t>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231F20"/>
        </w:rPr>
        <w:t>Additional information related to our Consolidated Balance Sheets is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20" w:type="dxa"/>
            <w:vAlign w:val="bottom"/>
          </w:tcPr>
          <w:p>
            <w:pPr>
              <w:ind w:left="180"/>
              <w:spacing w:after="0"/>
              <w:rPr>
                <w:sz w:val="20"/>
                <w:szCs w:val="20"/>
                <w:color w:val="auto"/>
              </w:rPr>
            </w:pPr>
            <w:r>
              <w:rPr>
                <w:rFonts w:ascii="Times New Roman" w:cs="Times New Roman" w:eastAsia="Times New Roman" w:hAnsi="Times New Roman"/>
                <w:sz w:val="17"/>
                <w:szCs w:val="17"/>
                <w:color w:val="231F20"/>
              </w:rPr>
              <w:t>(in millions)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81"/>
        </w:trPr>
        <w:tc>
          <w:tcPr>
            <w:tcW w:w="7320" w:type="dxa"/>
            <w:vAlign w:val="bottom"/>
            <w:tcBorders>
              <w:bottom w:val="single" w:sz="8" w:color="231F20"/>
            </w:tcBorders>
          </w:tcPr>
          <w:p>
            <w:pPr>
              <w:ind w:left="180"/>
              <w:spacing w:after="0"/>
              <w:rPr>
                <w:sz w:val="20"/>
                <w:szCs w:val="20"/>
                <w:color w:val="auto"/>
              </w:rPr>
            </w:pPr>
            <w:r>
              <w:rPr>
                <w:rFonts w:ascii="Times New Roman" w:cs="Times New Roman" w:eastAsia="Times New Roman" w:hAnsi="Times New Roman"/>
                <w:sz w:val="17"/>
                <w:szCs w:val="17"/>
                <w:color w:val="231F20"/>
              </w:rPr>
              <w:t>March 31,</w:t>
            </w:r>
          </w:p>
        </w:tc>
        <w:tc>
          <w:tcPr>
            <w:tcW w:w="32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ind w:right="383"/>
              <w:spacing w:after="0"/>
              <w:rPr>
                <w:sz w:val="20"/>
                <w:szCs w:val="20"/>
                <w:color w:val="auto"/>
              </w:rPr>
            </w:pPr>
            <w:r>
              <w:rPr>
                <w:rFonts w:ascii="Times New Roman" w:cs="Times New Roman" w:eastAsia="Times New Roman" w:hAnsi="Times New Roman"/>
                <w:sz w:val="17"/>
                <w:szCs w:val="17"/>
                <w:color w:val="231F20"/>
              </w:rPr>
              <w:t>2026</w:t>
            </w:r>
          </w:p>
        </w:tc>
        <w:tc>
          <w:tcPr>
            <w:tcW w:w="36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ind w:right="363"/>
              <w:spacing w:after="0"/>
              <w:rPr>
                <w:sz w:val="20"/>
                <w:szCs w:val="20"/>
                <w:color w:val="auto"/>
              </w:rPr>
            </w:pPr>
            <w:r>
              <w:rPr>
                <w:rFonts w:ascii="Times New Roman" w:cs="Times New Roman" w:eastAsia="Times New Roman" w:hAnsi="Times New Roman"/>
                <w:sz w:val="17"/>
                <w:szCs w:val="17"/>
                <w:color w:val="231F20"/>
              </w:rPr>
              <w:t>2025</w:t>
            </w:r>
          </w:p>
        </w:tc>
      </w:tr>
      <w:tr>
        <w:trPr>
          <w:trHeight w:val="228"/>
        </w:trPr>
        <w:tc>
          <w:tcPr>
            <w:tcW w:w="732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231F20"/>
              </w:rPr>
              <w:t>Accrued payroll and other related liabilities: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88"/>
        </w:trPr>
        <w:tc>
          <w:tcPr>
            <w:tcW w:w="73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Compensation and related items</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b w:val="1"/>
                <w:bCs w:val="1"/>
                <w:color w:val="231F20"/>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9"/>
                <w:szCs w:val="19"/>
                <w:b w:val="1"/>
                <w:bCs w:val="1"/>
                <w:color w:val="231F20"/>
              </w:rPr>
              <w:t>63.7</w:t>
            </w:r>
          </w:p>
        </w:tc>
        <w:tc>
          <w:tcPr>
            <w:tcW w:w="36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69.8</w:t>
            </w:r>
          </w:p>
        </w:tc>
      </w:tr>
      <w:tr>
        <w:trPr>
          <w:trHeight w:val="291"/>
        </w:trPr>
        <w:tc>
          <w:tcPr>
            <w:tcW w:w="73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Accrued vacation/paid time off</w:t>
            </w:r>
          </w:p>
        </w:tc>
        <w:tc>
          <w:tcPr>
            <w:tcW w:w="320" w:type="dxa"/>
            <w:vAlign w:val="bottom"/>
          </w:tcPr>
          <w:p>
            <w:pPr>
              <w:spacing w:after="0"/>
              <w:rPr>
                <w:sz w:val="24"/>
                <w:szCs w:val="24"/>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9"/>
                <w:szCs w:val="19"/>
                <w:b w:val="1"/>
                <w:bCs w:val="1"/>
                <w:color w:val="231F20"/>
              </w:rPr>
              <w:t>16.7</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16.2</w:t>
            </w:r>
          </w:p>
        </w:tc>
      </w:tr>
      <w:tr>
        <w:trPr>
          <w:trHeight w:val="291"/>
        </w:trPr>
        <w:tc>
          <w:tcPr>
            <w:tcW w:w="73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Accrued bonuses</w:t>
            </w:r>
          </w:p>
        </w:tc>
        <w:tc>
          <w:tcPr>
            <w:tcW w:w="320" w:type="dxa"/>
            <w:vAlign w:val="bottom"/>
          </w:tcPr>
          <w:p>
            <w:pPr>
              <w:spacing w:after="0"/>
              <w:rPr>
                <w:sz w:val="24"/>
                <w:szCs w:val="24"/>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9"/>
                <w:szCs w:val="19"/>
                <w:b w:val="1"/>
                <w:bCs w:val="1"/>
                <w:color w:val="231F20"/>
              </w:rPr>
              <w:t>97.5</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66.5</w:t>
            </w:r>
          </w:p>
        </w:tc>
      </w:tr>
      <w:tr>
        <w:trPr>
          <w:trHeight w:val="291"/>
        </w:trPr>
        <w:tc>
          <w:tcPr>
            <w:tcW w:w="73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Accrued employee commissions</w:t>
            </w:r>
          </w:p>
        </w:tc>
        <w:tc>
          <w:tcPr>
            <w:tcW w:w="320" w:type="dxa"/>
            <w:vAlign w:val="bottom"/>
          </w:tcPr>
          <w:p>
            <w:pPr>
              <w:spacing w:after="0"/>
              <w:rPr>
                <w:sz w:val="24"/>
                <w:szCs w:val="24"/>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9"/>
                <w:szCs w:val="19"/>
                <w:b w:val="1"/>
                <w:bCs w:val="1"/>
                <w:color w:val="231F20"/>
              </w:rPr>
              <w:t>39.6</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37.4</w:t>
            </w:r>
          </w:p>
        </w:tc>
      </w:tr>
      <w:tr>
        <w:trPr>
          <w:trHeight w:val="291"/>
        </w:trPr>
        <w:tc>
          <w:tcPr>
            <w:tcW w:w="73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Other post-retirement benefits obligations-current portion</w:t>
            </w:r>
          </w:p>
        </w:tc>
        <w:tc>
          <w:tcPr>
            <w:tcW w:w="320" w:type="dxa"/>
            <w:vAlign w:val="bottom"/>
          </w:tcPr>
          <w:p>
            <w:pPr>
              <w:spacing w:after="0"/>
              <w:rPr>
                <w:sz w:val="24"/>
                <w:szCs w:val="24"/>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9"/>
                <w:szCs w:val="19"/>
                <w:b w:val="1"/>
                <w:bCs w:val="1"/>
                <w:color w:val="231F20"/>
              </w:rPr>
              <w:t>0.9</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w:t>
            </w:r>
          </w:p>
        </w:tc>
      </w:tr>
      <w:tr>
        <w:trPr>
          <w:trHeight w:val="294"/>
        </w:trPr>
        <w:tc>
          <w:tcPr>
            <w:tcW w:w="73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Other employee benefit plans' obligations-current portion</w:t>
            </w:r>
          </w:p>
        </w:tc>
        <w:tc>
          <w:tcPr>
            <w:tcW w:w="32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19"/>
                <w:szCs w:val="19"/>
                <w:b w:val="1"/>
                <w:bCs w:val="1"/>
                <w:color w:val="231F20"/>
              </w:rPr>
              <w:t>2.7</w:t>
            </w:r>
          </w:p>
        </w:tc>
        <w:tc>
          <w:tcPr>
            <w:tcW w:w="36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1.8</w:t>
            </w:r>
          </w:p>
        </w:tc>
      </w:tr>
      <w:tr>
        <w:trPr>
          <w:trHeight w:val="276"/>
        </w:trPr>
        <w:tc>
          <w:tcPr>
            <w:tcW w:w="732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231F20"/>
              </w:rPr>
              <w:t>Total accrued payroll and other related liabilities</w:t>
            </w:r>
          </w:p>
        </w:tc>
        <w:tc>
          <w:tcPr>
            <w:tcW w:w="320" w:type="dxa"/>
            <w:vAlign w:val="bottom"/>
            <w:tcBorders>
              <w:bottom w:val="single" w:sz="8" w:color="231F20"/>
            </w:tcBorders>
          </w:tcPr>
          <w:p>
            <w:pPr>
              <w:jc w:val="right"/>
              <w:ind w:right="63"/>
              <w:spacing w:after="0"/>
              <w:rPr>
                <w:sz w:val="20"/>
                <w:szCs w:val="20"/>
                <w:color w:val="auto"/>
              </w:rPr>
            </w:pPr>
            <w:r>
              <w:rPr>
                <w:rFonts w:ascii="Times New Roman" w:cs="Times New Roman" w:eastAsia="Times New Roman" w:hAnsi="Times New Roman"/>
                <w:sz w:val="19"/>
                <w:szCs w:val="19"/>
                <w:b w:val="1"/>
                <w:bCs w:val="1"/>
                <w:color w:val="231F20"/>
              </w:rPr>
              <w:t>$</w:t>
            </w:r>
          </w:p>
        </w:tc>
        <w:tc>
          <w:tcPr>
            <w:tcW w:w="98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19"/>
                <w:szCs w:val="19"/>
                <w:b w:val="1"/>
                <w:bCs w:val="1"/>
                <w:color w:val="231F20"/>
              </w:rPr>
              <w:t>221.1</w:t>
            </w:r>
          </w:p>
        </w:tc>
        <w:tc>
          <w:tcPr>
            <w:tcW w:w="360" w:type="dxa"/>
            <w:vAlign w:val="bottom"/>
            <w:tcBorders>
              <w:bottom w:val="single" w:sz="8" w:color="231F20"/>
            </w:tcBorders>
          </w:tcPr>
          <w:p>
            <w:pPr>
              <w:jc w:val="right"/>
              <w:ind w:right="63"/>
              <w:spacing w:after="0"/>
              <w:rPr>
                <w:sz w:val="20"/>
                <w:szCs w:val="20"/>
                <w:color w:val="auto"/>
              </w:rPr>
            </w:pPr>
            <w:r>
              <w:rPr>
                <w:rFonts w:ascii="Times New Roman" w:cs="Times New Roman" w:eastAsia="Times New Roman" w:hAnsi="Times New Roman"/>
                <w:sz w:val="19"/>
                <w:szCs w:val="19"/>
                <w:color w:val="231F20"/>
              </w:rPr>
              <w:t>$</w:t>
            </w: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192.7</w:t>
            </w:r>
          </w:p>
        </w:tc>
      </w:tr>
      <w:tr>
        <w:trPr>
          <w:trHeight w:val="228"/>
        </w:trPr>
        <w:tc>
          <w:tcPr>
            <w:tcW w:w="732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231F20"/>
              </w:rPr>
              <w:t>Accrued expenses and other:</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12"/>
        </w:trPr>
        <w:tc>
          <w:tcPr>
            <w:tcW w:w="73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Deferred revenues</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b w:val="1"/>
                <w:bCs w:val="1"/>
                <w:color w:val="231F20"/>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9"/>
                <w:szCs w:val="19"/>
                <w:b w:val="1"/>
                <w:bCs w:val="1"/>
                <w:color w:val="231F20"/>
              </w:rPr>
              <w:t>59.1</w:t>
            </w:r>
          </w:p>
        </w:tc>
        <w:tc>
          <w:tcPr>
            <w:tcW w:w="36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57.5</w:t>
            </w:r>
          </w:p>
        </w:tc>
      </w:tr>
      <w:tr>
        <w:trPr>
          <w:trHeight w:val="291"/>
        </w:trPr>
        <w:tc>
          <w:tcPr>
            <w:tcW w:w="73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Service liabilities</w:t>
            </w:r>
          </w:p>
        </w:tc>
        <w:tc>
          <w:tcPr>
            <w:tcW w:w="320" w:type="dxa"/>
            <w:vAlign w:val="bottom"/>
          </w:tcPr>
          <w:p>
            <w:pPr>
              <w:spacing w:after="0"/>
              <w:rPr>
                <w:sz w:val="24"/>
                <w:szCs w:val="24"/>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9"/>
                <w:szCs w:val="19"/>
                <w:b w:val="1"/>
                <w:bCs w:val="1"/>
                <w:color w:val="231F20"/>
              </w:rPr>
              <w:t>137.5</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107.8</w:t>
            </w:r>
          </w:p>
        </w:tc>
      </w:tr>
      <w:tr>
        <w:trPr>
          <w:trHeight w:val="291"/>
        </w:trPr>
        <w:tc>
          <w:tcPr>
            <w:tcW w:w="73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Self-insured and related risk reserves-current portion</w:t>
            </w:r>
          </w:p>
        </w:tc>
        <w:tc>
          <w:tcPr>
            <w:tcW w:w="320" w:type="dxa"/>
            <w:vAlign w:val="bottom"/>
          </w:tcPr>
          <w:p>
            <w:pPr>
              <w:spacing w:after="0"/>
              <w:rPr>
                <w:sz w:val="24"/>
                <w:szCs w:val="24"/>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9"/>
                <w:szCs w:val="19"/>
                <w:b w:val="1"/>
                <w:bCs w:val="1"/>
                <w:color w:val="231F20"/>
              </w:rPr>
              <w:t>14.5</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15.1</w:t>
            </w:r>
          </w:p>
        </w:tc>
      </w:tr>
      <w:tr>
        <w:trPr>
          <w:trHeight w:val="295"/>
        </w:trPr>
        <w:tc>
          <w:tcPr>
            <w:tcW w:w="73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Illinois EO litigation settlement</w:t>
            </w:r>
            <w:r>
              <w:rPr>
                <w:rFonts w:ascii="Times New Roman" w:cs="Times New Roman" w:eastAsia="Times New Roman" w:hAnsi="Times New Roman"/>
                <w:sz w:val="25"/>
                <w:szCs w:val="25"/>
                <w:color w:val="231F20"/>
                <w:vertAlign w:val="superscript"/>
              </w:rPr>
              <w:t>(1)</w:t>
            </w:r>
          </w:p>
        </w:tc>
        <w:tc>
          <w:tcPr>
            <w:tcW w:w="320" w:type="dxa"/>
            <w:vAlign w:val="bottom"/>
          </w:tcPr>
          <w:p>
            <w:pPr>
              <w:spacing w:after="0"/>
              <w:rPr>
                <w:sz w:val="24"/>
                <w:szCs w:val="24"/>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9"/>
                <w:szCs w:val="19"/>
                <w:b w:val="1"/>
                <w:bCs w:val="1"/>
                <w:color w:val="231F20"/>
              </w:rPr>
              <w:t>43.2</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48.2</w:t>
            </w:r>
          </w:p>
        </w:tc>
      </w:tr>
      <w:tr>
        <w:trPr>
          <w:trHeight w:val="288"/>
        </w:trPr>
        <w:tc>
          <w:tcPr>
            <w:tcW w:w="73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Accrued dealer commissions</w:t>
            </w:r>
          </w:p>
        </w:tc>
        <w:tc>
          <w:tcPr>
            <w:tcW w:w="320" w:type="dxa"/>
            <w:vAlign w:val="bottom"/>
          </w:tcPr>
          <w:p>
            <w:pPr>
              <w:spacing w:after="0"/>
              <w:rPr>
                <w:sz w:val="24"/>
                <w:szCs w:val="24"/>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9"/>
                <w:szCs w:val="19"/>
                <w:b w:val="1"/>
                <w:bCs w:val="1"/>
                <w:color w:val="231F20"/>
              </w:rPr>
              <w:t>32.5</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32.1</w:t>
            </w:r>
          </w:p>
        </w:tc>
      </w:tr>
      <w:tr>
        <w:trPr>
          <w:trHeight w:val="291"/>
        </w:trPr>
        <w:tc>
          <w:tcPr>
            <w:tcW w:w="73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Accrued warranty</w:t>
            </w:r>
          </w:p>
        </w:tc>
        <w:tc>
          <w:tcPr>
            <w:tcW w:w="320" w:type="dxa"/>
            <w:vAlign w:val="bottom"/>
          </w:tcPr>
          <w:p>
            <w:pPr>
              <w:spacing w:after="0"/>
              <w:rPr>
                <w:sz w:val="24"/>
                <w:szCs w:val="24"/>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9"/>
                <w:szCs w:val="19"/>
                <w:b w:val="1"/>
                <w:bCs w:val="1"/>
                <w:color w:val="231F20"/>
              </w:rPr>
              <w:t>17.5</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16.3</w:t>
            </w:r>
          </w:p>
        </w:tc>
      </w:tr>
      <w:tr>
        <w:trPr>
          <w:trHeight w:val="291"/>
        </w:trPr>
        <w:tc>
          <w:tcPr>
            <w:tcW w:w="73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Asset retirement obligation-current portion</w:t>
            </w:r>
          </w:p>
        </w:tc>
        <w:tc>
          <w:tcPr>
            <w:tcW w:w="320" w:type="dxa"/>
            <w:vAlign w:val="bottom"/>
          </w:tcPr>
          <w:p>
            <w:pPr>
              <w:spacing w:after="0"/>
              <w:rPr>
                <w:sz w:val="24"/>
                <w:szCs w:val="24"/>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9"/>
                <w:szCs w:val="19"/>
                <w:b w:val="1"/>
                <w:bCs w:val="1"/>
                <w:color w:val="231F20"/>
              </w:rPr>
              <w:t>0.5</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0.6</w:t>
            </w:r>
          </w:p>
        </w:tc>
      </w:tr>
      <w:tr>
        <w:trPr>
          <w:trHeight w:val="291"/>
        </w:trPr>
        <w:tc>
          <w:tcPr>
            <w:tcW w:w="73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Accrued interest</w:t>
            </w:r>
          </w:p>
        </w:tc>
        <w:tc>
          <w:tcPr>
            <w:tcW w:w="320" w:type="dxa"/>
            <w:vAlign w:val="bottom"/>
          </w:tcPr>
          <w:p>
            <w:pPr>
              <w:spacing w:after="0"/>
              <w:rPr>
                <w:sz w:val="24"/>
                <w:szCs w:val="24"/>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9"/>
                <w:szCs w:val="19"/>
                <w:b w:val="1"/>
                <w:bCs w:val="1"/>
                <w:color w:val="231F20"/>
              </w:rPr>
              <w:t>6.2</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7.8</w:t>
            </w:r>
          </w:p>
        </w:tc>
      </w:tr>
      <w:tr>
        <w:trPr>
          <w:trHeight w:val="294"/>
        </w:trPr>
        <w:tc>
          <w:tcPr>
            <w:tcW w:w="73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Other</w:t>
            </w:r>
          </w:p>
        </w:tc>
        <w:tc>
          <w:tcPr>
            <w:tcW w:w="32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19"/>
                <w:szCs w:val="19"/>
                <w:b w:val="1"/>
                <w:bCs w:val="1"/>
                <w:color w:val="231F20"/>
              </w:rPr>
              <w:t>90.9</w:t>
            </w:r>
          </w:p>
        </w:tc>
        <w:tc>
          <w:tcPr>
            <w:tcW w:w="36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82.8</w:t>
            </w:r>
          </w:p>
        </w:tc>
      </w:tr>
      <w:tr>
        <w:trPr>
          <w:trHeight w:val="276"/>
        </w:trPr>
        <w:tc>
          <w:tcPr>
            <w:tcW w:w="732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231F20"/>
              </w:rPr>
              <w:t>Total accrued expenses and other</w:t>
            </w:r>
          </w:p>
        </w:tc>
        <w:tc>
          <w:tcPr>
            <w:tcW w:w="320" w:type="dxa"/>
            <w:vAlign w:val="bottom"/>
            <w:tcBorders>
              <w:bottom w:val="single" w:sz="8" w:color="231F20"/>
            </w:tcBorders>
          </w:tcPr>
          <w:p>
            <w:pPr>
              <w:jc w:val="right"/>
              <w:ind w:right="63"/>
              <w:spacing w:after="0"/>
              <w:rPr>
                <w:sz w:val="20"/>
                <w:szCs w:val="20"/>
                <w:color w:val="auto"/>
              </w:rPr>
            </w:pPr>
            <w:r>
              <w:rPr>
                <w:rFonts w:ascii="Times New Roman" w:cs="Times New Roman" w:eastAsia="Times New Roman" w:hAnsi="Times New Roman"/>
                <w:sz w:val="19"/>
                <w:szCs w:val="19"/>
                <w:b w:val="1"/>
                <w:bCs w:val="1"/>
                <w:color w:val="231F20"/>
              </w:rPr>
              <w:t>$</w:t>
            </w:r>
          </w:p>
        </w:tc>
        <w:tc>
          <w:tcPr>
            <w:tcW w:w="98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19"/>
                <w:szCs w:val="19"/>
                <w:b w:val="1"/>
                <w:bCs w:val="1"/>
                <w:color w:val="231F20"/>
              </w:rPr>
              <w:t>401.9</w:t>
            </w:r>
          </w:p>
        </w:tc>
        <w:tc>
          <w:tcPr>
            <w:tcW w:w="360" w:type="dxa"/>
            <w:vAlign w:val="bottom"/>
            <w:tcBorders>
              <w:bottom w:val="single" w:sz="8" w:color="231F20"/>
            </w:tcBorders>
          </w:tcPr>
          <w:p>
            <w:pPr>
              <w:jc w:val="right"/>
              <w:ind w:right="63"/>
              <w:spacing w:after="0"/>
              <w:rPr>
                <w:sz w:val="20"/>
                <w:szCs w:val="20"/>
                <w:color w:val="auto"/>
              </w:rPr>
            </w:pPr>
            <w:r>
              <w:rPr>
                <w:rFonts w:ascii="Times New Roman" w:cs="Times New Roman" w:eastAsia="Times New Roman" w:hAnsi="Times New Roman"/>
                <w:sz w:val="19"/>
                <w:szCs w:val="19"/>
                <w:color w:val="231F20"/>
              </w:rPr>
              <w:t>$</w:t>
            </w: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368.1</w:t>
            </w:r>
          </w:p>
        </w:tc>
      </w:tr>
      <w:tr>
        <w:trPr>
          <w:trHeight w:val="228"/>
        </w:trPr>
        <w:tc>
          <w:tcPr>
            <w:tcW w:w="732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231F20"/>
              </w:rPr>
              <w:t>Other liabilities: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12"/>
        </w:trPr>
        <w:tc>
          <w:tcPr>
            <w:tcW w:w="73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Self-insured risk reserves-long-term portion</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b w:val="1"/>
                <w:bCs w:val="1"/>
                <w:color w:val="231F20"/>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9"/>
                <w:szCs w:val="19"/>
                <w:b w:val="1"/>
                <w:bCs w:val="1"/>
                <w:color w:val="231F20"/>
              </w:rPr>
              <w:t>24.8</w:t>
            </w:r>
          </w:p>
        </w:tc>
        <w:tc>
          <w:tcPr>
            <w:tcW w:w="36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24.0</w:t>
            </w:r>
          </w:p>
        </w:tc>
      </w:tr>
      <w:tr>
        <w:trPr>
          <w:trHeight w:val="291"/>
        </w:trPr>
        <w:tc>
          <w:tcPr>
            <w:tcW w:w="73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Other post-retirement benefits obligations-long-term portion</w:t>
            </w:r>
          </w:p>
        </w:tc>
        <w:tc>
          <w:tcPr>
            <w:tcW w:w="320" w:type="dxa"/>
            <w:vAlign w:val="bottom"/>
          </w:tcPr>
          <w:p>
            <w:pPr>
              <w:spacing w:after="0"/>
              <w:rPr>
                <w:sz w:val="24"/>
                <w:szCs w:val="24"/>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9"/>
                <w:szCs w:val="19"/>
                <w:b w:val="1"/>
                <w:bCs w:val="1"/>
                <w:color w:val="231F20"/>
              </w:rPr>
              <w:t>4.3</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4.8</w:t>
            </w:r>
          </w:p>
        </w:tc>
      </w:tr>
      <w:tr>
        <w:trPr>
          <w:trHeight w:val="291"/>
        </w:trPr>
        <w:tc>
          <w:tcPr>
            <w:tcW w:w="73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Defined benefit pension plans obligations-long-term portion</w:t>
            </w:r>
          </w:p>
        </w:tc>
        <w:tc>
          <w:tcPr>
            <w:tcW w:w="320" w:type="dxa"/>
            <w:vAlign w:val="bottom"/>
          </w:tcPr>
          <w:p>
            <w:pPr>
              <w:spacing w:after="0"/>
              <w:rPr>
                <w:sz w:val="24"/>
                <w:szCs w:val="24"/>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9"/>
                <w:szCs w:val="19"/>
                <w:b w:val="1"/>
                <w:bCs w:val="1"/>
                <w:color w:val="231F20"/>
              </w:rPr>
              <w:t>4.1</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3.3</w:t>
            </w:r>
          </w:p>
        </w:tc>
      </w:tr>
      <w:tr>
        <w:trPr>
          <w:trHeight w:val="291"/>
        </w:trPr>
        <w:tc>
          <w:tcPr>
            <w:tcW w:w="73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Other employee benefit plans obligations-long-term portion</w:t>
            </w:r>
          </w:p>
        </w:tc>
        <w:tc>
          <w:tcPr>
            <w:tcW w:w="320" w:type="dxa"/>
            <w:vAlign w:val="bottom"/>
          </w:tcPr>
          <w:p>
            <w:pPr>
              <w:spacing w:after="0"/>
              <w:rPr>
                <w:sz w:val="24"/>
                <w:szCs w:val="24"/>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9"/>
                <w:szCs w:val="19"/>
                <w:b w:val="1"/>
                <w:bCs w:val="1"/>
                <w:color w:val="231F20"/>
              </w:rPr>
              <w:t>1.6</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1.3</w:t>
            </w:r>
          </w:p>
        </w:tc>
      </w:tr>
      <w:tr>
        <w:trPr>
          <w:trHeight w:val="291"/>
        </w:trPr>
        <w:tc>
          <w:tcPr>
            <w:tcW w:w="73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Accrued long-term income taxes</w:t>
            </w:r>
          </w:p>
        </w:tc>
        <w:tc>
          <w:tcPr>
            <w:tcW w:w="320" w:type="dxa"/>
            <w:vAlign w:val="bottom"/>
          </w:tcPr>
          <w:p>
            <w:pPr>
              <w:spacing w:after="0"/>
              <w:rPr>
                <w:sz w:val="24"/>
                <w:szCs w:val="24"/>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9"/>
                <w:szCs w:val="19"/>
                <w:b w:val="1"/>
                <w:bCs w:val="1"/>
                <w:color w:val="231F20"/>
              </w:rPr>
              <w:t>0.3</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1.9</w:t>
            </w:r>
          </w:p>
        </w:tc>
      </w:tr>
      <w:tr>
        <w:trPr>
          <w:trHeight w:val="291"/>
        </w:trPr>
        <w:tc>
          <w:tcPr>
            <w:tcW w:w="73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Asset retirement obligation-long-term portion</w:t>
            </w:r>
          </w:p>
        </w:tc>
        <w:tc>
          <w:tcPr>
            <w:tcW w:w="320" w:type="dxa"/>
            <w:vAlign w:val="bottom"/>
          </w:tcPr>
          <w:p>
            <w:pPr>
              <w:spacing w:after="0"/>
              <w:rPr>
                <w:sz w:val="24"/>
                <w:szCs w:val="24"/>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9"/>
                <w:szCs w:val="19"/>
                <w:b w:val="1"/>
                <w:bCs w:val="1"/>
                <w:color w:val="231F20"/>
              </w:rPr>
              <w:t>14.7</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13.8</w:t>
            </w:r>
          </w:p>
        </w:tc>
      </w:tr>
      <w:tr>
        <w:trPr>
          <w:trHeight w:val="294"/>
        </w:trPr>
        <w:tc>
          <w:tcPr>
            <w:tcW w:w="73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Other</w:t>
            </w:r>
          </w:p>
        </w:tc>
        <w:tc>
          <w:tcPr>
            <w:tcW w:w="32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19"/>
                <w:szCs w:val="19"/>
                <w:b w:val="1"/>
                <w:bCs w:val="1"/>
                <w:color w:val="231F20"/>
              </w:rPr>
              <w:t>21.9</w:t>
            </w:r>
          </w:p>
        </w:tc>
        <w:tc>
          <w:tcPr>
            <w:tcW w:w="36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12.7</w:t>
            </w:r>
          </w:p>
        </w:tc>
      </w:tr>
      <w:tr>
        <w:trPr>
          <w:trHeight w:val="276"/>
        </w:trPr>
        <w:tc>
          <w:tcPr>
            <w:tcW w:w="732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231F20"/>
              </w:rPr>
              <w:t>Total other liabilities</w:t>
            </w:r>
          </w:p>
        </w:tc>
        <w:tc>
          <w:tcPr>
            <w:tcW w:w="320" w:type="dxa"/>
            <w:vAlign w:val="bottom"/>
            <w:tcBorders>
              <w:bottom w:val="single" w:sz="8" w:color="231F20"/>
            </w:tcBorders>
          </w:tcPr>
          <w:p>
            <w:pPr>
              <w:jc w:val="right"/>
              <w:ind w:right="63"/>
              <w:spacing w:after="0"/>
              <w:rPr>
                <w:sz w:val="20"/>
                <w:szCs w:val="20"/>
                <w:color w:val="auto"/>
              </w:rPr>
            </w:pPr>
            <w:r>
              <w:rPr>
                <w:rFonts w:ascii="Times New Roman" w:cs="Times New Roman" w:eastAsia="Times New Roman" w:hAnsi="Times New Roman"/>
                <w:sz w:val="19"/>
                <w:szCs w:val="19"/>
                <w:b w:val="1"/>
                <w:bCs w:val="1"/>
                <w:color w:val="231F20"/>
              </w:rPr>
              <w:t>$</w:t>
            </w:r>
          </w:p>
        </w:tc>
        <w:tc>
          <w:tcPr>
            <w:tcW w:w="98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19"/>
                <w:szCs w:val="19"/>
                <w:b w:val="1"/>
                <w:bCs w:val="1"/>
                <w:color w:val="231F20"/>
              </w:rPr>
              <w:t>71.7</w:t>
            </w:r>
          </w:p>
        </w:tc>
        <w:tc>
          <w:tcPr>
            <w:tcW w:w="360" w:type="dxa"/>
            <w:vAlign w:val="bottom"/>
            <w:tcBorders>
              <w:bottom w:val="single" w:sz="8" w:color="231F20"/>
            </w:tcBorders>
          </w:tcPr>
          <w:p>
            <w:pPr>
              <w:jc w:val="right"/>
              <w:ind w:right="63"/>
              <w:spacing w:after="0"/>
              <w:rPr>
                <w:sz w:val="20"/>
                <w:szCs w:val="20"/>
                <w:color w:val="auto"/>
              </w:rPr>
            </w:pPr>
            <w:r>
              <w:rPr>
                <w:rFonts w:ascii="Times New Roman" w:cs="Times New Roman" w:eastAsia="Times New Roman" w:hAnsi="Times New Roman"/>
                <w:sz w:val="19"/>
                <w:szCs w:val="19"/>
                <w:color w:val="231F20"/>
              </w:rPr>
              <w:t>$</w:t>
            </w: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61.9</w:t>
            </w:r>
          </w:p>
        </w:tc>
      </w:tr>
    </w:tbl>
    <w:p>
      <w:pPr>
        <w:spacing w:after="0" w:line="86" w:lineRule="exact"/>
        <w:rPr>
          <w:sz w:val="20"/>
          <w:szCs w:val="20"/>
          <w:color w:val="auto"/>
        </w:rPr>
      </w:pPr>
    </w:p>
    <w:p>
      <w:pPr>
        <w:ind w:right="260" w:firstLine="3"/>
        <w:spacing w:after="0" w:line="233" w:lineRule="auto"/>
        <w:tabs>
          <w:tab w:leader="none" w:pos="176" w:val="left"/>
        </w:tabs>
        <w:numPr>
          <w:ilvl w:val="0"/>
          <w:numId w:val="27"/>
        </w:numPr>
        <w:rPr>
          <w:rFonts w:ascii="Times New Roman" w:cs="Times New Roman" w:eastAsia="Times New Roman" w:hAnsi="Times New Roman"/>
          <w:sz w:val="22"/>
          <w:szCs w:val="22"/>
          <w:color w:val="231F20"/>
          <w:vertAlign w:val="superscript"/>
        </w:rPr>
      </w:pPr>
      <w:r>
        <w:rPr>
          <w:rFonts w:ascii="Times New Roman" w:cs="Times New Roman" w:eastAsia="Times New Roman" w:hAnsi="Times New Roman"/>
          <w:sz w:val="17"/>
          <w:szCs w:val="17"/>
          <w:color w:val="231F20"/>
        </w:rPr>
        <w:t>Pursuant to the terms of our settlement agreement, settlement funds have been deposited into escrow. The corresponding escrow asset is included in the Prepaid expenses and other current assets line of our Consolidated Balance Sheets.</w:t>
      </w:r>
    </w:p>
    <w:p>
      <w:pPr>
        <w:sectPr>
          <w:pgSz w:w="11880" w:h="15480" w:orient="portrait"/>
          <w:cols w:equalWidth="0" w:num="1">
            <w:col w:w="9960"/>
          </w:cols>
          <w:pgMar w:left="960" w:top="25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77</w:t>
      </w:r>
    </w:p>
    <w:p>
      <w:pPr>
        <w:sectPr>
          <w:pgSz w:w="11880" w:h="15480" w:orient="portrait"/>
          <w:cols w:equalWidth="0" w:num="1">
            <w:col w:w="9960"/>
          </w:cols>
          <w:pgMar w:left="960" w:top="250" w:right="960" w:bottom="0" w:gutter="0" w:footer="0" w:header="0"/>
          <w:type w:val="continuous"/>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10. INCOME TAXES</w:t>
      </w:r>
    </w:p>
    <w:p>
      <w:pPr>
        <w:spacing w:after="0" w:line="138" w:lineRule="exact"/>
        <w:rPr>
          <w:sz w:val="20"/>
          <w:szCs w:val="20"/>
          <w:color w:val="auto"/>
        </w:rPr>
      </w:pPr>
    </w:p>
    <w:p>
      <w:pPr>
        <w:ind w:right="140" w:firstLine="349"/>
        <w:spacing w:after="0" w:line="268" w:lineRule="auto"/>
        <w:rPr>
          <w:sz w:val="20"/>
          <w:szCs w:val="20"/>
          <w:color w:val="auto"/>
        </w:rPr>
      </w:pPr>
      <w:r>
        <w:rPr>
          <w:rFonts w:ascii="Times New Roman" w:cs="Times New Roman" w:eastAsia="Times New Roman" w:hAnsi="Times New Roman"/>
          <w:sz w:val="19"/>
          <w:szCs w:val="19"/>
          <w:color w:val="231F20"/>
        </w:rPr>
        <w:t>We present a reconciliation of the effective global income tax rate from the Irish national trading rate, our country of domicile. The total provision for income taxes for the year ended March 31, 2026 can be reconciled to the tax computed at the Ireland statutory trading income tax rate, presented in accordance with the requirements of newly adopted ASU 2023-09, as follows:</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259"/>
        </w:trPr>
        <w:tc>
          <w:tcPr>
            <w:tcW w:w="6000" w:type="dxa"/>
            <w:vAlign w:val="bottom"/>
          </w:tcPr>
          <w:p>
            <w:pPr>
              <w:spacing w:after="0"/>
              <w:rPr>
                <w:sz w:val="22"/>
                <w:szCs w:val="22"/>
                <w:color w:val="auto"/>
              </w:rPr>
            </w:pPr>
          </w:p>
        </w:tc>
        <w:tc>
          <w:tcPr>
            <w:tcW w:w="380" w:type="dxa"/>
            <w:vAlign w:val="bottom"/>
            <w:tcBorders>
              <w:bottom w:val="single" w:sz="8" w:color="231F20"/>
            </w:tcBorders>
          </w:tcPr>
          <w:p>
            <w:pPr>
              <w:spacing w:after="0"/>
              <w:rPr>
                <w:sz w:val="22"/>
                <w:szCs w:val="22"/>
                <w:color w:val="auto"/>
              </w:rPr>
            </w:pPr>
          </w:p>
        </w:tc>
        <w:tc>
          <w:tcPr>
            <w:tcW w:w="3540" w:type="dxa"/>
            <w:vAlign w:val="bottom"/>
            <w:tcBorders>
              <w:bottom w:val="single" w:sz="8" w:color="231F20"/>
            </w:tcBorders>
            <w:gridSpan w:val="2"/>
          </w:tcPr>
          <w:p>
            <w:pPr>
              <w:jc w:val="right"/>
              <w:ind w:right="703"/>
              <w:spacing w:after="0"/>
              <w:rPr>
                <w:sz w:val="20"/>
                <w:szCs w:val="20"/>
                <w:color w:val="auto"/>
              </w:rPr>
            </w:pPr>
            <w:r>
              <w:rPr>
                <w:rFonts w:ascii="Times New Roman" w:cs="Times New Roman" w:eastAsia="Times New Roman" w:hAnsi="Times New Roman"/>
                <w:sz w:val="19"/>
                <w:szCs w:val="19"/>
                <w:b w:val="1"/>
                <w:bCs w:val="1"/>
                <w:color w:val="231F20"/>
              </w:rPr>
              <w:t>Year Ended March 31, 2026</w:t>
            </w:r>
          </w:p>
        </w:tc>
      </w:tr>
      <w:tr>
        <w:trPr>
          <w:trHeight w:val="286"/>
        </w:trPr>
        <w:tc>
          <w:tcPr>
            <w:tcW w:w="6000" w:type="dxa"/>
            <w:vAlign w:val="bottom"/>
            <w:tcBorders>
              <w:bottom w:val="single" w:sz="8" w:color="231F20"/>
            </w:tcBorders>
          </w:tcPr>
          <w:p>
            <w:pPr>
              <w:ind w:left="40"/>
              <w:spacing w:after="0"/>
              <w:rPr>
                <w:sz w:val="20"/>
                <w:szCs w:val="20"/>
                <w:color w:val="auto"/>
              </w:rPr>
            </w:pPr>
            <w:r>
              <w:rPr>
                <w:rFonts w:ascii="Times New Roman" w:cs="Times New Roman" w:eastAsia="Times New Roman" w:hAnsi="Times New Roman"/>
                <w:sz w:val="19"/>
                <w:szCs w:val="19"/>
                <w:color w:val="231F20"/>
              </w:rPr>
              <w:t>(dollars in millions)</w:t>
            </w:r>
          </w:p>
        </w:tc>
        <w:tc>
          <w:tcPr>
            <w:tcW w:w="380" w:type="dxa"/>
            <w:vAlign w:val="bottom"/>
            <w:tcBorders>
              <w:bottom w:val="single" w:sz="8" w:color="231F20"/>
            </w:tcBorders>
          </w:tcPr>
          <w:p>
            <w:pPr>
              <w:spacing w:after="0"/>
              <w:rPr>
                <w:sz w:val="24"/>
                <w:szCs w:val="24"/>
                <w:color w:val="auto"/>
              </w:rPr>
            </w:pPr>
          </w:p>
        </w:tc>
        <w:tc>
          <w:tcPr>
            <w:tcW w:w="1820" w:type="dxa"/>
            <w:vAlign w:val="bottom"/>
            <w:tcBorders>
              <w:bottom w:val="single" w:sz="8" w:color="231F20"/>
            </w:tcBorders>
          </w:tcPr>
          <w:p>
            <w:pPr>
              <w:jc w:val="right"/>
              <w:ind w:right="803"/>
              <w:spacing w:after="0"/>
              <w:rPr>
                <w:sz w:val="20"/>
                <w:szCs w:val="20"/>
                <w:color w:val="auto"/>
              </w:rPr>
            </w:pPr>
            <w:r>
              <w:rPr>
                <w:rFonts w:ascii="Times New Roman" w:cs="Times New Roman" w:eastAsia="Times New Roman" w:hAnsi="Times New Roman"/>
                <w:sz w:val="19"/>
                <w:szCs w:val="19"/>
                <w:b w:val="1"/>
                <w:bCs w:val="1"/>
                <w:color w:val="231F20"/>
              </w:rPr>
              <w:t>Amount</w:t>
            </w:r>
          </w:p>
        </w:tc>
        <w:tc>
          <w:tcPr>
            <w:tcW w:w="1720" w:type="dxa"/>
            <w:vAlign w:val="bottom"/>
            <w:tcBorders>
              <w:bottom w:val="single" w:sz="8" w:color="231F20"/>
            </w:tcBorders>
          </w:tcPr>
          <w:p>
            <w:pPr>
              <w:jc w:val="right"/>
              <w:ind w:right="403"/>
              <w:spacing w:after="0"/>
              <w:rPr>
                <w:sz w:val="20"/>
                <w:szCs w:val="20"/>
                <w:color w:val="auto"/>
              </w:rPr>
            </w:pPr>
            <w:r>
              <w:rPr>
                <w:rFonts w:ascii="Times New Roman" w:cs="Times New Roman" w:eastAsia="Times New Roman" w:hAnsi="Times New Roman"/>
                <w:sz w:val="19"/>
                <w:szCs w:val="19"/>
                <w:b w:val="1"/>
                <w:bCs w:val="1"/>
                <w:color w:val="231F20"/>
              </w:rPr>
              <w:t>Percentage</w:t>
            </w:r>
          </w:p>
        </w:tc>
      </w:tr>
      <w:tr>
        <w:trPr>
          <w:trHeight w:val="283"/>
        </w:trPr>
        <w:tc>
          <w:tcPr>
            <w:tcW w:w="6000" w:type="dxa"/>
            <w:vAlign w:val="bottom"/>
          </w:tcPr>
          <w:p>
            <w:pPr>
              <w:ind w:left="280"/>
              <w:spacing w:after="0"/>
              <w:rPr>
                <w:sz w:val="20"/>
                <w:szCs w:val="20"/>
                <w:color w:val="auto"/>
              </w:rPr>
            </w:pPr>
            <w:r>
              <w:rPr>
                <w:rFonts w:ascii="Times New Roman" w:cs="Times New Roman" w:eastAsia="Times New Roman" w:hAnsi="Times New Roman"/>
                <w:sz w:val="19"/>
                <w:szCs w:val="19"/>
                <w:color w:val="231F20"/>
              </w:rPr>
              <w:t>Tax at national statutory rate</w:t>
            </w:r>
          </w:p>
        </w:tc>
        <w:tc>
          <w:tcPr>
            <w:tcW w:w="380" w:type="dxa"/>
            <w:vAlign w:val="bottom"/>
          </w:tcPr>
          <w:p>
            <w:pPr>
              <w:jc w:val="right"/>
              <w:ind w:right="143"/>
              <w:spacing w:after="0"/>
              <w:rPr>
                <w:sz w:val="20"/>
                <w:szCs w:val="20"/>
                <w:color w:val="auto"/>
              </w:rPr>
            </w:pPr>
            <w:r>
              <w:rPr>
                <w:rFonts w:ascii="Times New Roman" w:cs="Times New Roman" w:eastAsia="Times New Roman" w:hAnsi="Times New Roman"/>
                <w:sz w:val="19"/>
                <w:szCs w:val="19"/>
                <w:b w:val="1"/>
                <w:bCs w:val="1"/>
                <w:color w:val="231F20"/>
              </w:rPr>
              <w:t>$</w:t>
            </w:r>
          </w:p>
        </w:tc>
        <w:tc>
          <w:tcPr>
            <w:tcW w:w="1820" w:type="dxa"/>
            <w:vAlign w:val="bottom"/>
          </w:tcPr>
          <w:p>
            <w:pPr>
              <w:jc w:val="right"/>
              <w:ind w:right="263"/>
              <w:spacing w:after="0"/>
              <w:rPr>
                <w:sz w:val="20"/>
                <w:szCs w:val="20"/>
                <w:color w:val="auto"/>
              </w:rPr>
            </w:pPr>
            <w:r>
              <w:rPr>
                <w:rFonts w:ascii="Times New Roman" w:cs="Times New Roman" w:eastAsia="Times New Roman" w:hAnsi="Times New Roman"/>
                <w:sz w:val="19"/>
                <w:szCs w:val="19"/>
                <w:b w:val="1"/>
                <w:bCs w:val="1"/>
                <w:color w:val="231F20"/>
              </w:rPr>
              <w:t>130.9</w:t>
            </w:r>
          </w:p>
        </w:tc>
        <w:tc>
          <w:tcPr>
            <w:tcW w:w="1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12.5 %</w:t>
            </w:r>
          </w:p>
        </w:tc>
      </w:tr>
      <w:tr>
        <w:trPr>
          <w:trHeight w:val="306"/>
        </w:trPr>
        <w:tc>
          <w:tcPr>
            <w:tcW w:w="6000" w:type="dxa"/>
            <w:vAlign w:val="bottom"/>
          </w:tcPr>
          <w:p>
            <w:pPr>
              <w:ind w:left="280"/>
              <w:spacing w:after="0"/>
              <w:rPr>
                <w:sz w:val="20"/>
                <w:szCs w:val="20"/>
                <w:color w:val="auto"/>
              </w:rPr>
            </w:pPr>
            <w:r>
              <w:rPr>
                <w:rFonts w:ascii="Times New Roman" w:cs="Times New Roman" w:eastAsia="Times New Roman" w:hAnsi="Times New Roman"/>
                <w:sz w:val="19"/>
                <w:szCs w:val="19"/>
                <w:color w:val="231F20"/>
              </w:rPr>
              <w:t>National nontaxable, nondeductible items</w:t>
            </w:r>
          </w:p>
        </w:tc>
        <w:tc>
          <w:tcPr>
            <w:tcW w:w="380" w:type="dxa"/>
            <w:vAlign w:val="bottom"/>
          </w:tcPr>
          <w:p>
            <w:pPr>
              <w:spacing w:after="0"/>
              <w:rPr>
                <w:sz w:val="24"/>
                <w:szCs w:val="24"/>
                <w:color w:val="auto"/>
              </w:rPr>
            </w:pPr>
          </w:p>
        </w:tc>
        <w:tc>
          <w:tcPr>
            <w:tcW w:w="1820" w:type="dxa"/>
            <w:vAlign w:val="bottom"/>
          </w:tcPr>
          <w:p>
            <w:pPr>
              <w:jc w:val="right"/>
              <w:ind w:right="183"/>
              <w:spacing w:after="0"/>
              <w:rPr>
                <w:sz w:val="20"/>
                <w:szCs w:val="20"/>
                <w:color w:val="auto"/>
              </w:rPr>
            </w:pPr>
            <w:r>
              <w:rPr>
                <w:rFonts w:ascii="Times New Roman" w:cs="Times New Roman" w:eastAsia="Times New Roman" w:hAnsi="Times New Roman"/>
                <w:sz w:val="19"/>
                <w:szCs w:val="19"/>
                <w:b w:val="1"/>
                <w:bCs w:val="1"/>
                <w:color w:val="231F20"/>
              </w:rPr>
              <w:t>(0.1)</w:t>
            </w:r>
          </w:p>
        </w:tc>
        <w:tc>
          <w:tcPr>
            <w:tcW w:w="1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 %</w:t>
            </w:r>
          </w:p>
        </w:tc>
      </w:tr>
      <w:tr>
        <w:trPr>
          <w:trHeight w:val="306"/>
        </w:trPr>
        <w:tc>
          <w:tcPr>
            <w:tcW w:w="6000" w:type="dxa"/>
            <w:vAlign w:val="bottom"/>
          </w:tcPr>
          <w:p>
            <w:pPr>
              <w:ind w:left="280"/>
              <w:spacing w:after="0"/>
              <w:rPr>
                <w:sz w:val="20"/>
                <w:szCs w:val="20"/>
                <w:color w:val="auto"/>
              </w:rPr>
            </w:pPr>
            <w:r>
              <w:rPr>
                <w:rFonts w:ascii="Times New Roman" w:cs="Times New Roman" w:eastAsia="Times New Roman" w:hAnsi="Times New Roman"/>
                <w:sz w:val="19"/>
                <w:szCs w:val="19"/>
                <w:color w:val="231F20"/>
              </w:rPr>
              <w:t>National cross-border laws</w:t>
            </w:r>
          </w:p>
        </w:tc>
        <w:tc>
          <w:tcPr>
            <w:tcW w:w="380" w:type="dxa"/>
            <w:vAlign w:val="bottom"/>
          </w:tcPr>
          <w:p>
            <w:pPr>
              <w:spacing w:after="0"/>
              <w:rPr>
                <w:sz w:val="24"/>
                <w:szCs w:val="24"/>
                <w:color w:val="auto"/>
              </w:rPr>
            </w:pPr>
          </w:p>
        </w:tc>
        <w:tc>
          <w:tcPr>
            <w:tcW w:w="1820" w:type="dxa"/>
            <w:vAlign w:val="bottom"/>
          </w:tcPr>
          <w:p>
            <w:pPr>
              <w:jc w:val="right"/>
              <w:ind w:right="263"/>
              <w:spacing w:after="0"/>
              <w:rPr>
                <w:sz w:val="20"/>
                <w:szCs w:val="20"/>
                <w:color w:val="auto"/>
              </w:rPr>
            </w:pPr>
            <w:r>
              <w:rPr>
                <w:rFonts w:ascii="Times New Roman" w:cs="Times New Roman" w:eastAsia="Times New Roman" w:hAnsi="Times New Roman"/>
                <w:sz w:val="19"/>
                <w:szCs w:val="19"/>
                <w:b w:val="1"/>
                <w:bCs w:val="1"/>
                <w:color w:val="231F20"/>
              </w:rPr>
              <w:t>7.3</w:t>
            </w:r>
          </w:p>
        </w:tc>
        <w:tc>
          <w:tcPr>
            <w:tcW w:w="1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0.7 %</w:t>
            </w:r>
          </w:p>
        </w:tc>
      </w:tr>
      <w:tr>
        <w:trPr>
          <w:trHeight w:val="306"/>
        </w:trPr>
        <w:tc>
          <w:tcPr>
            <w:tcW w:w="6000" w:type="dxa"/>
            <w:vAlign w:val="bottom"/>
          </w:tcPr>
          <w:p>
            <w:pPr>
              <w:ind w:left="280"/>
              <w:spacing w:after="0"/>
              <w:rPr>
                <w:sz w:val="20"/>
                <w:szCs w:val="20"/>
                <w:color w:val="auto"/>
              </w:rPr>
            </w:pPr>
            <w:r>
              <w:rPr>
                <w:rFonts w:ascii="Times New Roman" w:cs="Times New Roman" w:eastAsia="Times New Roman" w:hAnsi="Times New Roman"/>
                <w:sz w:val="19"/>
                <w:szCs w:val="19"/>
                <w:color w:val="231F20"/>
              </w:rPr>
              <w:t>National other</w:t>
            </w:r>
          </w:p>
        </w:tc>
        <w:tc>
          <w:tcPr>
            <w:tcW w:w="380" w:type="dxa"/>
            <w:vAlign w:val="bottom"/>
          </w:tcPr>
          <w:p>
            <w:pPr>
              <w:spacing w:after="0"/>
              <w:rPr>
                <w:sz w:val="24"/>
                <w:szCs w:val="24"/>
                <w:color w:val="auto"/>
              </w:rPr>
            </w:pPr>
          </w:p>
        </w:tc>
        <w:tc>
          <w:tcPr>
            <w:tcW w:w="1820" w:type="dxa"/>
            <w:vAlign w:val="bottom"/>
          </w:tcPr>
          <w:p>
            <w:pPr>
              <w:jc w:val="right"/>
              <w:ind w:right="263"/>
              <w:spacing w:after="0"/>
              <w:rPr>
                <w:sz w:val="20"/>
                <w:szCs w:val="20"/>
                <w:color w:val="auto"/>
              </w:rPr>
            </w:pPr>
            <w:r>
              <w:rPr>
                <w:rFonts w:ascii="Times New Roman" w:cs="Times New Roman" w:eastAsia="Times New Roman" w:hAnsi="Times New Roman"/>
                <w:sz w:val="19"/>
                <w:szCs w:val="19"/>
                <w:b w:val="1"/>
                <w:bCs w:val="1"/>
                <w:color w:val="231F20"/>
              </w:rPr>
              <w:t>3.1</w:t>
            </w:r>
          </w:p>
        </w:tc>
        <w:tc>
          <w:tcPr>
            <w:tcW w:w="1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0.3 %</w:t>
            </w:r>
          </w:p>
        </w:tc>
      </w:tr>
      <w:tr>
        <w:trPr>
          <w:trHeight w:val="306"/>
        </w:trPr>
        <w:tc>
          <w:tcPr>
            <w:tcW w:w="6000" w:type="dxa"/>
            <w:vAlign w:val="bottom"/>
          </w:tcPr>
          <w:p>
            <w:pPr>
              <w:ind w:left="280"/>
              <w:spacing w:after="0"/>
              <w:rPr>
                <w:sz w:val="20"/>
                <w:szCs w:val="20"/>
                <w:color w:val="auto"/>
              </w:rPr>
            </w:pPr>
            <w:r>
              <w:rPr>
                <w:rFonts w:ascii="Times New Roman" w:cs="Times New Roman" w:eastAsia="Times New Roman" w:hAnsi="Times New Roman"/>
                <w:sz w:val="19"/>
                <w:szCs w:val="19"/>
                <w:color w:val="231F20"/>
              </w:rPr>
              <w:t>Foreign tax effects, U.S.</w:t>
            </w:r>
          </w:p>
        </w:tc>
        <w:tc>
          <w:tcPr>
            <w:tcW w:w="3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06"/>
        </w:trPr>
        <w:tc>
          <w:tcPr>
            <w:tcW w:w="6000" w:type="dxa"/>
            <w:vAlign w:val="bottom"/>
          </w:tcPr>
          <w:p>
            <w:pPr>
              <w:ind w:left="640"/>
              <w:spacing w:after="0"/>
              <w:rPr>
                <w:sz w:val="20"/>
                <w:szCs w:val="20"/>
                <w:color w:val="auto"/>
              </w:rPr>
            </w:pPr>
            <w:r>
              <w:rPr>
                <w:rFonts w:ascii="Times New Roman" w:cs="Times New Roman" w:eastAsia="Times New Roman" w:hAnsi="Times New Roman"/>
                <w:sz w:val="19"/>
                <w:szCs w:val="19"/>
                <w:color w:val="231F20"/>
              </w:rPr>
              <w:t>Statutory rate differential</w:t>
            </w:r>
          </w:p>
        </w:tc>
        <w:tc>
          <w:tcPr>
            <w:tcW w:w="380" w:type="dxa"/>
            <w:vAlign w:val="bottom"/>
          </w:tcPr>
          <w:p>
            <w:pPr>
              <w:spacing w:after="0"/>
              <w:rPr>
                <w:sz w:val="24"/>
                <w:szCs w:val="24"/>
                <w:color w:val="auto"/>
              </w:rPr>
            </w:pPr>
          </w:p>
        </w:tc>
        <w:tc>
          <w:tcPr>
            <w:tcW w:w="1820" w:type="dxa"/>
            <w:vAlign w:val="bottom"/>
          </w:tcPr>
          <w:p>
            <w:pPr>
              <w:jc w:val="right"/>
              <w:ind w:right="263"/>
              <w:spacing w:after="0"/>
              <w:rPr>
                <w:sz w:val="20"/>
                <w:szCs w:val="20"/>
                <w:color w:val="auto"/>
              </w:rPr>
            </w:pPr>
            <w:r>
              <w:rPr>
                <w:rFonts w:ascii="Times New Roman" w:cs="Times New Roman" w:eastAsia="Times New Roman" w:hAnsi="Times New Roman"/>
                <w:sz w:val="19"/>
                <w:szCs w:val="19"/>
                <w:b w:val="1"/>
                <w:bCs w:val="1"/>
                <w:color w:val="231F20"/>
              </w:rPr>
              <w:t>62.9</w:t>
            </w:r>
          </w:p>
        </w:tc>
        <w:tc>
          <w:tcPr>
            <w:tcW w:w="1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6.0 %</w:t>
            </w:r>
          </w:p>
        </w:tc>
      </w:tr>
      <w:tr>
        <w:trPr>
          <w:trHeight w:val="306"/>
        </w:trPr>
        <w:tc>
          <w:tcPr>
            <w:tcW w:w="6000" w:type="dxa"/>
            <w:vAlign w:val="bottom"/>
          </w:tcPr>
          <w:p>
            <w:pPr>
              <w:ind w:left="640"/>
              <w:spacing w:after="0"/>
              <w:rPr>
                <w:sz w:val="20"/>
                <w:szCs w:val="20"/>
                <w:color w:val="auto"/>
              </w:rPr>
            </w:pPr>
            <w:r>
              <w:rPr>
                <w:rFonts w:ascii="Times New Roman" w:cs="Times New Roman" w:eastAsia="Times New Roman" w:hAnsi="Times New Roman"/>
                <w:sz w:val="19"/>
                <w:szCs w:val="19"/>
                <w:color w:val="231F20"/>
              </w:rPr>
              <w:t>Federal credits</w:t>
            </w:r>
          </w:p>
        </w:tc>
        <w:tc>
          <w:tcPr>
            <w:tcW w:w="380" w:type="dxa"/>
            <w:vAlign w:val="bottom"/>
          </w:tcPr>
          <w:p>
            <w:pPr>
              <w:spacing w:after="0"/>
              <w:rPr>
                <w:sz w:val="24"/>
                <w:szCs w:val="24"/>
                <w:color w:val="auto"/>
              </w:rPr>
            </w:pPr>
          </w:p>
        </w:tc>
        <w:tc>
          <w:tcPr>
            <w:tcW w:w="1820" w:type="dxa"/>
            <w:vAlign w:val="bottom"/>
          </w:tcPr>
          <w:p>
            <w:pPr>
              <w:jc w:val="right"/>
              <w:ind w:right="183"/>
              <w:spacing w:after="0"/>
              <w:rPr>
                <w:sz w:val="20"/>
                <w:szCs w:val="20"/>
                <w:color w:val="auto"/>
              </w:rPr>
            </w:pPr>
            <w:r>
              <w:rPr>
                <w:rFonts w:ascii="Times New Roman" w:cs="Times New Roman" w:eastAsia="Times New Roman" w:hAnsi="Times New Roman"/>
                <w:sz w:val="19"/>
                <w:szCs w:val="19"/>
                <w:b w:val="1"/>
                <w:bCs w:val="1"/>
                <w:color w:val="231F20"/>
              </w:rPr>
              <w:t>(6.1)</w:t>
            </w:r>
          </w:p>
        </w:tc>
        <w:tc>
          <w:tcPr>
            <w:tcW w:w="1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(0.6)%</w:t>
            </w:r>
          </w:p>
        </w:tc>
      </w:tr>
      <w:tr>
        <w:trPr>
          <w:trHeight w:val="306"/>
        </w:trPr>
        <w:tc>
          <w:tcPr>
            <w:tcW w:w="6000" w:type="dxa"/>
            <w:vAlign w:val="bottom"/>
          </w:tcPr>
          <w:p>
            <w:pPr>
              <w:ind w:left="640"/>
              <w:spacing w:after="0"/>
              <w:rPr>
                <w:sz w:val="20"/>
                <w:szCs w:val="20"/>
                <w:color w:val="auto"/>
              </w:rPr>
            </w:pPr>
            <w:r>
              <w:rPr>
                <w:rFonts w:ascii="Times New Roman" w:cs="Times New Roman" w:eastAsia="Times New Roman" w:hAnsi="Times New Roman"/>
                <w:sz w:val="19"/>
                <w:szCs w:val="19"/>
                <w:color w:val="231F20"/>
              </w:rPr>
              <w:t>State and local taxes, net</w:t>
            </w:r>
          </w:p>
        </w:tc>
        <w:tc>
          <w:tcPr>
            <w:tcW w:w="380" w:type="dxa"/>
            <w:vAlign w:val="bottom"/>
          </w:tcPr>
          <w:p>
            <w:pPr>
              <w:spacing w:after="0"/>
              <w:rPr>
                <w:sz w:val="24"/>
                <w:szCs w:val="24"/>
                <w:color w:val="auto"/>
              </w:rPr>
            </w:pPr>
          </w:p>
        </w:tc>
        <w:tc>
          <w:tcPr>
            <w:tcW w:w="1820" w:type="dxa"/>
            <w:vAlign w:val="bottom"/>
          </w:tcPr>
          <w:p>
            <w:pPr>
              <w:jc w:val="right"/>
              <w:ind w:right="263"/>
              <w:spacing w:after="0"/>
              <w:rPr>
                <w:sz w:val="20"/>
                <w:szCs w:val="20"/>
                <w:color w:val="auto"/>
              </w:rPr>
            </w:pPr>
            <w:r>
              <w:rPr>
                <w:rFonts w:ascii="Times New Roman" w:cs="Times New Roman" w:eastAsia="Times New Roman" w:hAnsi="Times New Roman"/>
                <w:sz w:val="19"/>
                <w:szCs w:val="19"/>
                <w:b w:val="1"/>
                <w:bCs w:val="1"/>
                <w:color w:val="231F20"/>
              </w:rPr>
              <w:t>30.8</w:t>
            </w:r>
          </w:p>
        </w:tc>
        <w:tc>
          <w:tcPr>
            <w:tcW w:w="1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2.9 %</w:t>
            </w:r>
          </w:p>
        </w:tc>
      </w:tr>
      <w:tr>
        <w:trPr>
          <w:trHeight w:val="306"/>
        </w:trPr>
        <w:tc>
          <w:tcPr>
            <w:tcW w:w="6000" w:type="dxa"/>
            <w:vAlign w:val="bottom"/>
          </w:tcPr>
          <w:p>
            <w:pPr>
              <w:ind w:left="640"/>
              <w:spacing w:after="0"/>
              <w:rPr>
                <w:sz w:val="20"/>
                <w:szCs w:val="20"/>
                <w:color w:val="auto"/>
              </w:rPr>
            </w:pPr>
            <w:r>
              <w:rPr>
                <w:rFonts w:ascii="Times New Roman" w:cs="Times New Roman" w:eastAsia="Times New Roman" w:hAnsi="Times New Roman"/>
                <w:sz w:val="19"/>
                <w:szCs w:val="19"/>
                <w:color w:val="231F20"/>
              </w:rPr>
              <w:t>Equity based compensation</w:t>
            </w:r>
          </w:p>
        </w:tc>
        <w:tc>
          <w:tcPr>
            <w:tcW w:w="380" w:type="dxa"/>
            <w:vAlign w:val="bottom"/>
          </w:tcPr>
          <w:p>
            <w:pPr>
              <w:spacing w:after="0"/>
              <w:rPr>
                <w:sz w:val="24"/>
                <w:szCs w:val="24"/>
                <w:color w:val="auto"/>
              </w:rPr>
            </w:pPr>
          </w:p>
        </w:tc>
        <w:tc>
          <w:tcPr>
            <w:tcW w:w="1820" w:type="dxa"/>
            <w:vAlign w:val="bottom"/>
          </w:tcPr>
          <w:p>
            <w:pPr>
              <w:jc w:val="right"/>
              <w:ind w:right="183"/>
              <w:spacing w:after="0"/>
              <w:rPr>
                <w:sz w:val="20"/>
                <w:szCs w:val="20"/>
                <w:color w:val="auto"/>
              </w:rPr>
            </w:pPr>
            <w:r>
              <w:rPr>
                <w:rFonts w:ascii="Times New Roman" w:cs="Times New Roman" w:eastAsia="Times New Roman" w:hAnsi="Times New Roman"/>
                <w:sz w:val="19"/>
                <w:szCs w:val="19"/>
                <w:b w:val="1"/>
                <w:bCs w:val="1"/>
                <w:color w:val="231F20"/>
              </w:rPr>
              <w:t>(7.0)</w:t>
            </w:r>
          </w:p>
        </w:tc>
        <w:tc>
          <w:tcPr>
            <w:tcW w:w="1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(0.7)%</w:t>
            </w:r>
          </w:p>
        </w:tc>
      </w:tr>
      <w:tr>
        <w:trPr>
          <w:trHeight w:val="306"/>
        </w:trPr>
        <w:tc>
          <w:tcPr>
            <w:tcW w:w="6000" w:type="dxa"/>
            <w:vAlign w:val="bottom"/>
          </w:tcPr>
          <w:p>
            <w:pPr>
              <w:ind w:left="640"/>
              <w:spacing w:after="0"/>
              <w:rPr>
                <w:sz w:val="20"/>
                <w:szCs w:val="20"/>
                <w:color w:val="auto"/>
              </w:rPr>
            </w:pPr>
            <w:r>
              <w:rPr>
                <w:rFonts w:ascii="Times New Roman" w:cs="Times New Roman" w:eastAsia="Times New Roman" w:hAnsi="Times New Roman"/>
                <w:sz w:val="19"/>
                <w:szCs w:val="19"/>
                <w:color w:val="231F20"/>
              </w:rPr>
              <w:t>Withholding taxes</w:t>
            </w:r>
          </w:p>
        </w:tc>
        <w:tc>
          <w:tcPr>
            <w:tcW w:w="380" w:type="dxa"/>
            <w:vAlign w:val="bottom"/>
          </w:tcPr>
          <w:p>
            <w:pPr>
              <w:spacing w:after="0"/>
              <w:rPr>
                <w:sz w:val="24"/>
                <w:szCs w:val="24"/>
                <w:color w:val="auto"/>
              </w:rPr>
            </w:pPr>
          </w:p>
        </w:tc>
        <w:tc>
          <w:tcPr>
            <w:tcW w:w="1820" w:type="dxa"/>
            <w:vAlign w:val="bottom"/>
          </w:tcPr>
          <w:p>
            <w:pPr>
              <w:jc w:val="right"/>
              <w:ind w:right="263"/>
              <w:spacing w:after="0"/>
              <w:rPr>
                <w:sz w:val="20"/>
                <w:szCs w:val="20"/>
                <w:color w:val="auto"/>
              </w:rPr>
            </w:pPr>
            <w:r>
              <w:rPr>
                <w:rFonts w:ascii="Times New Roman" w:cs="Times New Roman" w:eastAsia="Times New Roman" w:hAnsi="Times New Roman"/>
                <w:sz w:val="19"/>
                <w:szCs w:val="19"/>
                <w:b w:val="1"/>
                <w:bCs w:val="1"/>
                <w:color w:val="231F20"/>
              </w:rPr>
              <w:t>19.8</w:t>
            </w:r>
          </w:p>
        </w:tc>
        <w:tc>
          <w:tcPr>
            <w:tcW w:w="1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1.9 %</w:t>
            </w:r>
          </w:p>
        </w:tc>
      </w:tr>
      <w:tr>
        <w:trPr>
          <w:trHeight w:val="306"/>
        </w:trPr>
        <w:tc>
          <w:tcPr>
            <w:tcW w:w="6000" w:type="dxa"/>
            <w:vAlign w:val="bottom"/>
          </w:tcPr>
          <w:p>
            <w:pPr>
              <w:ind w:left="640"/>
              <w:spacing w:after="0"/>
              <w:rPr>
                <w:sz w:val="20"/>
                <w:szCs w:val="20"/>
                <w:color w:val="auto"/>
              </w:rPr>
            </w:pPr>
            <w:r>
              <w:rPr>
                <w:rFonts w:ascii="Times New Roman" w:cs="Times New Roman" w:eastAsia="Times New Roman" w:hAnsi="Times New Roman"/>
                <w:sz w:val="19"/>
                <w:szCs w:val="19"/>
                <w:color w:val="231F20"/>
              </w:rPr>
              <w:t>Foreign-derived deduction eligible income</w:t>
            </w:r>
          </w:p>
        </w:tc>
        <w:tc>
          <w:tcPr>
            <w:tcW w:w="380" w:type="dxa"/>
            <w:vAlign w:val="bottom"/>
          </w:tcPr>
          <w:p>
            <w:pPr>
              <w:spacing w:after="0"/>
              <w:rPr>
                <w:sz w:val="24"/>
                <w:szCs w:val="24"/>
                <w:color w:val="auto"/>
              </w:rPr>
            </w:pPr>
          </w:p>
        </w:tc>
        <w:tc>
          <w:tcPr>
            <w:tcW w:w="1820" w:type="dxa"/>
            <w:vAlign w:val="bottom"/>
          </w:tcPr>
          <w:p>
            <w:pPr>
              <w:jc w:val="right"/>
              <w:ind w:right="183"/>
              <w:spacing w:after="0"/>
              <w:rPr>
                <w:sz w:val="20"/>
                <w:szCs w:val="20"/>
                <w:color w:val="auto"/>
              </w:rPr>
            </w:pPr>
            <w:r>
              <w:rPr>
                <w:rFonts w:ascii="Times New Roman" w:cs="Times New Roman" w:eastAsia="Times New Roman" w:hAnsi="Times New Roman"/>
                <w:sz w:val="19"/>
                <w:szCs w:val="19"/>
                <w:b w:val="1"/>
                <w:bCs w:val="1"/>
                <w:color w:val="231F20"/>
              </w:rPr>
              <w:t>(8.5)</w:t>
            </w:r>
          </w:p>
        </w:tc>
        <w:tc>
          <w:tcPr>
            <w:tcW w:w="1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(0.8)%</w:t>
            </w:r>
          </w:p>
        </w:tc>
      </w:tr>
      <w:tr>
        <w:trPr>
          <w:trHeight w:val="306"/>
        </w:trPr>
        <w:tc>
          <w:tcPr>
            <w:tcW w:w="6000" w:type="dxa"/>
            <w:vAlign w:val="bottom"/>
          </w:tcPr>
          <w:p>
            <w:pPr>
              <w:ind w:left="640"/>
              <w:spacing w:after="0"/>
              <w:rPr>
                <w:sz w:val="20"/>
                <w:szCs w:val="20"/>
                <w:color w:val="auto"/>
              </w:rPr>
            </w:pPr>
            <w:r>
              <w:rPr>
                <w:rFonts w:ascii="Times New Roman" w:cs="Times New Roman" w:eastAsia="Times New Roman" w:hAnsi="Times New Roman"/>
                <w:sz w:val="19"/>
                <w:szCs w:val="19"/>
                <w:color w:val="231F20"/>
              </w:rPr>
              <w:t>Other</w:t>
            </w:r>
          </w:p>
        </w:tc>
        <w:tc>
          <w:tcPr>
            <w:tcW w:w="380" w:type="dxa"/>
            <w:vAlign w:val="bottom"/>
          </w:tcPr>
          <w:p>
            <w:pPr>
              <w:spacing w:after="0"/>
              <w:rPr>
                <w:sz w:val="24"/>
                <w:szCs w:val="24"/>
                <w:color w:val="auto"/>
              </w:rPr>
            </w:pPr>
          </w:p>
        </w:tc>
        <w:tc>
          <w:tcPr>
            <w:tcW w:w="1820" w:type="dxa"/>
            <w:vAlign w:val="bottom"/>
          </w:tcPr>
          <w:p>
            <w:pPr>
              <w:jc w:val="right"/>
              <w:ind w:right="263"/>
              <w:spacing w:after="0"/>
              <w:rPr>
                <w:sz w:val="20"/>
                <w:szCs w:val="20"/>
                <w:color w:val="auto"/>
              </w:rPr>
            </w:pPr>
            <w:r>
              <w:rPr>
                <w:rFonts w:ascii="Times New Roman" w:cs="Times New Roman" w:eastAsia="Times New Roman" w:hAnsi="Times New Roman"/>
                <w:sz w:val="19"/>
                <w:szCs w:val="19"/>
                <w:b w:val="1"/>
                <w:bCs w:val="1"/>
                <w:color w:val="231F20"/>
              </w:rPr>
              <w:t>10.9</w:t>
            </w:r>
          </w:p>
        </w:tc>
        <w:tc>
          <w:tcPr>
            <w:tcW w:w="1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1.0 %</w:t>
            </w:r>
          </w:p>
        </w:tc>
      </w:tr>
      <w:tr>
        <w:trPr>
          <w:trHeight w:val="306"/>
        </w:trPr>
        <w:tc>
          <w:tcPr>
            <w:tcW w:w="6000" w:type="dxa"/>
            <w:vAlign w:val="bottom"/>
          </w:tcPr>
          <w:p>
            <w:pPr>
              <w:ind w:left="280"/>
              <w:spacing w:after="0"/>
              <w:rPr>
                <w:sz w:val="20"/>
                <w:szCs w:val="20"/>
                <w:color w:val="auto"/>
              </w:rPr>
            </w:pPr>
            <w:r>
              <w:rPr>
                <w:rFonts w:ascii="Times New Roman" w:cs="Times New Roman" w:eastAsia="Times New Roman" w:hAnsi="Times New Roman"/>
                <w:sz w:val="19"/>
                <w:szCs w:val="19"/>
                <w:color w:val="231F20"/>
              </w:rPr>
              <w:t>Foreign tax effects, U.K.</w:t>
            </w:r>
          </w:p>
        </w:tc>
        <w:tc>
          <w:tcPr>
            <w:tcW w:w="3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06"/>
        </w:trPr>
        <w:tc>
          <w:tcPr>
            <w:tcW w:w="6000" w:type="dxa"/>
            <w:vAlign w:val="bottom"/>
          </w:tcPr>
          <w:p>
            <w:pPr>
              <w:ind w:left="640"/>
              <w:spacing w:after="0"/>
              <w:rPr>
                <w:sz w:val="20"/>
                <w:szCs w:val="20"/>
                <w:color w:val="auto"/>
              </w:rPr>
            </w:pPr>
            <w:r>
              <w:rPr>
                <w:rFonts w:ascii="Times New Roman" w:cs="Times New Roman" w:eastAsia="Times New Roman" w:hAnsi="Times New Roman"/>
                <w:sz w:val="19"/>
                <w:szCs w:val="19"/>
                <w:color w:val="231F20"/>
              </w:rPr>
              <w:t>Statutory rate differential</w:t>
            </w:r>
          </w:p>
        </w:tc>
        <w:tc>
          <w:tcPr>
            <w:tcW w:w="380" w:type="dxa"/>
            <w:vAlign w:val="bottom"/>
          </w:tcPr>
          <w:p>
            <w:pPr>
              <w:spacing w:after="0"/>
              <w:rPr>
                <w:sz w:val="24"/>
                <w:szCs w:val="24"/>
                <w:color w:val="auto"/>
              </w:rPr>
            </w:pPr>
          </w:p>
        </w:tc>
        <w:tc>
          <w:tcPr>
            <w:tcW w:w="1820" w:type="dxa"/>
            <w:vAlign w:val="bottom"/>
          </w:tcPr>
          <w:p>
            <w:pPr>
              <w:jc w:val="right"/>
              <w:ind w:right="263"/>
              <w:spacing w:after="0"/>
              <w:rPr>
                <w:sz w:val="20"/>
                <w:szCs w:val="20"/>
                <w:color w:val="auto"/>
              </w:rPr>
            </w:pPr>
            <w:r>
              <w:rPr>
                <w:rFonts w:ascii="Times New Roman" w:cs="Times New Roman" w:eastAsia="Times New Roman" w:hAnsi="Times New Roman"/>
                <w:sz w:val="19"/>
                <w:szCs w:val="19"/>
                <w:b w:val="1"/>
                <w:bCs w:val="1"/>
                <w:color w:val="231F20"/>
              </w:rPr>
              <w:t>6.8</w:t>
            </w:r>
          </w:p>
        </w:tc>
        <w:tc>
          <w:tcPr>
            <w:tcW w:w="1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0.6 %</w:t>
            </w:r>
          </w:p>
        </w:tc>
      </w:tr>
      <w:tr>
        <w:trPr>
          <w:trHeight w:val="306"/>
        </w:trPr>
        <w:tc>
          <w:tcPr>
            <w:tcW w:w="6000" w:type="dxa"/>
            <w:vAlign w:val="bottom"/>
          </w:tcPr>
          <w:p>
            <w:pPr>
              <w:ind w:left="640"/>
              <w:spacing w:after="0"/>
              <w:rPr>
                <w:sz w:val="20"/>
                <w:szCs w:val="20"/>
                <w:color w:val="auto"/>
              </w:rPr>
            </w:pPr>
            <w:r>
              <w:rPr>
                <w:rFonts w:ascii="Times New Roman" w:cs="Times New Roman" w:eastAsia="Times New Roman" w:hAnsi="Times New Roman"/>
                <w:sz w:val="19"/>
                <w:szCs w:val="19"/>
                <w:color w:val="231F20"/>
              </w:rPr>
              <w:t>Other</w:t>
            </w:r>
          </w:p>
        </w:tc>
        <w:tc>
          <w:tcPr>
            <w:tcW w:w="380" w:type="dxa"/>
            <w:vAlign w:val="bottom"/>
          </w:tcPr>
          <w:p>
            <w:pPr>
              <w:spacing w:after="0"/>
              <w:rPr>
                <w:sz w:val="24"/>
                <w:szCs w:val="24"/>
                <w:color w:val="auto"/>
              </w:rPr>
            </w:pPr>
          </w:p>
        </w:tc>
        <w:tc>
          <w:tcPr>
            <w:tcW w:w="1820" w:type="dxa"/>
            <w:vAlign w:val="bottom"/>
          </w:tcPr>
          <w:p>
            <w:pPr>
              <w:jc w:val="right"/>
              <w:ind w:right="263"/>
              <w:spacing w:after="0"/>
              <w:rPr>
                <w:sz w:val="20"/>
                <w:szCs w:val="20"/>
                <w:color w:val="auto"/>
              </w:rPr>
            </w:pPr>
            <w:r>
              <w:rPr>
                <w:rFonts w:ascii="Times New Roman" w:cs="Times New Roman" w:eastAsia="Times New Roman" w:hAnsi="Times New Roman"/>
                <w:sz w:val="19"/>
                <w:szCs w:val="19"/>
                <w:b w:val="1"/>
                <w:bCs w:val="1"/>
                <w:color w:val="231F20"/>
              </w:rPr>
              <w:t>0.3</w:t>
            </w:r>
          </w:p>
        </w:tc>
        <w:tc>
          <w:tcPr>
            <w:tcW w:w="1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 %</w:t>
            </w:r>
          </w:p>
        </w:tc>
      </w:tr>
      <w:tr>
        <w:trPr>
          <w:trHeight w:val="306"/>
        </w:trPr>
        <w:tc>
          <w:tcPr>
            <w:tcW w:w="6000" w:type="dxa"/>
            <w:vAlign w:val="bottom"/>
          </w:tcPr>
          <w:p>
            <w:pPr>
              <w:ind w:left="280"/>
              <w:spacing w:after="0"/>
              <w:rPr>
                <w:sz w:val="20"/>
                <w:szCs w:val="20"/>
                <w:color w:val="auto"/>
              </w:rPr>
            </w:pPr>
            <w:r>
              <w:rPr>
                <w:rFonts w:ascii="Times New Roman" w:cs="Times New Roman" w:eastAsia="Times New Roman" w:hAnsi="Times New Roman"/>
                <w:sz w:val="19"/>
                <w:szCs w:val="19"/>
                <w:color w:val="231F20"/>
              </w:rPr>
              <w:t>Foreign tax effects, other jurisdictions</w:t>
            </w:r>
          </w:p>
        </w:tc>
        <w:tc>
          <w:tcPr>
            <w:tcW w:w="380" w:type="dxa"/>
            <w:vAlign w:val="bottom"/>
          </w:tcPr>
          <w:p>
            <w:pPr>
              <w:spacing w:after="0"/>
              <w:rPr>
                <w:sz w:val="24"/>
                <w:szCs w:val="24"/>
                <w:color w:val="auto"/>
              </w:rPr>
            </w:pPr>
          </w:p>
        </w:tc>
        <w:tc>
          <w:tcPr>
            <w:tcW w:w="1820" w:type="dxa"/>
            <w:vAlign w:val="bottom"/>
          </w:tcPr>
          <w:p>
            <w:pPr>
              <w:jc w:val="right"/>
              <w:ind w:right="263"/>
              <w:spacing w:after="0"/>
              <w:rPr>
                <w:sz w:val="20"/>
                <w:szCs w:val="20"/>
                <w:color w:val="auto"/>
              </w:rPr>
            </w:pPr>
            <w:r>
              <w:rPr>
                <w:rFonts w:ascii="Times New Roman" w:cs="Times New Roman" w:eastAsia="Times New Roman" w:hAnsi="Times New Roman"/>
                <w:sz w:val="19"/>
                <w:szCs w:val="19"/>
                <w:b w:val="1"/>
                <w:bCs w:val="1"/>
                <w:color w:val="231F20"/>
              </w:rPr>
              <w:t>12.2</w:t>
            </w:r>
          </w:p>
        </w:tc>
        <w:tc>
          <w:tcPr>
            <w:tcW w:w="1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1.2 %</w:t>
            </w:r>
          </w:p>
        </w:tc>
      </w:tr>
      <w:tr>
        <w:trPr>
          <w:trHeight w:val="306"/>
        </w:trPr>
        <w:tc>
          <w:tcPr>
            <w:tcW w:w="6000" w:type="dxa"/>
            <w:vAlign w:val="bottom"/>
          </w:tcPr>
          <w:p>
            <w:pPr>
              <w:ind w:left="280"/>
              <w:spacing w:after="0"/>
              <w:rPr>
                <w:sz w:val="20"/>
                <w:szCs w:val="20"/>
                <w:color w:val="auto"/>
              </w:rPr>
            </w:pPr>
            <w:r>
              <w:rPr>
                <w:rFonts w:ascii="Times New Roman" w:cs="Times New Roman" w:eastAsia="Times New Roman" w:hAnsi="Times New Roman"/>
                <w:sz w:val="19"/>
                <w:szCs w:val="19"/>
                <w:color w:val="231F20"/>
              </w:rPr>
              <w:t>Global changes in uncertain tax positions</w:t>
            </w:r>
          </w:p>
        </w:tc>
        <w:tc>
          <w:tcPr>
            <w:tcW w:w="380" w:type="dxa"/>
            <w:vAlign w:val="bottom"/>
          </w:tcPr>
          <w:p>
            <w:pPr>
              <w:spacing w:after="0"/>
              <w:rPr>
                <w:sz w:val="24"/>
                <w:szCs w:val="24"/>
                <w:color w:val="auto"/>
              </w:rPr>
            </w:pPr>
          </w:p>
        </w:tc>
        <w:tc>
          <w:tcPr>
            <w:tcW w:w="1820" w:type="dxa"/>
            <w:vAlign w:val="bottom"/>
          </w:tcPr>
          <w:p>
            <w:pPr>
              <w:jc w:val="right"/>
              <w:ind w:right="183"/>
              <w:spacing w:after="0"/>
              <w:rPr>
                <w:sz w:val="20"/>
                <w:szCs w:val="20"/>
                <w:color w:val="auto"/>
              </w:rPr>
            </w:pPr>
            <w:r>
              <w:rPr>
                <w:rFonts w:ascii="Times New Roman" w:cs="Times New Roman" w:eastAsia="Times New Roman" w:hAnsi="Times New Roman"/>
                <w:sz w:val="19"/>
                <w:szCs w:val="19"/>
                <w:b w:val="1"/>
                <w:bCs w:val="1"/>
                <w:color w:val="231F20"/>
              </w:rPr>
              <w:t>(1.6)</w:t>
            </w:r>
          </w:p>
        </w:tc>
        <w:tc>
          <w:tcPr>
            <w:tcW w:w="1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(0.2)%</w:t>
            </w:r>
          </w:p>
        </w:tc>
      </w:tr>
      <w:tr>
        <w:trPr>
          <w:trHeight w:val="308"/>
        </w:trPr>
        <w:tc>
          <w:tcPr>
            <w:tcW w:w="6000" w:type="dxa"/>
            <w:vAlign w:val="bottom"/>
          </w:tcPr>
          <w:p>
            <w:pPr>
              <w:ind w:left="280"/>
              <w:spacing w:after="0"/>
              <w:rPr>
                <w:sz w:val="20"/>
                <w:szCs w:val="20"/>
                <w:color w:val="auto"/>
              </w:rPr>
            </w:pPr>
            <w:r>
              <w:rPr>
                <w:rFonts w:ascii="Times New Roman" w:cs="Times New Roman" w:eastAsia="Times New Roman" w:hAnsi="Times New Roman"/>
                <w:sz w:val="19"/>
                <w:szCs w:val="19"/>
                <w:color w:val="231F20"/>
              </w:rPr>
              <w:t>All other, net</w:t>
            </w:r>
          </w:p>
        </w:tc>
        <w:tc>
          <w:tcPr>
            <w:tcW w:w="380" w:type="dxa"/>
            <w:vAlign w:val="bottom"/>
            <w:tcBorders>
              <w:bottom w:val="single" w:sz="8" w:color="231F20"/>
            </w:tcBorders>
          </w:tcPr>
          <w:p>
            <w:pPr>
              <w:spacing w:after="0"/>
              <w:rPr>
                <w:sz w:val="24"/>
                <w:szCs w:val="24"/>
                <w:color w:val="auto"/>
              </w:rPr>
            </w:pPr>
          </w:p>
        </w:tc>
        <w:tc>
          <w:tcPr>
            <w:tcW w:w="1820" w:type="dxa"/>
            <w:vAlign w:val="bottom"/>
            <w:tcBorders>
              <w:bottom w:val="single" w:sz="8" w:color="231F20"/>
            </w:tcBorders>
          </w:tcPr>
          <w:p>
            <w:pPr>
              <w:jc w:val="right"/>
              <w:ind w:right="263"/>
              <w:spacing w:after="0"/>
              <w:rPr>
                <w:sz w:val="20"/>
                <w:szCs w:val="20"/>
                <w:color w:val="auto"/>
              </w:rPr>
            </w:pPr>
            <w:r>
              <w:rPr>
                <w:rFonts w:ascii="Times New Roman" w:cs="Times New Roman" w:eastAsia="Times New Roman" w:hAnsi="Times New Roman"/>
                <w:sz w:val="19"/>
                <w:szCs w:val="19"/>
                <w:b w:val="1"/>
                <w:bCs w:val="1"/>
                <w:color w:val="231F20"/>
              </w:rPr>
              <w:t>0.6</w:t>
            </w:r>
          </w:p>
        </w:tc>
        <w:tc>
          <w:tcPr>
            <w:tcW w:w="1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0.2 %</w:t>
            </w:r>
          </w:p>
        </w:tc>
      </w:tr>
      <w:tr>
        <w:trPr>
          <w:trHeight w:val="290"/>
        </w:trPr>
        <w:tc>
          <w:tcPr>
            <w:tcW w:w="6000" w:type="dxa"/>
            <w:vAlign w:val="bottom"/>
          </w:tcPr>
          <w:p>
            <w:pPr>
              <w:ind w:left="280"/>
              <w:spacing w:after="0"/>
              <w:rPr>
                <w:sz w:val="20"/>
                <w:szCs w:val="20"/>
                <w:color w:val="auto"/>
              </w:rPr>
            </w:pPr>
            <w:r>
              <w:rPr>
                <w:rFonts w:ascii="Times New Roman" w:cs="Times New Roman" w:eastAsia="Times New Roman" w:hAnsi="Times New Roman"/>
                <w:sz w:val="19"/>
                <w:szCs w:val="19"/>
                <w:color w:val="231F20"/>
              </w:rPr>
              <w:t>Total Provision for Income Taxes</w:t>
            </w:r>
          </w:p>
        </w:tc>
        <w:tc>
          <w:tcPr>
            <w:tcW w:w="380" w:type="dxa"/>
            <w:vAlign w:val="bottom"/>
            <w:tcBorders>
              <w:bottom w:val="single" w:sz="8" w:color="231F20"/>
            </w:tcBorders>
          </w:tcPr>
          <w:p>
            <w:pPr>
              <w:jc w:val="right"/>
              <w:ind w:right="143"/>
              <w:spacing w:after="0"/>
              <w:rPr>
                <w:sz w:val="20"/>
                <w:szCs w:val="20"/>
                <w:color w:val="auto"/>
              </w:rPr>
            </w:pPr>
            <w:r>
              <w:rPr>
                <w:rFonts w:ascii="Times New Roman" w:cs="Times New Roman" w:eastAsia="Times New Roman" w:hAnsi="Times New Roman"/>
                <w:sz w:val="19"/>
                <w:szCs w:val="19"/>
                <w:b w:val="1"/>
                <w:bCs w:val="1"/>
                <w:color w:val="231F20"/>
              </w:rPr>
              <w:t>$</w:t>
            </w:r>
          </w:p>
        </w:tc>
        <w:tc>
          <w:tcPr>
            <w:tcW w:w="1820" w:type="dxa"/>
            <w:vAlign w:val="bottom"/>
            <w:tcBorders>
              <w:bottom w:val="single" w:sz="8" w:color="231F20"/>
            </w:tcBorders>
          </w:tcPr>
          <w:p>
            <w:pPr>
              <w:jc w:val="right"/>
              <w:ind w:right="263"/>
              <w:spacing w:after="0"/>
              <w:rPr>
                <w:sz w:val="20"/>
                <w:szCs w:val="20"/>
                <w:color w:val="auto"/>
              </w:rPr>
            </w:pPr>
            <w:r>
              <w:rPr>
                <w:rFonts w:ascii="Times New Roman" w:cs="Times New Roman" w:eastAsia="Times New Roman" w:hAnsi="Times New Roman"/>
                <w:sz w:val="19"/>
                <w:szCs w:val="19"/>
                <w:b w:val="1"/>
                <w:bCs w:val="1"/>
                <w:color w:val="231F20"/>
              </w:rPr>
              <w:t>262.2</w:t>
            </w:r>
          </w:p>
        </w:tc>
        <w:tc>
          <w:tcPr>
            <w:tcW w:w="1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25.0 %</w:t>
            </w:r>
          </w:p>
        </w:tc>
      </w:tr>
    </w:tbl>
    <w:p>
      <w:pPr>
        <w:spacing w:after="0" w:line="200" w:lineRule="exact"/>
        <w:rPr>
          <w:sz w:val="20"/>
          <w:szCs w:val="20"/>
          <w:color w:val="auto"/>
        </w:rPr>
      </w:pPr>
    </w:p>
    <w:p>
      <w:pPr>
        <w:sectPr>
          <w:pgSz w:w="11880" w:h="15480" w:orient="portrait"/>
          <w:cols w:equalWidth="0" w:num="1">
            <w:col w:w="9940"/>
          </w:cols>
          <w:pgMar w:left="960" w:top="25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78</w:t>
      </w:r>
    </w:p>
    <w:p>
      <w:pPr>
        <w:sectPr>
          <w:pgSz w:w="11880" w:h="15480" w:orient="portrait"/>
          <w:cols w:equalWidth="0" w:num="1">
            <w:col w:w="9940"/>
          </w:cols>
          <w:pgMar w:left="960" w:top="250" w:right="980" w:bottom="0" w:gutter="0" w:footer="0" w:header="0"/>
          <w:type w:val="continuous"/>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80" w:firstLine="349"/>
        <w:spacing w:after="0" w:line="293" w:lineRule="auto"/>
        <w:rPr>
          <w:sz w:val="20"/>
          <w:szCs w:val="20"/>
          <w:color w:val="auto"/>
        </w:rPr>
      </w:pPr>
      <w:r>
        <w:rPr>
          <w:rFonts w:ascii="Times New Roman" w:cs="Times New Roman" w:eastAsia="Times New Roman" w:hAnsi="Times New Roman"/>
          <w:sz w:val="19"/>
          <w:szCs w:val="19"/>
          <w:color w:val="231F20"/>
        </w:rPr>
        <w:t>The total provision for income taxes for the years ended March 31, 2025 and March 31, 2024 can be reconciled to the tax computed at the Ireland statutory tax rate, presented before adoption of ASU 2023-09, as follows:</w:t>
      </w:r>
    </w:p>
    <w:p>
      <w:pPr>
        <w:spacing w:after="0" w:line="114" w:lineRule="exact"/>
        <w:rPr>
          <w:sz w:val="20"/>
          <w:szCs w:val="20"/>
          <w:color w:val="auto"/>
        </w:rPr>
      </w:pPr>
    </w:p>
    <w:tbl>
      <w:tblPr>
        <w:tblLayout w:type="fixed"/>
        <w:tblInd w:w="220" w:type="dxa"/>
        <w:tblCellMar>
          <w:top w:w="0" w:type="dxa"/>
          <w:left w:w="0" w:type="dxa"/>
          <w:bottom w:w="0" w:type="dxa"/>
          <w:right w:w="0" w:type="dxa"/>
        </w:tblCellMar>
      </w:tblPr>
      <w:tr>
        <w:trPr>
          <w:trHeight w:val="228"/>
        </w:trPr>
        <w:tc>
          <w:tcPr>
            <w:tcW w:w="4120" w:type="dxa"/>
            <w:vAlign w:val="bottom"/>
          </w:tcPr>
          <w:p>
            <w:pPr>
              <w:spacing w:after="0"/>
              <w:rPr>
                <w:sz w:val="20"/>
                <w:szCs w:val="20"/>
                <w:color w:val="auto"/>
              </w:rPr>
            </w:pPr>
            <w:r>
              <w:rPr>
                <w:rFonts w:ascii="Times New Roman" w:cs="Times New Roman" w:eastAsia="Times New Roman" w:hAnsi="Times New Roman"/>
                <w:sz w:val="17"/>
                <w:szCs w:val="17"/>
                <w:color w:val="231F20"/>
              </w:rPr>
              <w:t>Years Ended March 31,</w:t>
            </w:r>
          </w:p>
        </w:tc>
        <w:tc>
          <w:tcPr>
            <w:tcW w:w="3620" w:type="dxa"/>
            <w:vAlign w:val="bottom"/>
          </w:tcPr>
          <w:p>
            <w:pPr>
              <w:jc w:val="right"/>
              <w:ind w:right="733"/>
              <w:spacing w:after="0"/>
              <w:rPr>
                <w:sz w:val="20"/>
                <w:szCs w:val="20"/>
                <w:color w:val="auto"/>
              </w:rPr>
            </w:pPr>
            <w:r>
              <w:rPr>
                <w:rFonts w:ascii="Times New Roman" w:cs="Times New Roman" w:eastAsia="Times New Roman" w:hAnsi="Times New Roman"/>
                <w:sz w:val="17"/>
                <w:szCs w:val="17"/>
                <w:color w:val="231F20"/>
              </w:rPr>
              <w:t>2025</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3175</wp:posOffset>
            </wp:positionV>
            <wp:extent cx="6283960" cy="120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8">
                      <a:extLst>
                        <a:ext uri="{28A0092B-C50C-407E-A947-70E740481C1C}"/>
                      </a:extLst>
                    </a:blip>
                    <a:srcRect/>
                    <a:stretch>
                      <a:fillRect/>
                    </a:stretch>
                  </pic:blipFill>
                  <pic:spPr bwMode="auto">
                    <a:xfrm>
                      <a:off x="0" y="0"/>
                      <a:ext cx="6283960" cy="12065"/>
                    </a:xfrm>
                    <a:prstGeom prst="rect">
                      <a:avLst/>
                    </a:prstGeom>
                    <a:noFill/>
                  </pic:spPr>
                </pic:pic>
              </a:graphicData>
            </a:graphic>
          </wp:anchor>
        </w:drawing>
      </w:r>
    </w:p>
    <w:p>
      <w:pPr>
        <w:sectPr>
          <w:pgSz w:w="11880" w:h="15480" w:orient="portrait"/>
          <w:cols w:equalWidth="0" w:num="1">
            <w:col w:w="9940"/>
          </w:cols>
          <w:pgMar w:left="960" w:top="250" w:right="980" w:bottom="0" w:gutter="0" w:footer="0" w:header="0"/>
        </w:sectPr>
      </w:pP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231F20"/>
        </w:rPr>
        <w:t>National statutory tax rate</w:t>
      </w:r>
    </w:p>
    <w:p>
      <w:pPr>
        <w:spacing w:after="0" w:line="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231F20"/>
        </w:rPr>
        <w:t>Change in accruals for uncertain tax positions</w:t>
      </w:r>
    </w:p>
    <w:p>
      <w:pPr>
        <w:spacing w:after="0" w:line="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231F20"/>
        </w:rPr>
        <w:t>U.S. state and local taxes, net of federal income tax expense (benefit)</w:t>
      </w:r>
    </w:p>
    <w:p>
      <w:pPr>
        <w:spacing w:after="0" w:line="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231F20"/>
        </w:rPr>
        <w:t>Change in valuation allowances</w:t>
      </w:r>
    </w:p>
    <w:p>
      <w:pPr>
        <w:spacing w:after="0" w:line="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231F20"/>
        </w:rPr>
        <w:t>U.S. research and development credit</w:t>
      </w:r>
    </w:p>
    <w:p>
      <w:pPr>
        <w:spacing w:after="0" w:line="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231F20"/>
        </w:rPr>
        <w:t>U.S. foreign income tax credit</w:t>
      </w:r>
    </w:p>
    <w:p>
      <w:pPr>
        <w:spacing w:after="0" w:line="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231F20"/>
        </w:rPr>
        <w:t>Difference in non-Ireland tax rates</w:t>
      </w:r>
    </w:p>
    <w:p>
      <w:pPr>
        <w:spacing w:after="0" w:line="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231F20"/>
        </w:rPr>
        <w:t>U.S. federal audit adjustments</w:t>
      </w:r>
    </w:p>
    <w:p>
      <w:pPr>
        <w:spacing w:after="0" w:line="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231F20"/>
        </w:rPr>
        <w:t>Excess tax benefit for equity compensation</w:t>
      </w:r>
    </w:p>
    <w:p>
      <w:pPr>
        <w:spacing w:after="0" w:line="87" w:lineRule="exact"/>
        <w:rPr>
          <w:sz w:val="20"/>
          <w:szCs w:val="20"/>
          <w:color w:val="auto"/>
        </w:rPr>
      </w:pPr>
    </w:p>
    <w:p>
      <w:pPr>
        <w:ind w:left="440" w:right="2080"/>
        <w:spacing w:after="0" w:line="333" w:lineRule="auto"/>
        <w:rPr>
          <w:sz w:val="20"/>
          <w:szCs w:val="20"/>
          <w:color w:val="auto"/>
        </w:rPr>
      </w:pPr>
      <w:r>
        <w:rPr>
          <w:rFonts w:ascii="Times New Roman" w:cs="Times New Roman" w:eastAsia="Times New Roman" w:hAnsi="Times New Roman"/>
          <w:sz w:val="19"/>
          <w:szCs w:val="19"/>
          <w:color w:val="231F20"/>
        </w:rPr>
        <w:t>Tax rate changes on deferred tax assets and liabilities U.S. tax reform impact, GILTI and FDII All other, net</w:t>
      </w:r>
    </w:p>
    <w:p>
      <w:pPr>
        <w:ind w:left="440"/>
        <w:spacing w:after="0"/>
        <w:rPr>
          <w:sz w:val="20"/>
          <w:szCs w:val="20"/>
          <w:color w:val="auto"/>
        </w:rPr>
      </w:pPr>
      <w:r>
        <w:rPr>
          <w:rFonts w:ascii="Times New Roman" w:cs="Times New Roman" w:eastAsia="Times New Roman" w:hAnsi="Times New Roman"/>
          <w:sz w:val="19"/>
          <w:szCs w:val="19"/>
          <w:b w:val="1"/>
          <w:bCs w:val="1"/>
          <w:color w:val="231F20"/>
        </w:rPr>
        <w:t>Total Provision for Income Taxes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9"/>
          <w:szCs w:val="19"/>
          <w:color w:val="231F20"/>
        </w:rPr>
        <w:t>12.5 %</w:t>
      </w:r>
      <w:r>
        <w:rPr>
          <w:sz w:val="20"/>
          <w:szCs w:val="20"/>
          <w:color w:val="auto"/>
        </w:rPr>
        <w:tab/>
      </w:r>
      <w:r>
        <w:rPr>
          <w:rFonts w:ascii="Times New Roman" w:cs="Times New Roman" w:eastAsia="Times New Roman" w:hAnsi="Times New Roman"/>
          <w:sz w:val="19"/>
          <w:szCs w:val="19"/>
          <w:color w:val="231F20"/>
        </w:rPr>
        <w:t>12.5 %</w:t>
      </w:r>
    </w:p>
    <w:p>
      <w:pPr>
        <w:spacing w:after="0" w:line="87" w:lineRule="exact"/>
        <w:rPr>
          <w:sz w:val="20"/>
          <w:szCs w:val="20"/>
          <w:color w:val="auto"/>
        </w:rPr>
      </w:pPr>
    </w:p>
    <w:p>
      <w:pPr>
        <w:ind w:left="20"/>
        <w:spacing w:after="0"/>
        <w:tabs>
          <w:tab w:leader="none" w:pos="2120" w:val="left"/>
        </w:tabs>
        <w:rPr>
          <w:sz w:val="20"/>
          <w:szCs w:val="20"/>
          <w:color w:val="auto"/>
        </w:rPr>
      </w:pPr>
      <w:r>
        <w:rPr>
          <w:rFonts w:ascii="Times New Roman" w:cs="Times New Roman" w:eastAsia="Times New Roman" w:hAnsi="Times New Roman"/>
          <w:sz w:val="19"/>
          <w:szCs w:val="19"/>
          <w:color w:val="231F20"/>
        </w:rPr>
        <w:t>(0.1)%</w:t>
      </w:r>
      <w:r>
        <w:rPr>
          <w:sz w:val="20"/>
          <w:szCs w:val="20"/>
          <w:color w:val="auto"/>
        </w:rPr>
        <w:tab/>
      </w:r>
      <w:r>
        <w:rPr>
          <w:rFonts w:ascii="Times New Roman" w:cs="Times New Roman" w:eastAsia="Times New Roman" w:hAnsi="Times New Roman"/>
          <w:sz w:val="19"/>
          <w:szCs w:val="19"/>
          <w:color w:val="231F20"/>
        </w:rPr>
        <w:t>— %</w:t>
      </w:r>
    </w:p>
    <w:p>
      <w:pPr>
        <w:spacing w:after="0" w:line="87" w:lineRule="exact"/>
        <w:rPr>
          <w:sz w:val="20"/>
          <w:szCs w:val="20"/>
          <w:color w:val="auto"/>
        </w:rPr>
      </w:pPr>
    </w:p>
    <w:p>
      <w:pPr>
        <w:ind w:left="100"/>
        <w:spacing w:after="0"/>
        <w:tabs>
          <w:tab w:leader="none" w:pos="2060" w:val="left"/>
        </w:tabs>
        <w:rPr>
          <w:sz w:val="20"/>
          <w:szCs w:val="20"/>
          <w:color w:val="auto"/>
        </w:rPr>
      </w:pPr>
      <w:r>
        <w:rPr>
          <w:rFonts w:ascii="Times New Roman" w:cs="Times New Roman" w:eastAsia="Times New Roman" w:hAnsi="Times New Roman"/>
          <w:sz w:val="19"/>
          <w:szCs w:val="19"/>
          <w:color w:val="231F20"/>
        </w:rPr>
        <w:t>2.8 %</w:t>
      </w:r>
      <w:r>
        <w:rPr>
          <w:sz w:val="20"/>
          <w:szCs w:val="20"/>
          <w:color w:val="auto"/>
        </w:rPr>
        <w:tab/>
      </w:r>
      <w:r>
        <w:rPr>
          <w:rFonts w:ascii="Times New Roman" w:cs="Times New Roman" w:eastAsia="Times New Roman" w:hAnsi="Times New Roman"/>
          <w:sz w:val="19"/>
          <w:szCs w:val="19"/>
          <w:color w:val="231F20"/>
        </w:rPr>
        <w:t>2.2 %</w:t>
      </w:r>
    </w:p>
    <w:p>
      <w:pPr>
        <w:spacing w:after="0" w:line="87" w:lineRule="exact"/>
        <w:rPr>
          <w:sz w:val="20"/>
          <w:szCs w:val="20"/>
          <w:color w:val="auto"/>
        </w:rPr>
      </w:pPr>
    </w:p>
    <w:p>
      <w:pPr>
        <w:ind w:left="100"/>
        <w:spacing w:after="0"/>
        <w:tabs>
          <w:tab w:leader="none" w:pos="2060" w:val="left"/>
        </w:tabs>
        <w:rPr>
          <w:sz w:val="20"/>
          <w:szCs w:val="20"/>
          <w:color w:val="auto"/>
        </w:rPr>
      </w:pPr>
      <w:r>
        <w:rPr>
          <w:rFonts w:ascii="Times New Roman" w:cs="Times New Roman" w:eastAsia="Times New Roman" w:hAnsi="Times New Roman"/>
          <w:sz w:val="19"/>
          <w:szCs w:val="19"/>
          <w:color w:val="231F20"/>
        </w:rPr>
        <w:t>0.7 %</w:t>
      </w:r>
      <w:r>
        <w:rPr>
          <w:sz w:val="20"/>
          <w:szCs w:val="20"/>
          <w:color w:val="auto"/>
        </w:rPr>
        <w:tab/>
      </w:r>
      <w:r>
        <w:rPr>
          <w:rFonts w:ascii="Times New Roman" w:cs="Times New Roman" w:eastAsia="Times New Roman" w:hAnsi="Times New Roman"/>
          <w:sz w:val="19"/>
          <w:szCs w:val="19"/>
          <w:color w:val="231F20"/>
        </w:rPr>
        <w:t>0.9 %</w:t>
      </w:r>
    </w:p>
    <w:p>
      <w:pPr>
        <w:spacing w:after="0" w:line="87" w:lineRule="exact"/>
        <w:rPr>
          <w:sz w:val="20"/>
          <w:szCs w:val="20"/>
          <w:color w:val="auto"/>
        </w:rPr>
      </w:pPr>
    </w:p>
    <w:p>
      <w:pPr>
        <w:ind w:left="20"/>
        <w:spacing w:after="0"/>
        <w:tabs>
          <w:tab w:leader="none" w:pos="2000" w:val="left"/>
        </w:tabs>
        <w:rPr>
          <w:sz w:val="20"/>
          <w:szCs w:val="20"/>
          <w:color w:val="auto"/>
        </w:rPr>
      </w:pPr>
      <w:r>
        <w:rPr>
          <w:rFonts w:ascii="Times New Roman" w:cs="Times New Roman" w:eastAsia="Times New Roman" w:hAnsi="Times New Roman"/>
          <w:sz w:val="19"/>
          <w:szCs w:val="19"/>
          <w:color w:val="231F20"/>
        </w:rPr>
        <w:t>(0.6)%</w:t>
      </w:r>
      <w:r>
        <w:rPr>
          <w:sz w:val="20"/>
          <w:szCs w:val="20"/>
          <w:color w:val="auto"/>
        </w:rPr>
        <w:tab/>
      </w:r>
      <w:r>
        <w:rPr>
          <w:rFonts w:ascii="Times New Roman" w:cs="Times New Roman" w:eastAsia="Times New Roman" w:hAnsi="Times New Roman"/>
          <w:sz w:val="19"/>
          <w:szCs w:val="19"/>
          <w:color w:val="231F20"/>
        </w:rPr>
        <w:t>(0.7)%</w:t>
      </w:r>
    </w:p>
    <w:p>
      <w:pPr>
        <w:spacing w:after="0" w:line="87" w:lineRule="exact"/>
        <w:rPr>
          <w:sz w:val="20"/>
          <w:szCs w:val="20"/>
          <w:color w:val="auto"/>
        </w:rPr>
      </w:pPr>
    </w:p>
    <w:p>
      <w:pPr>
        <w:ind w:left="20"/>
        <w:spacing w:after="0"/>
        <w:tabs>
          <w:tab w:leader="none" w:pos="2000" w:val="left"/>
        </w:tabs>
        <w:rPr>
          <w:sz w:val="20"/>
          <w:szCs w:val="20"/>
          <w:color w:val="auto"/>
        </w:rPr>
      </w:pPr>
      <w:r>
        <w:rPr>
          <w:rFonts w:ascii="Times New Roman" w:cs="Times New Roman" w:eastAsia="Times New Roman" w:hAnsi="Times New Roman"/>
          <w:sz w:val="19"/>
          <w:szCs w:val="19"/>
          <w:color w:val="231F20"/>
        </w:rPr>
        <w:t>(0.7)%</w:t>
      </w:r>
      <w:r>
        <w:rPr>
          <w:sz w:val="20"/>
          <w:szCs w:val="20"/>
          <w:color w:val="auto"/>
        </w:rPr>
        <w:tab/>
      </w:r>
      <w:r>
        <w:rPr>
          <w:rFonts w:ascii="Times New Roman" w:cs="Times New Roman" w:eastAsia="Times New Roman" w:hAnsi="Times New Roman"/>
          <w:sz w:val="19"/>
          <w:szCs w:val="19"/>
          <w:color w:val="231F20"/>
        </w:rPr>
        <w:t>(0.9)%</w:t>
      </w:r>
    </w:p>
    <w:p>
      <w:pPr>
        <w:spacing w:after="0" w:line="87" w:lineRule="exact"/>
        <w:rPr>
          <w:sz w:val="20"/>
          <w:szCs w:val="20"/>
          <w:color w:val="auto"/>
        </w:rPr>
      </w:pPr>
    </w:p>
    <w:p>
      <w:pPr>
        <w:ind w:left="100"/>
        <w:spacing w:after="0"/>
        <w:tabs>
          <w:tab w:leader="none" w:pos="2060" w:val="left"/>
        </w:tabs>
        <w:rPr>
          <w:sz w:val="20"/>
          <w:szCs w:val="20"/>
          <w:color w:val="auto"/>
        </w:rPr>
      </w:pPr>
      <w:r>
        <w:rPr>
          <w:rFonts w:ascii="Times New Roman" w:cs="Times New Roman" w:eastAsia="Times New Roman" w:hAnsi="Times New Roman"/>
          <w:sz w:val="19"/>
          <w:szCs w:val="19"/>
          <w:color w:val="231F20"/>
        </w:rPr>
        <w:t>9.9 %</w:t>
      </w:r>
      <w:r>
        <w:rPr>
          <w:sz w:val="20"/>
          <w:szCs w:val="20"/>
          <w:color w:val="auto"/>
        </w:rPr>
        <w:tab/>
      </w:r>
      <w:r>
        <w:rPr>
          <w:rFonts w:ascii="Times New Roman" w:cs="Times New Roman" w:eastAsia="Times New Roman" w:hAnsi="Times New Roman"/>
          <w:sz w:val="19"/>
          <w:szCs w:val="19"/>
          <w:color w:val="231F20"/>
        </w:rPr>
        <w:t>8.5 %</w:t>
      </w:r>
    </w:p>
    <w:p>
      <w:pPr>
        <w:spacing w:after="0" w:line="87" w:lineRule="exact"/>
        <w:rPr>
          <w:sz w:val="20"/>
          <w:szCs w:val="20"/>
          <w:color w:val="auto"/>
        </w:rPr>
      </w:pPr>
    </w:p>
    <w:p>
      <w:pPr>
        <w:ind w:left="20"/>
        <w:spacing w:after="0"/>
        <w:tabs>
          <w:tab w:leader="none" w:pos="2060" w:val="left"/>
        </w:tabs>
        <w:rPr>
          <w:sz w:val="20"/>
          <w:szCs w:val="20"/>
          <w:color w:val="auto"/>
        </w:rPr>
      </w:pPr>
      <w:r>
        <w:rPr>
          <w:rFonts w:ascii="Times New Roman" w:cs="Times New Roman" w:eastAsia="Times New Roman" w:hAnsi="Times New Roman"/>
          <w:sz w:val="19"/>
          <w:szCs w:val="19"/>
          <w:color w:val="231F20"/>
        </w:rPr>
        <w:t>(0.3)%</w:t>
      </w:r>
      <w:r>
        <w:rPr>
          <w:sz w:val="20"/>
          <w:szCs w:val="20"/>
          <w:color w:val="auto"/>
        </w:rPr>
        <w:tab/>
      </w:r>
      <w:r>
        <w:rPr>
          <w:rFonts w:ascii="Times New Roman" w:cs="Times New Roman" w:eastAsia="Times New Roman" w:hAnsi="Times New Roman"/>
          <w:sz w:val="19"/>
          <w:szCs w:val="19"/>
          <w:color w:val="231F20"/>
        </w:rPr>
        <w:t>0.1 %</w:t>
      </w:r>
    </w:p>
    <w:p>
      <w:pPr>
        <w:spacing w:after="0" w:line="87" w:lineRule="exact"/>
        <w:rPr>
          <w:sz w:val="20"/>
          <w:szCs w:val="20"/>
          <w:color w:val="auto"/>
        </w:rPr>
      </w:pPr>
    </w:p>
    <w:p>
      <w:pPr>
        <w:ind w:left="20"/>
        <w:spacing w:after="0"/>
        <w:tabs>
          <w:tab w:leader="none" w:pos="2000" w:val="left"/>
        </w:tabs>
        <w:rPr>
          <w:sz w:val="20"/>
          <w:szCs w:val="20"/>
          <w:color w:val="auto"/>
        </w:rPr>
      </w:pPr>
      <w:r>
        <w:rPr>
          <w:rFonts w:ascii="Times New Roman" w:cs="Times New Roman" w:eastAsia="Times New Roman" w:hAnsi="Times New Roman"/>
          <w:sz w:val="19"/>
          <w:szCs w:val="19"/>
          <w:color w:val="231F20"/>
        </w:rPr>
        <w:t>(0.8)%</w:t>
      </w:r>
      <w:r>
        <w:rPr>
          <w:sz w:val="20"/>
          <w:szCs w:val="20"/>
          <w:color w:val="auto"/>
        </w:rPr>
        <w:tab/>
      </w:r>
      <w:r>
        <w:rPr>
          <w:rFonts w:ascii="Times New Roman" w:cs="Times New Roman" w:eastAsia="Times New Roman" w:hAnsi="Times New Roman"/>
          <w:sz w:val="19"/>
          <w:szCs w:val="19"/>
          <w:color w:val="231F20"/>
        </w:rPr>
        <w:t>(0.7)%</w:t>
      </w:r>
    </w:p>
    <w:p>
      <w:pPr>
        <w:spacing w:after="0" w:line="87" w:lineRule="exact"/>
        <w:rPr>
          <w:sz w:val="20"/>
          <w:szCs w:val="20"/>
          <w:color w:val="auto"/>
        </w:rPr>
      </w:pPr>
    </w:p>
    <w:p>
      <w:pPr>
        <w:ind w:left="140"/>
        <w:spacing w:after="0"/>
        <w:tabs>
          <w:tab w:leader="none" w:pos="2000" w:val="left"/>
        </w:tabs>
        <w:rPr>
          <w:sz w:val="20"/>
          <w:szCs w:val="20"/>
          <w:color w:val="auto"/>
        </w:rPr>
      </w:pPr>
      <w:r>
        <w:rPr>
          <w:rFonts w:ascii="Times New Roman" w:cs="Times New Roman" w:eastAsia="Times New Roman" w:hAnsi="Times New Roman"/>
          <w:sz w:val="19"/>
          <w:szCs w:val="19"/>
          <w:color w:val="231F20"/>
        </w:rPr>
        <w:t>— %</w:t>
      </w:r>
      <w:r>
        <w:rPr>
          <w:sz w:val="20"/>
          <w:szCs w:val="20"/>
          <w:color w:val="auto"/>
        </w:rPr>
        <w:tab/>
      </w:r>
      <w:r>
        <w:rPr>
          <w:rFonts w:ascii="Times New Roman" w:cs="Times New Roman" w:eastAsia="Times New Roman" w:hAnsi="Times New Roman"/>
          <w:sz w:val="19"/>
          <w:szCs w:val="19"/>
          <w:color w:val="231F20"/>
        </w:rPr>
        <w:t>(0.3)%</w:t>
      </w:r>
    </w:p>
    <w:p>
      <w:pPr>
        <w:spacing w:after="0" w:line="87" w:lineRule="exact"/>
        <w:rPr>
          <w:sz w:val="20"/>
          <w:szCs w:val="20"/>
          <w:color w:val="auto"/>
        </w:rPr>
      </w:pPr>
    </w:p>
    <w:p>
      <w:pPr>
        <w:ind w:left="20"/>
        <w:spacing w:after="0"/>
        <w:tabs>
          <w:tab w:leader="none" w:pos="2000" w:val="left"/>
        </w:tabs>
        <w:rPr>
          <w:sz w:val="20"/>
          <w:szCs w:val="20"/>
          <w:color w:val="auto"/>
        </w:rPr>
      </w:pPr>
      <w:r>
        <w:rPr>
          <w:rFonts w:ascii="Times New Roman" w:cs="Times New Roman" w:eastAsia="Times New Roman" w:hAnsi="Times New Roman"/>
          <w:sz w:val="19"/>
          <w:szCs w:val="19"/>
          <w:color w:val="231F20"/>
        </w:rPr>
        <w:t>(0.3)%</w:t>
      </w:r>
      <w:r>
        <w:rPr>
          <w:sz w:val="20"/>
          <w:szCs w:val="20"/>
          <w:color w:val="auto"/>
        </w:rPr>
        <w:tab/>
      </w:r>
      <w:r>
        <w:rPr>
          <w:rFonts w:ascii="Times New Roman" w:cs="Times New Roman" w:eastAsia="Times New Roman" w:hAnsi="Times New Roman"/>
          <w:sz w:val="19"/>
          <w:szCs w:val="19"/>
          <w:color w:val="231F20"/>
        </w:rPr>
        <w:t>(0.2)%</w:t>
      </w:r>
    </w:p>
    <w:p>
      <w:pPr>
        <w:spacing w:after="0" w:line="87" w:lineRule="exact"/>
        <w:rPr>
          <w:sz w:val="20"/>
          <w:szCs w:val="20"/>
          <w:color w:val="auto"/>
        </w:rPr>
      </w:pPr>
    </w:p>
    <w:p>
      <w:pPr>
        <w:ind w:left="100"/>
        <w:spacing w:after="0"/>
        <w:tabs>
          <w:tab w:leader="none" w:pos="2000" w:val="left"/>
        </w:tabs>
        <w:rPr>
          <w:sz w:val="20"/>
          <w:szCs w:val="20"/>
          <w:color w:val="auto"/>
        </w:rPr>
      </w:pPr>
      <w:r>
        <w:rPr>
          <w:rFonts w:ascii="Times New Roman" w:cs="Times New Roman" w:eastAsia="Times New Roman" w:hAnsi="Times New Roman"/>
          <w:sz w:val="19"/>
          <w:szCs w:val="19"/>
          <w:color w:val="231F20"/>
        </w:rPr>
        <w:t>0.1 %</w:t>
      </w:r>
      <w:r>
        <w:rPr>
          <w:sz w:val="20"/>
          <w:szCs w:val="20"/>
          <w:color w:val="auto"/>
        </w:rPr>
        <w:tab/>
      </w:r>
      <w:r>
        <w:rPr>
          <w:rFonts w:ascii="Times New Roman" w:cs="Times New Roman" w:eastAsia="Times New Roman" w:hAnsi="Times New Roman"/>
          <w:sz w:val="19"/>
          <w:szCs w:val="19"/>
          <w:color w:val="231F20"/>
        </w:rPr>
        <w:t>(0.1)%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-900430</wp:posOffset>
            </wp:positionH>
            <wp:positionV relativeFrom="paragraph">
              <wp:posOffset>23495</wp:posOffset>
            </wp:positionV>
            <wp:extent cx="2532380" cy="120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
                      <a:extLst>
                        <a:ext uri="{28A0092B-C50C-407E-A947-70E740481C1C}"/>
                      </a:extLst>
                    </a:blip>
                    <a:srcRect/>
                    <a:stretch>
                      <a:fillRect/>
                    </a:stretch>
                  </pic:blipFill>
                  <pic:spPr bwMode="auto">
                    <a:xfrm>
                      <a:off x="0" y="0"/>
                      <a:ext cx="2532380" cy="12065"/>
                    </a:xfrm>
                    <a:prstGeom prst="rect">
                      <a:avLst/>
                    </a:prstGeom>
                    <a:noFill/>
                  </pic:spPr>
                </pic:pic>
              </a:graphicData>
            </a:graphic>
          </wp:anchor>
        </w:drawing>
      </w:r>
    </w:p>
    <w:p>
      <w:pPr>
        <w:spacing w:after="0" w:line="67"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9"/>
          <w:szCs w:val="19"/>
          <w:color w:val="231F20"/>
        </w:rPr>
        <w:t>23.2 %</w:t>
      </w:r>
      <w:r>
        <w:rPr>
          <w:sz w:val="20"/>
          <w:szCs w:val="20"/>
          <w:color w:val="auto"/>
        </w:rPr>
        <w:tab/>
      </w:r>
      <w:r>
        <w:rPr>
          <w:rFonts w:ascii="Times New Roman" w:cs="Times New Roman" w:eastAsia="Times New Roman" w:hAnsi="Times New Roman"/>
          <w:sz w:val="19"/>
          <w:szCs w:val="19"/>
          <w:color w:val="231F20"/>
        </w:rPr>
        <w:t>21.3 %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-900430</wp:posOffset>
            </wp:positionH>
            <wp:positionV relativeFrom="paragraph">
              <wp:posOffset>20320</wp:posOffset>
            </wp:positionV>
            <wp:extent cx="2532380"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0">
                      <a:extLst>
                        <a:ext uri="{28A0092B-C50C-407E-A947-70E740481C1C}"/>
                      </a:extLst>
                    </a:blip>
                    <a:srcRect/>
                    <a:stretch>
                      <a:fillRect/>
                    </a:stretch>
                  </pic:blipFill>
                  <pic:spPr bwMode="auto">
                    <a:xfrm>
                      <a:off x="0" y="0"/>
                      <a:ext cx="2532380" cy="18415"/>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6640" w:space="720"/>
            <w:col w:w="2580"/>
          </w:cols>
          <w:pgMar w:left="960" w:top="250" w:right="980" w:bottom="0" w:gutter="0" w:footer="0" w:header="0"/>
          <w:type w:val="continuous"/>
        </w:sectPr>
      </w:pPr>
    </w:p>
    <w:p>
      <w:pPr>
        <w:spacing w:after="0" w:line="306" w:lineRule="exact"/>
        <w:rPr>
          <w:sz w:val="20"/>
          <w:szCs w:val="20"/>
          <w:color w:val="auto"/>
        </w:rPr>
      </w:pPr>
    </w:p>
    <w:p>
      <w:pPr>
        <w:ind w:right="160" w:firstLine="349"/>
        <w:spacing w:after="0" w:line="261" w:lineRule="auto"/>
        <w:rPr>
          <w:sz w:val="20"/>
          <w:szCs w:val="20"/>
          <w:color w:val="auto"/>
        </w:rPr>
      </w:pPr>
      <w:r>
        <w:rPr>
          <w:rFonts w:ascii="Times New Roman" w:cs="Times New Roman" w:eastAsia="Times New Roman" w:hAnsi="Times New Roman"/>
          <w:sz w:val="19"/>
          <w:szCs w:val="19"/>
          <w:color w:val="231F20"/>
        </w:rPr>
        <w:t>Our effective tax rate is affected by i) the tax rates in Ireland (our country of domicile), the United States, and other jurisdictions in which we operate, and ii) the relative amount of income before income taxes by geography. Income before income taxes by geography are based on the geographic location of our operations to which such earnings are attributable. Transactions between two or more of the entities within our group occur routinely and involve the sale of goods and services, loans and related interest, intellectual property and related royalties, and shared costs. The pricing used in these transactions is consistent with the prices that would be charged between unrelated parties in accordance with our interpretation of current tax regulations. Income before income taxes by geography includes the transfer of income before income taxes that results from these transactions.</w:t>
      </w:r>
    </w:p>
    <w:p>
      <w:pPr>
        <w:spacing w:after="0" w:line="79" w:lineRule="exact"/>
        <w:rPr>
          <w:sz w:val="20"/>
          <w:szCs w:val="20"/>
          <w:color w:val="auto"/>
        </w:rPr>
      </w:pPr>
    </w:p>
    <w:p>
      <w:pPr>
        <w:ind w:firstLine="349"/>
        <w:spacing w:after="0" w:line="265" w:lineRule="auto"/>
        <w:rPr>
          <w:sz w:val="20"/>
          <w:szCs w:val="20"/>
          <w:color w:val="auto"/>
        </w:rPr>
      </w:pPr>
      <w:r>
        <w:rPr>
          <w:rFonts w:ascii="Times New Roman" w:cs="Times New Roman" w:eastAsia="Times New Roman" w:hAnsi="Times New Roman"/>
          <w:sz w:val="19"/>
          <w:szCs w:val="19"/>
          <w:color w:val="231F20"/>
        </w:rPr>
        <w:t>We operate a global financing structure using a wholly-owned financing company domiciled in Ireland, FinCo, which has a material impact on the relative amount of income before income taxes by geography. In each of the years presented, FinCo contributed a significant majority of the pre-tax income of Ireland operations. Its activities are driven by funding needs for acquisitions, capital investments, and working capital. A significant majority of FinCo’s income before income taxes during the years presented was driven by loans to our operations in the United States in response to such funding needs.</w:t>
      </w:r>
    </w:p>
    <w:p>
      <w:pPr>
        <w:spacing w:after="0" w:line="75" w:lineRule="exact"/>
        <w:rPr>
          <w:sz w:val="20"/>
          <w:szCs w:val="20"/>
          <w:color w:val="auto"/>
        </w:rPr>
      </w:pPr>
    </w:p>
    <w:p>
      <w:pPr>
        <w:ind w:right="440" w:firstLine="349"/>
        <w:spacing w:after="0" w:line="293" w:lineRule="auto"/>
        <w:rPr>
          <w:sz w:val="20"/>
          <w:szCs w:val="20"/>
          <w:color w:val="auto"/>
        </w:rPr>
      </w:pPr>
      <w:r>
        <w:rPr>
          <w:rFonts w:ascii="Times New Roman" w:cs="Times New Roman" w:eastAsia="Times New Roman" w:hAnsi="Times New Roman"/>
          <w:sz w:val="19"/>
          <w:szCs w:val="19"/>
          <w:color w:val="231F20"/>
        </w:rPr>
        <w:t>Significant transactions not indicative of operating trends that impacted the amount of income before income taxes by geography and resulting provision for income tax and effective tax rate include:</w:t>
      </w:r>
    </w:p>
    <w:p>
      <w:pPr>
        <w:spacing w:after="0" w:line="49" w:lineRule="exact"/>
        <w:rPr>
          <w:sz w:val="20"/>
          <w:szCs w:val="20"/>
          <w:color w:val="auto"/>
        </w:rPr>
      </w:pPr>
    </w:p>
    <w:p>
      <w:pPr>
        <w:ind w:left="700" w:hanging="348"/>
        <w:spacing w:after="0"/>
        <w:tabs>
          <w:tab w:leader="none" w:pos="700" w:val="left"/>
        </w:tabs>
        <w:numPr>
          <w:ilvl w:val="0"/>
          <w:numId w:val="2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 fiscal 2026, there were no significant transactions of this nature.</w:t>
      </w:r>
    </w:p>
    <w:p>
      <w:pPr>
        <w:spacing w:after="0" w:line="130" w:lineRule="exact"/>
        <w:rPr>
          <w:rFonts w:ascii="Times New Roman" w:cs="Times New Roman" w:eastAsia="Times New Roman" w:hAnsi="Times New Roman"/>
          <w:sz w:val="19"/>
          <w:szCs w:val="19"/>
          <w:color w:val="231F20"/>
        </w:rPr>
      </w:pPr>
    </w:p>
    <w:p>
      <w:pPr>
        <w:jc w:val="both"/>
        <w:ind w:left="700" w:right="140" w:hanging="348"/>
        <w:spacing w:after="0" w:line="274" w:lineRule="auto"/>
        <w:tabs>
          <w:tab w:leader="none" w:pos="700" w:val="left"/>
        </w:tabs>
        <w:numPr>
          <w:ilvl w:val="0"/>
          <w:numId w:val="2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 fiscal 2025, income from continuing operations before income taxes, in the United States and Other locations, was impacted by $62.3 million of expenses associated with restructuring. This resulted in approximately $6.0 million of an increase to our valuation allowance in Other locations.</w:t>
      </w:r>
    </w:p>
    <w:p>
      <w:pPr>
        <w:spacing w:after="0" w:line="66" w:lineRule="exact"/>
        <w:rPr>
          <w:rFonts w:ascii="Times New Roman" w:cs="Times New Roman" w:eastAsia="Times New Roman" w:hAnsi="Times New Roman"/>
          <w:sz w:val="19"/>
          <w:szCs w:val="19"/>
          <w:color w:val="231F20"/>
        </w:rPr>
      </w:pPr>
    </w:p>
    <w:p>
      <w:pPr>
        <w:ind w:left="700" w:hanging="348"/>
        <w:spacing w:after="0" w:line="274" w:lineRule="auto"/>
        <w:tabs>
          <w:tab w:leader="none" w:pos="700" w:val="left"/>
        </w:tabs>
        <w:numPr>
          <w:ilvl w:val="0"/>
          <w:numId w:val="2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 fiscal 2024, income from continuing operations before income taxes, in the United States and Other locations, was impacted by $44.4 million of expenses associated with restructuring. This resulted in approximately $2.6 million of an increase to our valuation allowance in Other locations.</w:t>
      </w:r>
    </w:p>
    <w:p>
      <w:pPr>
        <w:sectPr>
          <w:pgSz w:w="11880" w:h="15480" w:orient="portrait"/>
          <w:cols w:equalWidth="0" w:num="1">
            <w:col w:w="9940"/>
          </w:cols>
          <w:pgMar w:left="960" w:top="250"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79</w:t>
      </w:r>
    </w:p>
    <w:p>
      <w:pPr>
        <w:sectPr>
          <w:pgSz w:w="11880" w:h="15480" w:orient="portrait"/>
          <w:cols w:equalWidth="0" w:num="1">
            <w:col w:w="9940"/>
          </w:cols>
          <w:pgMar w:left="960" w:top="250" w:right="980" w:bottom="0" w:gutter="0" w:footer="0" w:header="0"/>
          <w:type w:val="continuous"/>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40" w:firstLine="349"/>
        <w:spacing w:after="0" w:line="283" w:lineRule="auto"/>
        <w:rPr>
          <w:sz w:val="20"/>
          <w:szCs w:val="20"/>
          <w:color w:val="auto"/>
        </w:rPr>
      </w:pPr>
      <w:r>
        <w:rPr>
          <w:rFonts w:ascii="Times New Roman" w:cs="Times New Roman" w:eastAsia="Times New Roman" w:hAnsi="Times New Roman"/>
          <w:sz w:val="19"/>
          <w:szCs w:val="19"/>
          <w:color w:val="231F20"/>
        </w:rPr>
        <w:t>Income from continuing operations before income taxes of our domestic and foreign operations based on the geographic locations of our operations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20" w:type="dxa"/>
            <w:vAlign w:val="bottom"/>
          </w:tcPr>
          <w:p>
            <w:pPr>
              <w:ind w:left="180"/>
              <w:spacing w:after="0"/>
              <w:rPr>
                <w:sz w:val="20"/>
                <w:szCs w:val="20"/>
                <w:color w:val="auto"/>
              </w:rPr>
            </w:pPr>
            <w:r>
              <w:rPr>
                <w:rFonts w:ascii="Times New Roman" w:cs="Times New Roman" w:eastAsia="Times New Roman" w:hAnsi="Times New Roman"/>
                <w:sz w:val="17"/>
                <w:szCs w:val="17"/>
                <w:color w:val="231F20"/>
              </w:rPr>
              <w:t>(in millions)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7"/>
        </w:trPr>
        <w:tc>
          <w:tcPr>
            <w:tcW w:w="5820" w:type="dxa"/>
            <w:vAlign w:val="bottom"/>
            <w:tcBorders>
              <w:bottom w:val="single" w:sz="8" w:color="231F20"/>
            </w:tcBorders>
          </w:tcPr>
          <w:p>
            <w:pPr>
              <w:ind w:left="180"/>
              <w:spacing w:after="0"/>
              <w:rPr>
                <w:sz w:val="20"/>
                <w:szCs w:val="20"/>
                <w:color w:val="auto"/>
              </w:rPr>
            </w:pPr>
            <w:r>
              <w:rPr>
                <w:rFonts w:ascii="Times New Roman" w:cs="Times New Roman" w:eastAsia="Times New Roman" w:hAnsi="Times New Roman"/>
                <w:sz w:val="17"/>
                <w:szCs w:val="17"/>
                <w:color w:val="231F20"/>
              </w:rPr>
              <w:t>Years Ended March 31,</w:t>
            </w:r>
          </w:p>
        </w:tc>
        <w:tc>
          <w:tcPr>
            <w:tcW w:w="320" w:type="dxa"/>
            <w:vAlign w:val="bottom"/>
            <w:tcBorders>
              <w:bottom w:val="single" w:sz="8" w:color="231F20"/>
            </w:tcBorders>
          </w:tcPr>
          <w:p>
            <w:pPr>
              <w:spacing w:after="0"/>
              <w:rPr>
                <w:sz w:val="20"/>
                <w:szCs w:val="20"/>
                <w:color w:val="auto"/>
              </w:rPr>
            </w:pPr>
          </w:p>
        </w:tc>
        <w:tc>
          <w:tcPr>
            <w:tcW w:w="1040" w:type="dxa"/>
            <w:vAlign w:val="bottom"/>
            <w:tcBorders>
              <w:bottom w:val="single" w:sz="8" w:color="231F20"/>
            </w:tcBorders>
          </w:tcPr>
          <w:p>
            <w:pPr>
              <w:jc w:val="right"/>
              <w:ind w:right="425"/>
              <w:spacing w:after="0"/>
              <w:rPr>
                <w:sz w:val="20"/>
                <w:szCs w:val="20"/>
                <w:color w:val="auto"/>
              </w:rPr>
            </w:pPr>
            <w:r>
              <w:rPr>
                <w:rFonts w:ascii="Times New Roman" w:cs="Times New Roman" w:eastAsia="Times New Roman" w:hAnsi="Times New Roman"/>
                <w:sz w:val="17"/>
                <w:szCs w:val="17"/>
                <w:color w:val="231F20"/>
              </w:rPr>
              <w:t>2026</w:t>
            </w:r>
          </w:p>
        </w:tc>
        <w:tc>
          <w:tcPr>
            <w:tcW w:w="36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tcPr>
          <w:p>
            <w:pPr>
              <w:jc w:val="right"/>
              <w:ind w:right="405"/>
              <w:spacing w:after="0"/>
              <w:rPr>
                <w:sz w:val="20"/>
                <w:szCs w:val="20"/>
                <w:color w:val="auto"/>
              </w:rPr>
            </w:pPr>
            <w:r>
              <w:rPr>
                <w:rFonts w:ascii="Times New Roman" w:cs="Times New Roman" w:eastAsia="Times New Roman" w:hAnsi="Times New Roman"/>
                <w:sz w:val="17"/>
                <w:szCs w:val="17"/>
                <w:color w:val="231F20"/>
              </w:rPr>
              <w:t>2025</w:t>
            </w:r>
          </w:p>
        </w:tc>
        <w:tc>
          <w:tcPr>
            <w:tcW w:w="38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ind w:right="385"/>
              <w:spacing w:after="0"/>
              <w:rPr>
                <w:sz w:val="20"/>
                <w:szCs w:val="20"/>
                <w:color w:val="auto"/>
              </w:rPr>
            </w:pPr>
            <w:r>
              <w:rPr>
                <w:rFonts w:ascii="Times New Roman" w:cs="Times New Roman" w:eastAsia="Times New Roman" w:hAnsi="Times New Roman"/>
                <w:sz w:val="17"/>
                <w:szCs w:val="17"/>
                <w:color w:val="231F20"/>
              </w:rPr>
              <w:t>2024</w:t>
            </w:r>
          </w:p>
        </w:tc>
      </w:tr>
      <w:tr>
        <w:trPr>
          <w:trHeight w:val="560"/>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United States operations</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b w:val="1"/>
                <w:bCs w:val="1"/>
                <w:color w:val="231F20"/>
              </w:rPr>
              <w:t>$</w:t>
            </w:r>
          </w:p>
        </w:tc>
        <w:tc>
          <w:tcPr>
            <w:tcW w:w="1040" w:type="dxa"/>
            <w:vAlign w:val="bottom"/>
          </w:tcPr>
          <w:p>
            <w:pPr>
              <w:jc w:val="right"/>
              <w:ind w:right="25"/>
              <w:spacing w:after="0"/>
              <w:rPr>
                <w:sz w:val="20"/>
                <w:szCs w:val="20"/>
                <w:color w:val="auto"/>
              </w:rPr>
            </w:pPr>
            <w:r>
              <w:rPr>
                <w:rFonts w:ascii="Times New Roman" w:cs="Times New Roman" w:eastAsia="Times New Roman" w:hAnsi="Times New Roman"/>
                <w:sz w:val="19"/>
                <w:szCs w:val="19"/>
                <w:b w:val="1"/>
                <w:bCs w:val="1"/>
                <w:color w:val="231F20"/>
              </w:rPr>
              <w:t>725.3</w:t>
            </w:r>
          </w:p>
        </w:tc>
        <w:tc>
          <w:tcPr>
            <w:tcW w:w="36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231F20"/>
              </w:rPr>
              <w:t>559.5</w:t>
            </w:r>
          </w:p>
        </w:tc>
        <w:tc>
          <w:tcPr>
            <w:tcW w:w="38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491.9</w:t>
            </w:r>
          </w:p>
        </w:tc>
      </w:tr>
      <w:tr>
        <w:trPr>
          <w:trHeight w:val="291"/>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Ireland operations</w:t>
            </w:r>
          </w:p>
        </w:tc>
        <w:tc>
          <w:tcPr>
            <w:tcW w:w="320" w:type="dxa"/>
            <w:vAlign w:val="bottom"/>
          </w:tcPr>
          <w:p>
            <w:pPr>
              <w:spacing w:after="0"/>
              <w:rPr>
                <w:sz w:val="24"/>
                <w:szCs w:val="24"/>
                <w:color w:val="auto"/>
              </w:rPr>
            </w:pPr>
          </w:p>
        </w:tc>
        <w:tc>
          <w:tcPr>
            <w:tcW w:w="1040" w:type="dxa"/>
            <w:vAlign w:val="bottom"/>
          </w:tcPr>
          <w:p>
            <w:pPr>
              <w:jc w:val="right"/>
              <w:ind w:right="25"/>
              <w:spacing w:after="0"/>
              <w:rPr>
                <w:sz w:val="20"/>
                <w:szCs w:val="20"/>
                <w:color w:val="auto"/>
              </w:rPr>
            </w:pPr>
            <w:r>
              <w:rPr>
                <w:rFonts w:ascii="Times New Roman" w:cs="Times New Roman" w:eastAsia="Times New Roman" w:hAnsi="Times New Roman"/>
                <w:sz w:val="19"/>
                <w:szCs w:val="19"/>
                <w:b w:val="1"/>
                <w:bCs w:val="1"/>
                <w:color w:val="231F20"/>
              </w:rPr>
              <w:t>56.7</w:t>
            </w:r>
          </w:p>
        </w:tc>
        <w:tc>
          <w:tcPr>
            <w:tcW w:w="360" w:type="dxa"/>
            <w:vAlign w:val="bottom"/>
          </w:tcPr>
          <w:p>
            <w:pPr>
              <w:spacing w:after="0"/>
              <w:rPr>
                <w:sz w:val="24"/>
                <w:szCs w:val="24"/>
                <w:color w:val="auto"/>
              </w:rPr>
            </w:pP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231F20"/>
              </w:rPr>
              <w:t>62.5</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51.5</w:t>
            </w:r>
          </w:p>
        </w:tc>
      </w:tr>
      <w:tr>
        <w:trPr>
          <w:trHeight w:val="294"/>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Other locations operations</w:t>
            </w:r>
          </w:p>
        </w:tc>
        <w:tc>
          <w:tcPr>
            <w:tcW w:w="32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jc w:val="right"/>
              <w:ind w:right="25"/>
              <w:spacing w:after="0"/>
              <w:rPr>
                <w:sz w:val="20"/>
                <w:szCs w:val="20"/>
                <w:color w:val="auto"/>
              </w:rPr>
            </w:pPr>
            <w:r>
              <w:rPr>
                <w:rFonts w:ascii="Times New Roman" w:cs="Times New Roman" w:eastAsia="Times New Roman" w:hAnsi="Times New Roman"/>
                <w:sz w:val="19"/>
                <w:szCs w:val="19"/>
                <w:b w:val="1"/>
                <w:bCs w:val="1"/>
                <w:color w:val="231F20"/>
              </w:rPr>
              <w:t>265.3</w:t>
            </w:r>
          </w:p>
        </w:tc>
        <w:tc>
          <w:tcPr>
            <w:tcW w:w="36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19"/>
                <w:szCs w:val="19"/>
                <w:color w:val="231F20"/>
              </w:rPr>
              <w:t>174.2</w:t>
            </w:r>
          </w:p>
        </w:tc>
        <w:tc>
          <w:tcPr>
            <w:tcW w:w="38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159.4</w:t>
            </w:r>
          </w:p>
        </w:tc>
      </w:tr>
      <w:tr>
        <w:trPr>
          <w:trHeight w:val="276"/>
        </w:trPr>
        <w:tc>
          <w:tcPr>
            <w:tcW w:w="5820" w:type="dxa"/>
            <w:vAlign w:val="bottom"/>
          </w:tcPr>
          <w:p>
            <w:pPr>
              <w:spacing w:after="0"/>
              <w:rPr>
                <w:sz w:val="23"/>
                <w:szCs w:val="23"/>
                <w:color w:val="auto"/>
              </w:rPr>
            </w:pPr>
          </w:p>
        </w:tc>
        <w:tc>
          <w:tcPr>
            <w:tcW w:w="320" w:type="dxa"/>
            <w:vAlign w:val="bottom"/>
            <w:tcBorders>
              <w:bottom w:val="single" w:sz="8" w:color="231F20"/>
            </w:tcBorders>
          </w:tcPr>
          <w:p>
            <w:pPr>
              <w:jc w:val="right"/>
              <w:ind w:right="63"/>
              <w:spacing w:after="0"/>
              <w:rPr>
                <w:sz w:val="20"/>
                <w:szCs w:val="20"/>
                <w:color w:val="auto"/>
              </w:rPr>
            </w:pPr>
            <w:r>
              <w:rPr>
                <w:rFonts w:ascii="Times New Roman" w:cs="Times New Roman" w:eastAsia="Times New Roman" w:hAnsi="Times New Roman"/>
                <w:sz w:val="19"/>
                <w:szCs w:val="19"/>
                <w:b w:val="1"/>
                <w:bCs w:val="1"/>
                <w:color w:val="231F20"/>
              </w:rPr>
              <w:t>$</w:t>
            </w:r>
          </w:p>
        </w:tc>
        <w:tc>
          <w:tcPr>
            <w:tcW w:w="1040" w:type="dxa"/>
            <w:vAlign w:val="bottom"/>
            <w:tcBorders>
              <w:bottom w:val="single" w:sz="8" w:color="231F20"/>
            </w:tcBorders>
          </w:tcPr>
          <w:p>
            <w:pPr>
              <w:jc w:val="right"/>
              <w:ind w:right="25"/>
              <w:spacing w:after="0"/>
              <w:rPr>
                <w:sz w:val="20"/>
                <w:szCs w:val="20"/>
                <w:color w:val="auto"/>
              </w:rPr>
            </w:pPr>
            <w:r>
              <w:rPr>
                <w:rFonts w:ascii="Times New Roman" w:cs="Times New Roman" w:eastAsia="Times New Roman" w:hAnsi="Times New Roman"/>
                <w:sz w:val="19"/>
                <w:szCs w:val="19"/>
                <w:b w:val="1"/>
                <w:bCs w:val="1"/>
                <w:color w:val="231F20"/>
              </w:rPr>
              <w:t>1,047.3</w:t>
            </w:r>
          </w:p>
        </w:tc>
        <w:tc>
          <w:tcPr>
            <w:tcW w:w="360" w:type="dxa"/>
            <w:vAlign w:val="bottom"/>
            <w:tcBorders>
              <w:bottom w:val="single" w:sz="8" w:color="231F20"/>
            </w:tcBorders>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2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19"/>
                <w:szCs w:val="19"/>
                <w:color w:val="231F20"/>
              </w:rPr>
              <w:t>796.2</w:t>
            </w:r>
          </w:p>
        </w:tc>
        <w:tc>
          <w:tcPr>
            <w:tcW w:w="380" w:type="dxa"/>
            <w:vAlign w:val="bottom"/>
            <w:tcBorders>
              <w:bottom w:val="single" w:sz="8" w:color="231F20"/>
            </w:tcBorders>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702.8</w:t>
            </w:r>
          </w:p>
        </w:tc>
      </w:tr>
    </w:tbl>
    <w:p>
      <w:pPr>
        <w:spacing w:after="0" w:line="140" w:lineRule="exact"/>
        <w:rPr>
          <w:sz w:val="20"/>
          <w:szCs w:val="20"/>
          <w:color w:val="auto"/>
        </w:rPr>
      </w:pPr>
    </w:p>
    <w:p>
      <w:pPr>
        <w:ind w:right="820" w:firstLine="398"/>
        <w:spacing w:after="0" w:line="291" w:lineRule="auto"/>
        <w:rPr>
          <w:sz w:val="20"/>
          <w:szCs w:val="20"/>
          <w:color w:val="auto"/>
        </w:rPr>
      </w:pPr>
      <w:r>
        <w:rPr>
          <w:rFonts w:ascii="Times New Roman" w:cs="Times New Roman" w:eastAsia="Times New Roman" w:hAnsi="Times New Roman"/>
          <w:sz w:val="19"/>
          <w:szCs w:val="19"/>
          <w:color w:val="231F20"/>
        </w:rPr>
        <w:t>The components of the provision for income taxes related to income from continuing operations consisted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20" w:type="dxa"/>
            <w:vAlign w:val="bottom"/>
          </w:tcPr>
          <w:p>
            <w:pPr>
              <w:ind w:left="180"/>
              <w:spacing w:after="0"/>
              <w:rPr>
                <w:sz w:val="20"/>
                <w:szCs w:val="20"/>
                <w:color w:val="auto"/>
              </w:rPr>
            </w:pPr>
            <w:r>
              <w:rPr>
                <w:rFonts w:ascii="Times New Roman" w:cs="Times New Roman" w:eastAsia="Times New Roman" w:hAnsi="Times New Roman"/>
                <w:sz w:val="17"/>
                <w:szCs w:val="17"/>
                <w:color w:val="231F20"/>
              </w:rPr>
              <w:t>(in millions)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5820" w:type="dxa"/>
            <w:vAlign w:val="bottom"/>
            <w:tcBorders>
              <w:bottom w:val="single" w:sz="8" w:color="231F20"/>
            </w:tcBorders>
          </w:tcPr>
          <w:p>
            <w:pPr>
              <w:ind w:left="180"/>
              <w:spacing w:after="0"/>
              <w:rPr>
                <w:sz w:val="20"/>
                <w:szCs w:val="20"/>
                <w:color w:val="auto"/>
              </w:rPr>
            </w:pPr>
            <w:r>
              <w:rPr>
                <w:rFonts w:ascii="Times New Roman" w:cs="Times New Roman" w:eastAsia="Times New Roman" w:hAnsi="Times New Roman"/>
                <w:sz w:val="17"/>
                <w:szCs w:val="17"/>
                <w:color w:val="231F20"/>
              </w:rPr>
              <w:t>Years Ended March 31,</w:t>
            </w:r>
          </w:p>
        </w:tc>
        <w:tc>
          <w:tcPr>
            <w:tcW w:w="32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ind w:right="444"/>
              <w:spacing w:after="0"/>
              <w:rPr>
                <w:sz w:val="20"/>
                <w:szCs w:val="20"/>
                <w:color w:val="auto"/>
              </w:rPr>
            </w:pPr>
            <w:r>
              <w:rPr>
                <w:rFonts w:ascii="Times New Roman" w:cs="Times New Roman" w:eastAsia="Times New Roman" w:hAnsi="Times New Roman"/>
                <w:sz w:val="17"/>
                <w:szCs w:val="17"/>
                <w:color w:val="231F20"/>
              </w:rPr>
              <w:t>2026</w:t>
            </w:r>
          </w:p>
        </w:tc>
        <w:tc>
          <w:tcPr>
            <w:tcW w:w="34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ind w:right="444"/>
              <w:spacing w:after="0"/>
              <w:rPr>
                <w:sz w:val="20"/>
                <w:szCs w:val="20"/>
                <w:color w:val="auto"/>
              </w:rPr>
            </w:pPr>
            <w:r>
              <w:rPr>
                <w:rFonts w:ascii="Times New Roman" w:cs="Times New Roman" w:eastAsia="Times New Roman" w:hAnsi="Times New Roman"/>
                <w:sz w:val="17"/>
                <w:szCs w:val="17"/>
                <w:color w:val="231F20"/>
              </w:rPr>
              <w:t>2025</w:t>
            </w:r>
          </w:p>
        </w:tc>
        <w:tc>
          <w:tcPr>
            <w:tcW w:w="34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jc w:val="right"/>
              <w:ind w:right="384"/>
              <w:spacing w:after="0"/>
              <w:rPr>
                <w:sz w:val="20"/>
                <w:szCs w:val="20"/>
                <w:color w:val="auto"/>
              </w:rPr>
            </w:pPr>
            <w:r>
              <w:rPr>
                <w:rFonts w:ascii="Times New Roman" w:cs="Times New Roman" w:eastAsia="Times New Roman" w:hAnsi="Times New Roman"/>
                <w:sz w:val="17"/>
                <w:szCs w:val="17"/>
                <w:color w:val="231F20"/>
              </w:rPr>
              <w:t>2024</w:t>
            </w:r>
          </w:p>
        </w:tc>
        <w:tc>
          <w:tcPr>
            <w:tcW w:w="0" w:type="dxa"/>
            <w:vAlign w:val="bottom"/>
          </w:tcPr>
          <w:p>
            <w:pPr>
              <w:spacing w:after="0"/>
              <w:rPr>
                <w:sz w:val="1"/>
                <w:szCs w:val="1"/>
                <w:color w:val="auto"/>
              </w:rPr>
            </w:pPr>
          </w:p>
        </w:tc>
      </w:tr>
      <w:tr>
        <w:trPr>
          <w:trHeight w:val="507"/>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231F20"/>
              </w:rPr>
              <w:t>Current:</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8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United States federal</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b w:val="1"/>
                <w:bCs w:val="1"/>
                <w:color w:val="231F20"/>
              </w:rPr>
              <w:t>$</w:t>
            </w: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9"/>
                <w:szCs w:val="19"/>
                <w:b w:val="1"/>
                <w:bCs w:val="1"/>
                <w:color w:val="231F20"/>
              </w:rPr>
              <w:t>162.2</w:t>
            </w: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231F20"/>
              </w:rPr>
              <w:t>145.2</w:t>
            </w: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133.5</w:t>
            </w:r>
          </w:p>
        </w:tc>
        <w:tc>
          <w:tcPr>
            <w:tcW w:w="0" w:type="dxa"/>
            <w:vAlign w:val="bottom"/>
          </w:tcPr>
          <w:p>
            <w:pPr>
              <w:spacing w:after="0"/>
              <w:rPr>
                <w:sz w:val="1"/>
                <w:szCs w:val="1"/>
                <w:color w:val="auto"/>
              </w:rPr>
            </w:pPr>
          </w:p>
        </w:tc>
      </w:tr>
      <w:tr>
        <w:trPr>
          <w:trHeight w:val="291"/>
        </w:trPr>
        <w:tc>
          <w:tcPr>
            <w:tcW w:w="58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United States state and local</w:t>
            </w:r>
          </w:p>
        </w:tc>
        <w:tc>
          <w:tcPr>
            <w:tcW w:w="320" w:type="dxa"/>
            <w:vAlign w:val="bottom"/>
          </w:tcPr>
          <w:p>
            <w:pPr>
              <w:spacing w:after="0"/>
              <w:rPr>
                <w:sz w:val="24"/>
                <w:szCs w:val="24"/>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9"/>
                <w:szCs w:val="19"/>
                <w:b w:val="1"/>
                <w:bCs w:val="1"/>
                <w:color w:val="231F20"/>
              </w:rPr>
              <w:t>38.1</w:t>
            </w:r>
          </w:p>
        </w:tc>
        <w:tc>
          <w:tcPr>
            <w:tcW w:w="340" w:type="dxa"/>
            <w:vAlign w:val="bottom"/>
          </w:tcPr>
          <w:p>
            <w:pPr>
              <w:spacing w:after="0"/>
              <w:rPr>
                <w:sz w:val="24"/>
                <w:szCs w:val="24"/>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231F20"/>
              </w:rPr>
              <w:t>32.4</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26.2</w:t>
            </w:r>
          </w:p>
        </w:tc>
        <w:tc>
          <w:tcPr>
            <w:tcW w:w="0" w:type="dxa"/>
            <w:vAlign w:val="bottom"/>
          </w:tcPr>
          <w:p>
            <w:pPr>
              <w:spacing w:after="0"/>
              <w:rPr>
                <w:sz w:val="1"/>
                <w:szCs w:val="1"/>
                <w:color w:val="auto"/>
              </w:rPr>
            </w:pPr>
          </w:p>
        </w:tc>
      </w:tr>
      <w:tr>
        <w:trPr>
          <w:trHeight w:val="291"/>
        </w:trPr>
        <w:tc>
          <w:tcPr>
            <w:tcW w:w="58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Ireland</w:t>
            </w:r>
          </w:p>
        </w:tc>
        <w:tc>
          <w:tcPr>
            <w:tcW w:w="320" w:type="dxa"/>
            <w:vAlign w:val="bottom"/>
          </w:tcPr>
          <w:p>
            <w:pPr>
              <w:spacing w:after="0"/>
              <w:rPr>
                <w:sz w:val="24"/>
                <w:szCs w:val="24"/>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9"/>
                <w:szCs w:val="19"/>
                <w:b w:val="1"/>
                <w:bCs w:val="1"/>
                <w:color w:val="231F20"/>
              </w:rPr>
              <w:t>17.6</w:t>
            </w:r>
          </w:p>
        </w:tc>
        <w:tc>
          <w:tcPr>
            <w:tcW w:w="340" w:type="dxa"/>
            <w:vAlign w:val="bottom"/>
          </w:tcPr>
          <w:p>
            <w:pPr>
              <w:spacing w:after="0"/>
              <w:rPr>
                <w:sz w:val="24"/>
                <w:szCs w:val="24"/>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231F20"/>
              </w:rPr>
              <w:t>12.9</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7.6</w:t>
            </w:r>
          </w:p>
        </w:tc>
        <w:tc>
          <w:tcPr>
            <w:tcW w:w="0" w:type="dxa"/>
            <w:vAlign w:val="bottom"/>
          </w:tcPr>
          <w:p>
            <w:pPr>
              <w:spacing w:after="0"/>
              <w:rPr>
                <w:sz w:val="1"/>
                <w:szCs w:val="1"/>
                <w:color w:val="auto"/>
              </w:rPr>
            </w:pPr>
          </w:p>
        </w:tc>
      </w:tr>
      <w:tr>
        <w:trPr>
          <w:trHeight w:val="294"/>
        </w:trPr>
        <w:tc>
          <w:tcPr>
            <w:tcW w:w="58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Other locations</w:t>
            </w:r>
          </w:p>
        </w:tc>
        <w:tc>
          <w:tcPr>
            <w:tcW w:w="32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ind w:right="44"/>
              <w:spacing w:after="0"/>
              <w:rPr>
                <w:sz w:val="20"/>
                <w:szCs w:val="20"/>
                <w:color w:val="auto"/>
              </w:rPr>
            </w:pPr>
            <w:r>
              <w:rPr>
                <w:rFonts w:ascii="Times New Roman" w:cs="Times New Roman" w:eastAsia="Times New Roman" w:hAnsi="Times New Roman"/>
                <w:sz w:val="19"/>
                <w:szCs w:val="19"/>
                <w:b w:val="1"/>
                <w:bCs w:val="1"/>
                <w:color w:val="231F20"/>
              </w:rPr>
              <w:t>61.2</w:t>
            </w:r>
          </w:p>
        </w:tc>
        <w:tc>
          <w:tcPr>
            <w:tcW w:w="34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ind w:right="44"/>
              <w:spacing w:after="0"/>
              <w:rPr>
                <w:sz w:val="20"/>
                <w:szCs w:val="20"/>
                <w:color w:val="auto"/>
              </w:rPr>
            </w:pPr>
            <w:r>
              <w:rPr>
                <w:rFonts w:ascii="Times New Roman" w:cs="Times New Roman" w:eastAsia="Times New Roman" w:hAnsi="Times New Roman"/>
                <w:sz w:val="19"/>
                <w:szCs w:val="19"/>
                <w:color w:val="231F20"/>
              </w:rPr>
              <w:t>51.3</w:t>
            </w:r>
          </w:p>
        </w:tc>
        <w:tc>
          <w:tcPr>
            <w:tcW w:w="34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51.3</w:t>
            </w:r>
          </w:p>
        </w:tc>
        <w:tc>
          <w:tcPr>
            <w:tcW w:w="0" w:type="dxa"/>
            <w:vAlign w:val="bottom"/>
          </w:tcPr>
          <w:p>
            <w:pPr>
              <w:spacing w:after="0"/>
              <w:rPr>
                <w:sz w:val="1"/>
                <w:szCs w:val="1"/>
                <w:color w:val="auto"/>
              </w:rPr>
            </w:pPr>
          </w:p>
        </w:tc>
      </w:tr>
      <w:tr>
        <w:trPr>
          <w:trHeight w:val="271"/>
        </w:trPr>
        <w:tc>
          <w:tcPr>
            <w:tcW w:w="5820" w:type="dxa"/>
            <w:vAlign w:val="bottom"/>
            <w:vMerge w:val="restart"/>
          </w:tcPr>
          <w:p>
            <w:pPr>
              <w:ind w:left="400"/>
              <w:spacing w:after="0"/>
              <w:rPr>
                <w:sz w:val="20"/>
                <w:szCs w:val="20"/>
                <w:color w:val="auto"/>
              </w:rPr>
            </w:pPr>
            <w:r>
              <w:rPr>
                <w:rFonts w:ascii="Times New Roman" w:cs="Times New Roman" w:eastAsia="Times New Roman" w:hAnsi="Times New Roman"/>
                <w:sz w:val="19"/>
                <w:szCs w:val="19"/>
                <w:b w:val="1"/>
                <w:bCs w:val="1"/>
                <w:color w:val="231F20"/>
              </w:rPr>
              <w:t>Deferred:</w:t>
            </w:r>
          </w:p>
        </w:tc>
        <w:tc>
          <w:tcPr>
            <w:tcW w:w="320" w:type="dxa"/>
            <w:vAlign w:val="bottom"/>
            <w:tcBorders>
              <w:bottom w:val="single" w:sz="8" w:color="231F20"/>
            </w:tcBorders>
          </w:tcPr>
          <w:p>
            <w:pPr>
              <w:spacing w:after="0"/>
              <w:rPr>
                <w:sz w:val="23"/>
                <w:szCs w:val="23"/>
                <w:color w:val="auto"/>
              </w:rPr>
            </w:pPr>
          </w:p>
        </w:tc>
        <w:tc>
          <w:tcPr>
            <w:tcW w:w="1060" w:type="dxa"/>
            <w:vAlign w:val="bottom"/>
            <w:tcBorders>
              <w:bottom w:val="single" w:sz="8" w:color="231F20"/>
            </w:tcBorders>
          </w:tcPr>
          <w:p>
            <w:pPr>
              <w:jc w:val="right"/>
              <w:ind w:right="44"/>
              <w:spacing w:after="0"/>
              <w:rPr>
                <w:sz w:val="20"/>
                <w:szCs w:val="20"/>
                <w:color w:val="auto"/>
              </w:rPr>
            </w:pPr>
            <w:r>
              <w:rPr>
                <w:rFonts w:ascii="Times New Roman" w:cs="Times New Roman" w:eastAsia="Times New Roman" w:hAnsi="Times New Roman"/>
                <w:sz w:val="19"/>
                <w:szCs w:val="19"/>
                <w:b w:val="1"/>
                <w:bCs w:val="1"/>
                <w:color w:val="231F20"/>
              </w:rPr>
              <w:t>279.1</w:t>
            </w:r>
          </w:p>
        </w:tc>
        <w:tc>
          <w:tcPr>
            <w:tcW w:w="340" w:type="dxa"/>
            <w:vAlign w:val="bottom"/>
            <w:tcBorders>
              <w:bottom w:val="single" w:sz="8" w:color="231F20"/>
            </w:tcBorders>
          </w:tcPr>
          <w:p>
            <w:pPr>
              <w:spacing w:after="0"/>
              <w:rPr>
                <w:sz w:val="23"/>
                <w:szCs w:val="23"/>
                <w:color w:val="auto"/>
              </w:rPr>
            </w:pPr>
          </w:p>
        </w:tc>
        <w:tc>
          <w:tcPr>
            <w:tcW w:w="1060" w:type="dxa"/>
            <w:vAlign w:val="bottom"/>
            <w:tcBorders>
              <w:bottom w:val="single" w:sz="8" w:color="231F20"/>
            </w:tcBorders>
          </w:tcPr>
          <w:p>
            <w:pPr>
              <w:jc w:val="right"/>
              <w:ind w:right="44"/>
              <w:spacing w:after="0"/>
              <w:rPr>
                <w:sz w:val="20"/>
                <w:szCs w:val="20"/>
                <w:color w:val="auto"/>
              </w:rPr>
            </w:pPr>
            <w:r>
              <w:rPr>
                <w:rFonts w:ascii="Times New Roman" w:cs="Times New Roman" w:eastAsia="Times New Roman" w:hAnsi="Times New Roman"/>
                <w:sz w:val="19"/>
                <w:szCs w:val="19"/>
                <w:color w:val="231F20"/>
              </w:rPr>
              <w:t>241.7</w:t>
            </w:r>
          </w:p>
        </w:tc>
        <w:tc>
          <w:tcPr>
            <w:tcW w:w="340" w:type="dxa"/>
            <w:vAlign w:val="bottom"/>
            <w:tcBorders>
              <w:bottom w:val="single" w:sz="8" w:color="231F20"/>
            </w:tcBorders>
          </w:tcPr>
          <w:p>
            <w:pPr>
              <w:spacing w:after="0"/>
              <w:rPr>
                <w:sz w:val="23"/>
                <w:szCs w:val="23"/>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218.7</w:t>
            </w:r>
          </w:p>
        </w:tc>
        <w:tc>
          <w:tcPr>
            <w:tcW w:w="0" w:type="dxa"/>
            <w:vAlign w:val="bottom"/>
          </w:tcPr>
          <w:p>
            <w:pPr>
              <w:spacing w:after="0"/>
              <w:rPr>
                <w:sz w:val="1"/>
                <w:szCs w:val="1"/>
                <w:color w:val="auto"/>
              </w:rPr>
            </w:pPr>
          </w:p>
        </w:tc>
      </w:tr>
      <w:tr>
        <w:trPr>
          <w:trHeight w:val="231"/>
        </w:trPr>
        <w:tc>
          <w:tcPr>
            <w:tcW w:w="58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4"/>
        </w:trPr>
        <w:tc>
          <w:tcPr>
            <w:tcW w:w="58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United States federal</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(8.3)</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(43.1)</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(43.5)</w:t>
            </w:r>
          </w:p>
        </w:tc>
        <w:tc>
          <w:tcPr>
            <w:tcW w:w="0" w:type="dxa"/>
            <w:vAlign w:val="bottom"/>
          </w:tcPr>
          <w:p>
            <w:pPr>
              <w:spacing w:after="0"/>
              <w:rPr>
                <w:sz w:val="1"/>
                <w:szCs w:val="1"/>
                <w:color w:val="auto"/>
              </w:rPr>
            </w:pPr>
          </w:p>
        </w:tc>
      </w:tr>
      <w:tr>
        <w:trPr>
          <w:trHeight w:val="291"/>
        </w:trPr>
        <w:tc>
          <w:tcPr>
            <w:tcW w:w="58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United States state and local</w:t>
            </w:r>
          </w:p>
        </w:tc>
        <w:tc>
          <w:tcPr>
            <w:tcW w:w="320" w:type="dxa"/>
            <w:vAlign w:val="bottom"/>
          </w:tcPr>
          <w:p>
            <w:pPr>
              <w:spacing w:after="0"/>
              <w:rPr>
                <w:sz w:val="24"/>
                <w:szCs w:val="24"/>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9"/>
                <w:szCs w:val="19"/>
                <w:b w:val="1"/>
                <w:bCs w:val="1"/>
                <w:color w:val="231F20"/>
              </w:rPr>
              <w:t>0.9</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(5.0)</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(11.2)</w:t>
            </w:r>
          </w:p>
        </w:tc>
        <w:tc>
          <w:tcPr>
            <w:tcW w:w="0" w:type="dxa"/>
            <w:vAlign w:val="bottom"/>
          </w:tcPr>
          <w:p>
            <w:pPr>
              <w:spacing w:after="0"/>
              <w:rPr>
                <w:sz w:val="1"/>
                <w:szCs w:val="1"/>
                <w:color w:val="auto"/>
              </w:rPr>
            </w:pPr>
          </w:p>
        </w:tc>
      </w:tr>
      <w:tr>
        <w:trPr>
          <w:trHeight w:val="291"/>
        </w:trPr>
        <w:tc>
          <w:tcPr>
            <w:tcW w:w="58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Ireland</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(0.2)</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(0.6)</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(0.9)</w:t>
            </w:r>
          </w:p>
        </w:tc>
        <w:tc>
          <w:tcPr>
            <w:tcW w:w="0" w:type="dxa"/>
            <w:vAlign w:val="bottom"/>
          </w:tcPr>
          <w:p>
            <w:pPr>
              <w:spacing w:after="0"/>
              <w:rPr>
                <w:sz w:val="1"/>
                <w:szCs w:val="1"/>
                <w:color w:val="auto"/>
              </w:rPr>
            </w:pPr>
          </w:p>
        </w:tc>
      </w:tr>
      <w:tr>
        <w:trPr>
          <w:trHeight w:val="294"/>
        </w:trPr>
        <w:tc>
          <w:tcPr>
            <w:tcW w:w="58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Other locations</w:t>
            </w:r>
          </w:p>
        </w:tc>
        <w:tc>
          <w:tcPr>
            <w:tcW w:w="32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(9.3)</w:t>
            </w:r>
          </w:p>
        </w:tc>
        <w:tc>
          <w:tcPr>
            <w:tcW w:w="34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(8.3)</w:t>
            </w:r>
          </w:p>
        </w:tc>
        <w:tc>
          <w:tcPr>
            <w:tcW w:w="34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(13.5)</w:t>
            </w:r>
          </w:p>
        </w:tc>
        <w:tc>
          <w:tcPr>
            <w:tcW w:w="0" w:type="dxa"/>
            <w:vAlign w:val="bottom"/>
          </w:tcPr>
          <w:p>
            <w:pPr>
              <w:spacing w:after="0"/>
              <w:rPr>
                <w:sz w:val="1"/>
                <w:szCs w:val="1"/>
                <w:color w:val="auto"/>
              </w:rPr>
            </w:pPr>
          </w:p>
        </w:tc>
      </w:tr>
      <w:tr>
        <w:trPr>
          <w:trHeight w:val="271"/>
        </w:trPr>
        <w:tc>
          <w:tcPr>
            <w:tcW w:w="5820" w:type="dxa"/>
            <w:vAlign w:val="bottom"/>
            <w:vMerge w:val="restart"/>
          </w:tcPr>
          <w:p>
            <w:pPr>
              <w:ind w:left="400"/>
              <w:spacing w:after="0"/>
              <w:rPr>
                <w:sz w:val="20"/>
                <w:szCs w:val="20"/>
                <w:color w:val="auto"/>
              </w:rPr>
            </w:pPr>
            <w:r>
              <w:rPr>
                <w:rFonts w:ascii="Times New Roman" w:cs="Times New Roman" w:eastAsia="Times New Roman" w:hAnsi="Times New Roman"/>
                <w:sz w:val="19"/>
                <w:szCs w:val="19"/>
                <w:b w:val="1"/>
                <w:bCs w:val="1"/>
                <w:color w:val="231F20"/>
              </w:rPr>
              <w:t>Total Provision for Income Taxes</w:t>
            </w:r>
          </w:p>
        </w:tc>
        <w:tc>
          <w:tcPr>
            <w:tcW w:w="320" w:type="dxa"/>
            <w:vAlign w:val="bottom"/>
            <w:tcBorders>
              <w:bottom w:val="single" w:sz="8" w:color="231F20"/>
            </w:tcBorders>
          </w:tcPr>
          <w:p>
            <w:pPr>
              <w:spacing w:after="0"/>
              <w:rPr>
                <w:sz w:val="23"/>
                <w:szCs w:val="23"/>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(16.9)</w:t>
            </w:r>
          </w:p>
        </w:tc>
        <w:tc>
          <w:tcPr>
            <w:tcW w:w="340" w:type="dxa"/>
            <w:vAlign w:val="bottom"/>
            <w:tcBorders>
              <w:bottom w:val="single" w:sz="8" w:color="231F20"/>
            </w:tcBorders>
          </w:tcPr>
          <w:p>
            <w:pPr>
              <w:spacing w:after="0"/>
              <w:rPr>
                <w:sz w:val="23"/>
                <w:szCs w:val="23"/>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(57.1)</w:t>
            </w:r>
          </w:p>
        </w:tc>
        <w:tc>
          <w:tcPr>
            <w:tcW w:w="340" w:type="dxa"/>
            <w:vAlign w:val="bottom"/>
            <w:tcBorders>
              <w:bottom w:val="single" w:sz="8" w:color="231F20"/>
            </w:tcBorders>
          </w:tcPr>
          <w:p>
            <w:pPr>
              <w:spacing w:after="0"/>
              <w:rPr>
                <w:sz w:val="23"/>
                <w:szCs w:val="23"/>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(69.1)</w:t>
            </w:r>
          </w:p>
        </w:tc>
        <w:tc>
          <w:tcPr>
            <w:tcW w:w="0" w:type="dxa"/>
            <w:vAlign w:val="bottom"/>
          </w:tcPr>
          <w:p>
            <w:pPr>
              <w:spacing w:after="0"/>
              <w:rPr>
                <w:sz w:val="1"/>
                <w:szCs w:val="1"/>
                <w:color w:val="auto"/>
              </w:rPr>
            </w:pPr>
          </w:p>
        </w:tc>
      </w:tr>
      <w:tr>
        <w:trPr>
          <w:trHeight w:val="276"/>
        </w:trPr>
        <w:tc>
          <w:tcPr>
            <w:tcW w:w="5820" w:type="dxa"/>
            <w:vAlign w:val="bottom"/>
            <w:vMerge w:val="continue"/>
          </w:tcPr>
          <w:p>
            <w:pPr>
              <w:spacing w:after="0"/>
              <w:rPr>
                <w:sz w:val="23"/>
                <w:szCs w:val="23"/>
                <w:color w:val="auto"/>
              </w:rPr>
            </w:pPr>
          </w:p>
        </w:tc>
        <w:tc>
          <w:tcPr>
            <w:tcW w:w="320" w:type="dxa"/>
            <w:vAlign w:val="bottom"/>
            <w:tcBorders>
              <w:bottom w:val="single" w:sz="8" w:color="231F20"/>
            </w:tcBorders>
          </w:tcPr>
          <w:p>
            <w:pPr>
              <w:jc w:val="right"/>
              <w:ind w:right="63"/>
              <w:spacing w:after="0"/>
              <w:rPr>
                <w:sz w:val="20"/>
                <w:szCs w:val="20"/>
                <w:color w:val="auto"/>
              </w:rPr>
            </w:pPr>
            <w:r>
              <w:rPr>
                <w:rFonts w:ascii="Times New Roman" w:cs="Times New Roman" w:eastAsia="Times New Roman" w:hAnsi="Times New Roman"/>
                <w:sz w:val="19"/>
                <w:szCs w:val="19"/>
                <w:b w:val="1"/>
                <w:bCs w:val="1"/>
                <w:color w:val="231F20"/>
              </w:rPr>
              <w:t>$</w:t>
            </w:r>
          </w:p>
        </w:tc>
        <w:tc>
          <w:tcPr>
            <w:tcW w:w="1060" w:type="dxa"/>
            <w:vAlign w:val="bottom"/>
            <w:tcBorders>
              <w:bottom w:val="single" w:sz="8" w:color="231F20"/>
            </w:tcBorders>
          </w:tcPr>
          <w:p>
            <w:pPr>
              <w:jc w:val="right"/>
              <w:ind w:right="44"/>
              <w:spacing w:after="0"/>
              <w:rPr>
                <w:sz w:val="20"/>
                <w:szCs w:val="20"/>
                <w:color w:val="auto"/>
              </w:rPr>
            </w:pPr>
            <w:r>
              <w:rPr>
                <w:rFonts w:ascii="Times New Roman" w:cs="Times New Roman" w:eastAsia="Times New Roman" w:hAnsi="Times New Roman"/>
                <w:sz w:val="19"/>
                <w:szCs w:val="19"/>
                <w:b w:val="1"/>
                <w:bCs w:val="1"/>
                <w:color w:val="231F20"/>
              </w:rPr>
              <w:t>262.2</w:t>
            </w:r>
          </w:p>
        </w:tc>
        <w:tc>
          <w:tcPr>
            <w:tcW w:w="340" w:type="dxa"/>
            <w:vAlign w:val="bottom"/>
            <w:tcBorders>
              <w:bottom w:val="single" w:sz="8" w:color="231F20"/>
            </w:tcBorders>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60" w:type="dxa"/>
            <w:vAlign w:val="bottom"/>
            <w:tcBorders>
              <w:bottom w:val="single" w:sz="8" w:color="231F20"/>
            </w:tcBorders>
          </w:tcPr>
          <w:p>
            <w:pPr>
              <w:jc w:val="right"/>
              <w:ind w:right="44"/>
              <w:spacing w:after="0"/>
              <w:rPr>
                <w:sz w:val="20"/>
                <w:szCs w:val="20"/>
                <w:color w:val="auto"/>
              </w:rPr>
            </w:pPr>
            <w:r>
              <w:rPr>
                <w:rFonts w:ascii="Times New Roman" w:cs="Times New Roman" w:eastAsia="Times New Roman" w:hAnsi="Times New Roman"/>
                <w:sz w:val="19"/>
                <w:szCs w:val="19"/>
                <w:color w:val="231F20"/>
              </w:rPr>
              <w:t>184.7</w:t>
            </w:r>
          </w:p>
        </w:tc>
        <w:tc>
          <w:tcPr>
            <w:tcW w:w="340" w:type="dxa"/>
            <w:vAlign w:val="bottom"/>
            <w:tcBorders>
              <w:bottom w:val="single" w:sz="8" w:color="231F20"/>
            </w:tcBorders>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149.5</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b w:val="1"/>
          <w:bCs w:val="1"/>
          <w:color w:val="231F20"/>
        </w:rPr>
        <w:t xml:space="preserve">Unrecognized Tax Benefits. </w:t>
      </w:r>
      <w:r>
        <w:rPr>
          <w:rFonts w:ascii="Times New Roman" w:cs="Times New Roman" w:eastAsia="Times New Roman" w:hAnsi="Times New Roman"/>
          <w:sz w:val="19"/>
          <w:szCs w:val="19"/>
          <w:color w:val="231F20"/>
        </w:rPr>
        <w:t>We classify uncertain tax positions and related interest and penalties as long-term liabilities</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within “Other liabilities” in our accompanying Consolidated Balance Sheets, unless they are expected to be paid within 12 months, in which case, the uncertain tax positions would be classified as Current liabilities within the "Accrued income taxes" line in our accompanying Consolidated Balance Sheets. We recognize interest and penalties related to unrecognized tax benefits within the “Income tax expense” line in our accompanying Consolidated Statements of Income.</w:t>
      </w:r>
    </w:p>
    <w:p>
      <w:pPr>
        <w:spacing w:after="0" w:line="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A reconciliation of the beginning and ending balances of the total amounts of unrecognized tax benefits is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22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9"/>
                <w:szCs w:val="19"/>
                <w:color w:val="231F20"/>
              </w:rPr>
              <w:t>(in millions)</w:t>
            </w:r>
          </w:p>
        </w:tc>
        <w:tc>
          <w:tcPr>
            <w:tcW w:w="32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tcBorders>
          </w:tcPr>
          <w:p>
            <w:pPr>
              <w:jc w:val="right"/>
              <w:ind w:right="445"/>
              <w:spacing w:after="0"/>
              <w:rPr>
                <w:sz w:val="20"/>
                <w:szCs w:val="20"/>
                <w:color w:val="auto"/>
              </w:rPr>
            </w:pPr>
            <w:r>
              <w:rPr>
                <w:rFonts w:ascii="Times New Roman" w:cs="Times New Roman" w:eastAsia="Times New Roman" w:hAnsi="Times New Roman"/>
                <w:sz w:val="17"/>
                <w:szCs w:val="17"/>
                <w:color w:val="231F20"/>
              </w:rPr>
              <w:t>2026</w:t>
            </w:r>
          </w:p>
        </w:tc>
        <w:tc>
          <w:tcPr>
            <w:tcW w:w="34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tcPr>
          <w:p>
            <w:pPr>
              <w:jc w:val="right"/>
              <w:ind w:right="385"/>
              <w:spacing w:after="0"/>
              <w:rPr>
                <w:sz w:val="20"/>
                <w:szCs w:val="20"/>
                <w:color w:val="auto"/>
              </w:rPr>
            </w:pPr>
            <w:r>
              <w:rPr>
                <w:rFonts w:ascii="Times New Roman" w:cs="Times New Roman" w:eastAsia="Times New Roman" w:hAnsi="Times New Roman"/>
                <w:sz w:val="17"/>
                <w:szCs w:val="17"/>
                <w:color w:val="231F20"/>
              </w:rPr>
              <w:t>2025</w:t>
            </w:r>
          </w:p>
        </w:tc>
      </w:tr>
      <w:tr>
        <w:trPr>
          <w:trHeight w:val="269"/>
        </w:trPr>
        <w:tc>
          <w:tcPr>
            <w:tcW w:w="72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Unrecognized Tax Benefits Balance at April 1</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b w:val="1"/>
                <w:bCs w:val="1"/>
                <w:color w:val="231F20"/>
              </w:rPr>
              <w:t>$</w:t>
            </w:r>
          </w:p>
        </w:tc>
        <w:tc>
          <w:tcPr>
            <w:tcW w:w="1060" w:type="dxa"/>
            <w:vAlign w:val="bottom"/>
          </w:tcPr>
          <w:p>
            <w:pPr>
              <w:jc w:val="right"/>
              <w:ind w:right="45"/>
              <w:spacing w:after="0"/>
              <w:rPr>
                <w:sz w:val="20"/>
                <w:szCs w:val="20"/>
                <w:color w:val="auto"/>
              </w:rPr>
            </w:pPr>
            <w:r>
              <w:rPr>
                <w:rFonts w:ascii="Times New Roman" w:cs="Times New Roman" w:eastAsia="Times New Roman" w:hAnsi="Times New Roman"/>
                <w:sz w:val="19"/>
                <w:szCs w:val="19"/>
                <w:b w:val="1"/>
                <w:bCs w:val="1"/>
                <w:color w:val="231F20"/>
              </w:rPr>
              <w:t>1.8</w:t>
            </w: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2.2</w:t>
            </w:r>
          </w:p>
        </w:tc>
      </w:tr>
      <w:tr>
        <w:trPr>
          <w:trHeight w:val="291"/>
        </w:trPr>
        <w:tc>
          <w:tcPr>
            <w:tcW w:w="72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Increases for tax provisions of current year</w:t>
            </w:r>
          </w:p>
        </w:tc>
        <w:tc>
          <w:tcPr>
            <w:tcW w:w="320" w:type="dxa"/>
            <w:vAlign w:val="bottom"/>
          </w:tcPr>
          <w:p>
            <w:pPr>
              <w:spacing w:after="0"/>
              <w:rPr>
                <w:sz w:val="24"/>
                <w:szCs w:val="24"/>
                <w:color w:val="auto"/>
              </w:rPr>
            </w:pPr>
          </w:p>
        </w:tc>
        <w:tc>
          <w:tcPr>
            <w:tcW w:w="106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231F20"/>
              </w:rPr>
              <w:t>—</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r>
      <w:tr>
        <w:trPr>
          <w:trHeight w:val="294"/>
        </w:trPr>
        <w:tc>
          <w:tcPr>
            <w:tcW w:w="72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Decreases for tax provisions of prior year</w:t>
            </w:r>
          </w:p>
        </w:tc>
        <w:tc>
          <w:tcPr>
            <w:tcW w:w="32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(1.6)</w:t>
            </w:r>
          </w:p>
        </w:tc>
        <w:tc>
          <w:tcPr>
            <w:tcW w:w="34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(0.3)</w:t>
            </w:r>
          </w:p>
        </w:tc>
      </w:tr>
      <w:tr>
        <w:trPr>
          <w:trHeight w:val="276"/>
        </w:trPr>
        <w:tc>
          <w:tcPr>
            <w:tcW w:w="72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Unrecognized Tax Benefits Balance at March 31</w:t>
            </w:r>
          </w:p>
        </w:tc>
        <w:tc>
          <w:tcPr>
            <w:tcW w:w="320" w:type="dxa"/>
            <w:vAlign w:val="bottom"/>
            <w:tcBorders>
              <w:bottom w:val="single" w:sz="8" w:color="231F20"/>
            </w:tcBorders>
          </w:tcPr>
          <w:p>
            <w:pPr>
              <w:jc w:val="right"/>
              <w:ind w:right="63"/>
              <w:spacing w:after="0"/>
              <w:rPr>
                <w:sz w:val="20"/>
                <w:szCs w:val="20"/>
                <w:color w:val="auto"/>
              </w:rPr>
            </w:pPr>
            <w:r>
              <w:rPr>
                <w:rFonts w:ascii="Times New Roman" w:cs="Times New Roman" w:eastAsia="Times New Roman" w:hAnsi="Times New Roman"/>
                <w:sz w:val="19"/>
                <w:szCs w:val="19"/>
                <w:b w:val="1"/>
                <w:bCs w:val="1"/>
                <w:color w:val="231F20"/>
              </w:rPr>
              <w:t>$</w:t>
            </w:r>
          </w:p>
        </w:tc>
        <w:tc>
          <w:tcPr>
            <w:tcW w:w="1060" w:type="dxa"/>
            <w:vAlign w:val="bottom"/>
            <w:tcBorders>
              <w:bottom w:val="single" w:sz="8" w:color="231F20"/>
            </w:tcBorders>
          </w:tcPr>
          <w:p>
            <w:pPr>
              <w:jc w:val="right"/>
              <w:ind w:right="45"/>
              <w:spacing w:after="0"/>
              <w:rPr>
                <w:sz w:val="20"/>
                <w:szCs w:val="20"/>
                <w:color w:val="auto"/>
              </w:rPr>
            </w:pPr>
            <w:r>
              <w:rPr>
                <w:rFonts w:ascii="Times New Roman" w:cs="Times New Roman" w:eastAsia="Times New Roman" w:hAnsi="Times New Roman"/>
                <w:sz w:val="19"/>
                <w:szCs w:val="19"/>
                <w:b w:val="1"/>
                <w:bCs w:val="1"/>
                <w:color w:val="231F20"/>
              </w:rPr>
              <w:t>0.2</w:t>
            </w:r>
          </w:p>
        </w:tc>
        <w:tc>
          <w:tcPr>
            <w:tcW w:w="340" w:type="dxa"/>
            <w:vAlign w:val="bottom"/>
            <w:tcBorders>
              <w:bottom w:val="single" w:sz="8" w:color="231F20"/>
            </w:tcBorders>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1.8</w:t>
            </w:r>
          </w:p>
        </w:tc>
      </w:tr>
    </w:tbl>
    <w:p>
      <w:pPr>
        <w:spacing w:after="0" w:line="138" w:lineRule="exact"/>
        <w:rPr>
          <w:sz w:val="20"/>
          <w:szCs w:val="20"/>
          <w:color w:val="auto"/>
        </w:rPr>
      </w:pPr>
    </w:p>
    <w:p>
      <w:pPr>
        <w:ind w:firstLine="349"/>
        <w:spacing w:after="0" w:line="268" w:lineRule="auto"/>
        <w:rPr>
          <w:sz w:val="20"/>
          <w:szCs w:val="20"/>
          <w:color w:val="auto"/>
        </w:rPr>
      </w:pPr>
      <w:r>
        <w:rPr>
          <w:rFonts w:ascii="Times New Roman" w:cs="Times New Roman" w:eastAsia="Times New Roman" w:hAnsi="Times New Roman"/>
          <w:sz w:val="19"/>
          <w:szCs w:val="19"/>
          <w:color w:val="231F20"/>
        </w:rPr>
        <w:t>We recognized interest and penalties related to uncertain tax positions in the provision for income taxes. As of March 31, 2026 and 2025, we had $0.1 million accrued for interest and penalties. If all unrecognized tax benefits were recognized, the net impact on the provision for income tax expense would be $0.2 million. The decrease in the balance of unrecognized tax benefits from prior year is due to the expiration of old positions.</w:t>
      </w:r>
    </w:p>
    <w:p>
      <w:pPr>
        <w:spacing w:after="0" w:line="72" w:lineRule="exact"/>
        <w:rPr>
          <w:sz w:val="20"/>
          <w:szCs w:val="20"/>
          <w:color w:val="auto"/>
        </w:rPr>
      </w:pPr>
    </w:p>
    <w:p>
      <w:pPr>
        <w:jc w:val="both"/>
        <w:ind w:right="20" w:firstLine="349"/>
        <w:spacing w:after="0" w:line="274" w:lineRule="auto"/>
        <w:rPr>
          <w:sz w:val="20"/>
          <w:szCs w:val="20"/>
          <w:color w:val="auto"/>
        </w:rPr>
      </w:pPr>
      <w:r>
        <w:rPr>
          <w:rFonts w:ascii="Times New Roman" w:cs="Times New Roman" w:eastAsia="Times New Roman" w:hAnsi="Times New Roman"/>
          <w:sz w:val="19"/>
          <w:szCs w:val="19"/>
          <w:color w:val="231F20"/>
        </w:rPr>
        <w:t>We operate in numerous taxing jurisdictions and are subject to regular examinations by various United States federal, state and local, as well as foreign jurisdictions. We are no longer subject to United States federal examinations for years before fiscal 2018 and, with limited exceptions, we are no longer subject to United States state and local, or non-United States, income tax</w:t>
      </w:r>
    </w:p>
    <w:p>
      <w:pPr>
        <w:sectPr>
          <w:pgSz w:w="11880" w:h="15480" w:orient="portrait"/>
          <w:cols w:equalWidth="0" w:num="1">
            <w:col w:w="9940"/>
          </w:cols>
          <w:pgMar w:left="960" w:top="250" w:right="980" w:bottom="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80</w:t>
      </w:r>
    </w:p>
    <w:p>
      <w:pPr>
        <w:sectPr>
          <w:pgSz w:w="11880" w:h="15480" w:orient="portrait"/>
          <w:cols w:equalWidth="0" w:num="1">
            <w:col w:w="9940"/>
          </w:cols>
          <w:pgMar w:left="960" w:top="250" w:right="980" w:bottom="0"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20"/>
        <w:spacing w:after="0" w:line="293" w:lineRule="auto"/>
        <w:rPr>
          <w:sz w:val="20"/>
          <w:szCs w:val="20"/>
          <w:color w:val="auto"/>
        </w:rPr>
      </w:pPr>
      <w:r>
        <w:rPr>
          <w:rFonts w:ascii="Times New Roman" w:cs="Times New Roman" w:eastAsia="Times New Roman" w:hAnsi="Times New Roman"/>
          <w:sz w:val="19"/>
          <w:szCs w:val="19"/>
          <w:color w:val="231F20"/>
        </w:rPr>
        <w:t>examinations by tax authorities for years before fiscal 2018. We remain subject to tax authority audits in various jurisdictions wherever we do business.</w:t>
      </w:r>
    </w:p>
    <w:p>
      <w:pPr>
        <w:spacing w:after="0" w:line="49" w:lineRule="exact"/>
        <w:rPr>
          <w:sz w:val="20"/>
          <w:szCs w:val="20"/>
          <w:color w:val="auto"/>
        </w:rPr>
      </w:pPr>
    </w:p>
    <w:p>
      <w:pPr>
        <w:ind w:firstLine="349"/>
        <w:spacing w:after="0" w:line="263" w:lineRule="auto"/>
        <w:rPr>
          <w:sz w:val="20"/>
          <w:szCs w:val="20"/>
          <w:color w:val="auto"/>
        </w:rPr>
      </w:pPr>
      <w:r>
        <w:rPr>
          <w:rFonts w:ascii="Times New Roman" w:cs="Times New Roman" w:eastAsia="Times New Roman" w:hAnsi="Times New Roman"/>
          <w:sz w:val="19"/>
          <w:szCs w:val="19"/>
          <w:color w:val="231F20"/>
        </w:rPr>
        <w:t>In November 2023, we received two Notices of Deficiency from the IRS regarding the previously disclosed deemed dividend inclusions and associated withholding tax matter. The notices relate to the fiscal and calendar year 2018. The IRS adjustments would result in a cumulative tax liability of approximately $50.0 million, excluding any interest and penalties, if ultimately assessed. We are contesting the IRS’s assertions and have filed petitions with the U.S. Tax Court. We have not established reserves related to these notices. An unfavorable outcome is not expected to have a material adverse impact on our consolidated financial position but could be material to our consolidated results of operations and cash flows for any one period.</w:t>
      </w:r>
    </w:p>
    <w:p>
      <w:pPr>
        <w:spacing w:after="0" w:line="77" w:lineRule="exact"/>
        <w:rPr>
          <w:sz w:val="20"/>
          <w:szCs w:val="20"/>
          <w:color w:val="auto"/>
        </w:rPr>
      </w:pPr>
    </w:p>
    <w:p>
      <w:pPr>
        <w:ind w:right="700" w:firstLine="349"/>
        <w:spacing w:after="0" w:line="293" w:lineRule="auto"/>
        <w:rPr>
          <w:sz w:val="20"/>
          <w:szCs w:val="20"/>
          <w:color w:val="auto"/>
        </w:rPr>
      </w:pPr>
      <w:r>
        <w:rPr>
          <w:rFonts w:ascii="Times New Roman" w:cs="Times New Roman" w:eastAsia="Times New Roman" w:hAnsi="Times New Roman"/>
          <w:sz w:val="19"/>
          <w:szCs w:val="19"/>
          <w:color w:val="231F20"/>
        </w:rPr>
        <w:t>We estimate that the tax benefit from our Costa Rica Tax Holiday is $7.4 million (or $0.07 per fully diluted share), annually. The Tax Holiday runs fully exempt from income tax through 2031.</w:t>
      </w:r>
    </w:p>
    <w:p>
      <w:pPr>
        <w:spacing w:after="0" w:line="45" w:lineRule="exact"/>
        <w:rPr>
          <w:sz w:val="20"/>
          <w:szCs w:val="20"/>
          <w:color w:val="auto"/>
        </w:rPr>
      </w:pPr>
    </w:p>
    <w:p>
      <w:pPr>
        <w:ind w:right="260"/>
        <w:spacing w:after="0" w:line="297" w:lineRule="auto"/>
        <w:rPr>
          <w:sz w:val="20"/>
          <w:szCs w:val="20"/>
          <w:color w:val="auto"/>
        </w:rPr>
      </w:pPr>
      <w:r>
        <w:rPr>
          <w:rFonts w:ascii="Times New Roman" w:cs="Times New Roman" w:eastAsia="Times New Roman" w:hAnsi="Times New Roman"/>
          <w:sz w:val="19"/>
          <w:szCs w:val="19"/>
          <w:b w:val="1"/>
          <w:bCs w:val="1"/>
          <w:color w:val="231F20"/>
        </w:rPr>
        <w:t xml:space="preserve">Deferred Taxes. </w:t>
      </w:r>
      <w:r>
        <w:rPr>
          <w:rFonts w:ascii="Times New Roman" w:cs="Times New Roman" w:eastAsia="Times New Roman" w:hAnsi="Times New Roman"/>
          <w:sz w:val="19"/>
          <w:szCs w:val="19"/>
          <w:color w:val="231F20"/>
        </w:rPr>
        <w:t>The significant components of the deferred tax assets and liabilities recorded in our accompanying balance</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sheets at March 31, 2026 and 2025 were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20" w:type="dxa"/>
            <w:vAlign w:val="bottom"/>
          </w:tcPr>
          <w:p>
            <w:pPr>
              <w:ind w:left="180"/>
              <w:spacing w:after="0"/>
              <w:rPr>
                <w:sz w:val="20"/>
                <w:szCs w:val="20"/>
                <w:color w:val="auto"/>
              </w:rPr>
            </w:pPr>
            <w:r>
              <w:rPr>
                <w:rFonts w:ascii="Times New Roman" w:cs="Times New Roman" w:eastAsia="Times New Roman" w:hAnsi="Times New Roman"/>
                <w:sz w:val="17"/>
                <w:szCs w:val="17"/>
                <w:color w:val="231F20"/>
              </w:rPr>
              <w:t>(in millions)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81"/>
        </w:trPr>
        <w:tc>
          <w:tcPr>
            <w:tcW w:w="7220" w:type="dxa"/>
            <w:vAlign w:val="bottom"/>
            <w:tcBorders>
              <w:bottom w:val="single" w:sz="8" w:color="231F20"/>
            </w:tcBorders>
          </w:tcPr>
          <w:p>
            <w:pPr>
              <w:ind w:left="180"/>
              <w:spacing w:after="0"/>
              <w:rPr>
                <w:sz w:val="20"/>
                <w:szCs w:val="20"/>
                <w:color w:val="auto"/>
              </w:rPr>
            </w:pPr>
            <w:r>
              <w:rPr>
                <w:rFonts w:ascii="Times New Roman" w:cs="Times New Roman" w:eastAsia="Times New Roman" w:hAnsi="Times New Roman"/>
                <w:sz w:val="17"/>
                <w:szCs w:val="17"/>
                <w:color w:val="231F20"/>
              </w:rPr>
              <w:t>March 31,</w:t>
            </w:r>
          </w:p>
        </w:tc>
        <w:tc>
          <w:tcPr>
            <w:tcW w:w="32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ind w:right="443"/>
              <w:spacing w:after="0"/>
              <w:rPr>
                <w:sz w:val="20"/>
                <w:szCs w:val="20"/>
                <w:color w:val="auto"/>
              </w:rPr>
            </w:pPr>
            <w:r>
              <w:rPr>
                <w:rFonts w:ascii="Times New Roman" w:cs="Times New Roman" w:eastAsia="Times New Roman" w:hAnsi="Times New Roman"/>
                <w:sz w:val="17"/>
                <w:szCs w:val="17"/>
                <w:color w:val="231F20"/>
              </w:rPr>
              <w:t>2026</w:t>
            </w:r>
          </w:p>
        </w:tc>
        <w:tc>
          <w:tcPr>
            <w:tcW w:w="34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ind w:right="383"/>
              <w:spacing w:after="0"/>
              <w:rPr>
                <w:sz w:val="20"/>
                <w:szCs w:val="20"/>
                <w:color w:val="auto"/>
              </w:rPr>
            </w:pPr>
            <w:r>
              <w:rPr>
                <w:rFonts w:ascii="Times New Roman" w:cs="Times New Roman" w:eastAsia="Times New Roman" w:hAnsi="Times New Roman"/>
                <w:sz w:val="17"/>
                <w:szCs w:val="17"/>
                <w:color w:val="231F20"/>
              </w:rPr>
              <w:t>2025</w:t>
            </w:r>
          </w:p>
        </w:tc>
      </w:tr>
      <w:tr>
        <w:trPr>
          <w:trHeight w:val="507"/>
        </w:trPr>
        <w:tc>
          <w:tcPr>
            <w:tcW w:w="722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231F20"/>
              </w:rPr>
              <w:t>Deferred Tax Assets: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4"/>
        </w:trPr>
        <w:tc>
          <w:tcPr>
            <w:tcW w:w="72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Post-retirement benefit accrual</w:t>
            </w: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b w:val="1"/>
                <w:bCs w:val="1"/>
                <w:color w:val="231F20"/>
              </w:rPr>
              <w:t>$</w:t>
            </w: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1.3</w:t>
            </w: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1.4</w:t>
            </w:r>
          </w:p>
        </w:tc>
      </w:tr>
      <w:tr>
        <w:trPr>
          <w:trHeight w:val="291"/>
        </w:trPr>
        <w:tc>
          <w:tcPr>
            <w:tcW w:w="72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Compensation</w:t>
            </w:r>
          </w:p>
        </w:tc>
        <w:tc>
          <w:tcPr>
            <w:tcW w:w="320" w:type="dxa"/>
            <w:vAlign w:val="bottom"/>
          </w:tcPr>
          <w:p>
            <w:pPr>
              <w:spacing w:after="0"/>
              <w:rPr>
                <w:sz w:val="24"/>
                <w:szCs w:val="24"/>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34.5</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29.7</w:t>
            </w:r>
          </w:p>
        </w:tc>
      </w:tr>
      <w:tr>
        <w:trPr>
          <w:trHeight w:val="291"/>
        </w:trPr>
        <w:tc>
          <w:tcPr>
            <w:tcW w:w="72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Net operating loss carryforwards</w:t>
            </w:r>
          </w:p>
        </w:tc>
        <w:tc>
          <w:tcPr>
            <w:tcW w:w="320" w:type="dxa"/>
            <w:vAlign w:val="bottom"/>
          </w:tcPr>
          <w:p>
            <w:pPr>
              <w:spacing w:after="0"/>
              <w:rPr>
                <w:sz w:val="24"/>
                <w:szCs w:val="24"/>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25.7</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35.5</w:t>
            </w:r>
          </w:p>
        </w:tc>
      </w:tr>
      <w:tr>
        <w:trPr>
          <w:trHeight w:val="291"/>
        </w:trPr>
        <w:tc>
          <w:tcPr>
            <w:tcW w:w="72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Accrued expenses</w:t>
            </w:r>
          </w:p>
        </w:tc>
        <w:tc>
          <w:tcPr>
            <w:tcW w:w="320" w:type="dxa"/>
            <w:vAlign w:val="bottom"/>
          </w:tcPr>
          <w:p>
            <w:pPr>
              <w:spacing w:after="0"/>
              <w:rPr>
                <w:sz w:val="24"/>
                <w:szCs w:val="24"/>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13.3</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13.8</w:t>
            </w:r>
          </w:p>
        </w:tc>
      </w:tr>
      <w:tr>
        <w:trPr>
          <w:trHeight w:val="291"/>
        </w:trPr>
        <w:tc>
          <w:tcPr>
            <w:tcW w:w="72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Insurance</w:t>
            </w:r>
          </w:p>
        </w:tc>
        <w:tc>
          <w:tcPr>
            <w:tcW w:w="320" w:type="dxa"/>
            <w:vAlign w:val="bottom"/>
          </w:tcPr>
          <w:p>
            <w:pPr>
              <w:spacing w:after="0"/>
              <w:rPr>
                <w:sz w:val="24"/>
                <w:szCs w:val="24"/>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2.2</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2.1</w:t>
            </w:r>
          </w:p>
        </w:tc>
      </w:tr>
      <w:tr>
        <w:trPr>
          <w:trHeight w:val="291"/>
        </w:trPr>
        <w:tc>
          <w:tcPr>
            <w:tcW w:w="72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Illinois EO Litigation Settlement</w:t>
            </w:r>
          </w:p>
        </w:tc>
        <w:tc>
          <w:tcPr>
            <w:tcW w:w="320" w:type="dxa"/>
            <w:vAlign w:val="bottom"/>
          </w:tcPr>
          <w:p>
            <w:pPr>
              <w:spacing w:after="0"/>
              <w:rPr>
                <w:sz w:val="24"/>
                <w:szCs w:val="24"/>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11.0</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12.0</w:t>
            </w:r>
          </w:p>
        </w:tc>
      </w:tr>
      <w:tr>
        <w:trPr>
          <w:trHeight w:val="291"/>
        </w:trPr>
        <w:tc>
          <w:tcPr>
            <w:tcW w:w="72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Deferred income</w:t>
            </w:r>
          </w:p>
        </w:tc>
        <w:tc>
          <w:tcPr>
            <w:tcW w:w="320" w:type="dxa"/>
            <w:vAlign w:val="bottom"/>
          </w:tcPr>
          <w:p>
            <w:pPr>
              <w:spacing w:after="0"/>
              <w:rPr>
                <w:sz w:val="24"/>
                <w:szCs w:val="24"/>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24.3</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24.1</w:t>
            </w:r>
          </w:p>
        </w:tc>
      </w:tr>
      <w:tr>
        <w:trPr>
          <w:trHeight w:val="291"/>
        </w:trPr>
        <w:tc>
          <w:tcPr>
            <w:tcW w:w="72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Bad debt &amp; other allowances</w:t>
            </w:r>
          </w:p>
        </w:tc>
        <w:tc>
          <w:tcPr>
            <w:tcW w:w="320" w:type="dxa"/>
            <w:vAlign w:val="bottom"/>
          </w:tcPr>
          <w:p>
            <w:pPr>
              <w:spacing w:after="0"/>
              <w:rPr>
                <w:sz w:val="24"/>
                <w:szCs w:val="24"/>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4.7</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3.8</w:t>
            </w:r>
          </w:p>
        </w:tc>
      </w:tr>
      <w:tr>
        <w:trPr>
          <w:trHeight w:val="291"/>
        </w:trPr>
        <w:tc>
          <w:tcPr>
            <w:tcW w:w="72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Research &amp; experimental expenditures</w:t>
            </w:r>
          </w:p>
        </w:tc>
        <w:tc>
          <w:tcPr>
            <w:tcW w:w="320" w:type="dxa"/>
            <w:vAlign w:val="bottom"/>
          </w:tcPr>
          <w:p>
            <w:pPr>
              <w:spacing w:after="0"/>
              <w:rPr>
                <w:sz w:val="24"/>
                <w:szCs w:val="24"/>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47.5</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40.5</w:t>
            </w:r>
          </w:p>
        </w:tc>
      </w:tr>
      <w:tr>
        <w:trPr>
          <w:trHeight w:val="295"/>
        </w:trPr>
        <w:tc>
          <w:tcPr>
            <w:tcW w:w="72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 xml:space="preserve">Operating leases </w:t>
            </w:r>
            <w:r>
              <w:rPr>
                <w:rFonts w:ascii="Times New Roman" w:cs="Times New Roman" w:eastAsia="Times New Roman" w:hAnsi="Times New Roman"/>
                <w:sz w:val="25"/>
                <w:szCs w:val="25"/>
                <w:color w:val="231F20"/>
                <w:vertAlign w:val="superscript"/>
              </w:rPr>
              <w:t>(1)</w:t>
            </w:r>
          </w:p>
        </w:tc>
        <w:tc>
          <w:tcPr>
            <w:tcW w:w="320" w:type="dxa"/>
            <w:vAlign w:val="bottom"/>
          </w:tcPr>
          <w:p>
            <w:pPr>
              <w:spacing w:after="0"/>
              <w:rPr>
                <w:sz w:val="24"/>
                <w:szCs w:val="24"/>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36.1</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37.6</w:t>
            </w:r>
          </w:p>
        </w:tc>
      </w:tr>
      <w:tr>
        <w:trPr>
          <w:trHeight w:val="288"/>
        </w:trPr>
        <w:tc>
          <w:tcPr>
            <w:tcW w:w="72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Foreign tax credit carryforwards</w:t>
            </w:r>
          </w:p>
        </w:tc>
        <w:tc>
          <w:tcPr>
            <w:tcW w:w="320" w:type="dxa"/>
            <w:vAlign w:val="bottom"/>
          </w:tcPr>
          <w:p>
            <w:pPr>
              <w:spacing w:after="0"/>
              <w:rPr>
                <w:sz w:val="24"/>
                <w:szCs w:val="24"/>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10.3</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8.1</w:t>
            </w:r>
          </w:p>
        </w:tc>
      </w:tr>
      <w:tr>
        <w:trPr>
          <w:trHeight w:val="294"/>
        </w:trPr>
        <w:tc>
          <w:tcPr>
            <w:tcW w:w="72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Other</w:t>
            </w:r>
          </w:p>
        </w:tc>
        <w:tc>
          <w:tcPr>
            <w:tcW w:w="32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17.4</w:t>
            </w:r>
          </w:p>
        </w:tc>
        <w:tc>
          <w:tcPr>
            <w:tcW w:w="34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16.0</w:t>
            </w:r>
          </w:p>
        </w:tc>
      </w:tr>
      <w:tr>
        <w:trPr>
          <w:trHeight w:val="269"/>
        </w:trPr>
        <w:tc>
          <w:tcPr>
            <w:tcW w:w="722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231F20"/>
              </w:rPr>
              <w:t>Deferred Tax Assets</w:t>
            </w:r>
          </w:p>
        </w:tc>
        <w:tc>
          <w:tcPr>
            <w:tcW w:w="320" w:type="dxa"/>
            <w:vAlign w:val="bottom"/>
          </w:tcPr>
          <w:p>
            <w:pPr>
              <w:spacing w:after="0"/>
              <w:rPr>
                <w:sz w:val="23"/>
                <w:szCs w:val="23"/>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228.3</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224.6</w:t>
            </w:r>
          </w:p>
        </w:tc>
      </w:tr>
      <w:tr>
        <w:trPr>
          <w:trHeight w:val="294"/>
        </w:trPr>
        <w:tc>
          <w:tcPr>
            <w:tcW w:w="72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Less: Valuation allowance</w:t>
            </w:r>
          </w:p>
        </w:tc>
        <w:tc>
          <w:tcPr>
            <w:tcW w:w="32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29.0</w:t>
            </w:r>
          </w:p>
        </w:tc>
        <w:tc>
          <w:tcPr>
            <w:tcW w:w="34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30.6</w:t>
            </w:r>
          </w:p>
        </w:tc>
      </w:tr>
      <w:tr>
        <w:trPr>
          <w:trHeight w:val="265"/>
        </w:trPr>
        <w:tc>
          <w:tcPr>
            <w:tcW w:w="722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231F20"/>
              </w:rPr>
              <w:t>Total Deferred Tax Assets</w:t>
            </w:r>
          </w:p>
        </w:tc>
        <w:tc>
          <w:tcPr>
            <w:tcW w:w="320" w:type="dxa"/>
            <w:vAlign w:val="bottom"/>
          </w:tcPr>
          <w:p>
            <w:pPr>
              <w:spacing w:after="0"/>
              <w:rPr>
                <w:sz w:val="23"/>
                <w:szCs w:val="23"/>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199.3</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194.0</w:t>
            </w:r>
          </w:p>
        </w:tc>
      </w:tr>
      <w:tr>
        <w:trPr>
          <w:trHeight w:val="257"/>
        </w:trPr>
        <w:tc>
          <w:tcPr>
            <w:tcW w:w="722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231F20"/>
              </w:rPr>
              <w:t>Deferred Tax Liabilities: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314"/>
        </w:trPr>
        <w:tc>
          <w:tcPr>
            <w:tcW w:w="72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Depreciation and depletion</w:t>
            </w:r>
          </w:p>
        </w:tc>
        <w:tc>
          <w:tcPr>
            <w:tcW w:w="320" w:type="dxa"/>
            <w:vAlign w:val="bottom"/>
          </w:tcPr>
          <w:p>
            <w:pPr>
              <w:spacing w:after="0"/>
              <w:rPr>
                <w:sz w:val="24"/>
                <w:szCs w:val="24"/>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116.8</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97.0</w:t>
            </w:r>
          </w:p>
        </w:tc>
      </w:tr>
      <w:tr>
        <w:trPr>
          <w:trHeight w:val="295"/>
        </w:trPr>
        <w:tc>
          <w:tcPr>
            <w:tcW w:w="72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 xml:space="preserve">Operating leases </w:t>
            </w:r>
            <w:r>
              <w:rPr>
                <w:rFonts w:ascii="Times New Roman" w:cs="Times New Roman" w:eastAsia="Times New Roman" w:hAnsi="Times New Roman"/>
                <w:sz w:val="25"/>
                <w:szCs w:val="25"/>
                <w:color w:val="231F20"/>
                <w:vertAlign w:val="superscript"/>
              </w:rPr>
              <w:t>(1)</w:t>
            </w:r>
          </w:p>
        </w:tc>
        <w:tc>
          <w:tcPr>
            <w:tcW w:w="320" w:type="dxa"/>
            <w:vAlign w:val="bottom"/>
          </w:tcPr>
          <w:p>
            <w:pPr>
              <w:spacing w:after="0"/>
              <w:rPr>
                <w:sz w:val="24"/>
                <w:szCs w:val="24"/>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35.4</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36.6</w:t>
            </w:r>
          </w:p>
        </w:tc>
      </w:tr>
      <w:tr>
        <w:trPr>
          <w:trHeight w:val="288"/>
        </w:trPr>
        <w:tc>
          <w:tcPr>
            <w:tcW w:w="72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Intangibles</w:t>
            </w:r>
          </w:p>
        </w:tc>
        <w:tc>
          <w:tcPr>
            <w:tcW w:w="320" w:type="dxa"/>
            <w:vAlign w:val="bottom"/>
          </w:tcPr>
          <w:p>
            <w:pPr>
              <w:spacing w:after="0"/>
              <w:rPr>
                <w:sz w:val="24"/>
                <w:szCs w:val="24"/>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418.1</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441.0</w:t>
            </w:r>
          </w:p>
        </w:tc>
      </w:tr>
      <w:tr>
        <w:trPr>
          <w:trHeight w:val="277"/>
        </w:trPr>
        <w:tc>
          <w:tcPr>
            <w:tcW w:w="72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Pension</w:t>
            </w:r>
          </w:p>
        </w:tc>
        <w:tc>
          <w:tcPr>
            <w:tcW w:w="320" w:type="dxa"/>
            <w:vAlign w:val="bottom"/>
          </w:tcPr>
          <w:p>
            <w:pPr>
              <w:spacing w:after="0"/>
              <w:rPr>
                <w:sz w:val="24"/>
                <w:szCs w:val="24"/>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3.8</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3.8</w:t>
            </w:r>
          </w:p>
        </w:tc>
      </w:tr>
      <w:tr>
        <w:trPr>
          <w:trHeight w:val="294"/>
        </w:trPr>
        <w:tc>
          <w:tcPr>
            <w:tcW w:w="7220" w:type="dxa"/>
            <w:vAlign w:val="bottom"/>
          </w:tcPr>
          <w:p>
            <w:pPr>
              <w:ind w:left="880"/>
              <w:spacing w:after="0"/>
              <w:rPr>
                <w:sz w:val="20"/>
                <w:szCs w:val="20"/>
                <w:color w:val="auto"/>
              </w:rPr>
            </w:pPr>
            <w:r>
              <w:rPr>
                <w:rFonts w:ascii="Times New Roman" w:cs="Times New Roman" w:eastAsia="Times New Roman" w:hAnsi="Times New Roman"/>
                <w:sz w:val="19"/>
                <w:szCs w:val="19"/>
                <w:color w:val="231F20"/>
              </w:rPr>
              <w:t>Other</w:t>
            </w:r>
          </w:p>
        </w:tc>
        <w:tc>
          <w:tcPr>
            <w:tcW w:w="32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3.0</w:t>
            </w:r>
          </w:p>
        </w:tc>
        <w:tc>
          <w:tcPr>
            <w:tcW w:w="34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2.6</w:t>
            </w:r>
          </w:p>
        </w:tc>
      </w:tr>
      <w:tr>
        <w:trPr>
          <w:trHeight w:val="271"/>
        </w:trPr>
        <w:tc>
          <w:tcPr>
            <w:tcW w:w="722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231F20"/>
              </w:rPr>
              <w:t>Total Deferred Tax Liabilities</w:t>
            </w:r>
          </w:p>
        </w:tc>
        <w:tc>
          <w:tcPr>
            <w:tcW w:w="320" w:type="dxa"/>
            <w:vAlign w:val="bottom"/>
            <w:tcBorders>
              <w:bottom w:val="single" w:sz="8" w:color="231F20"/>
            </w:tcBorders>
          </w:tcPr>
          <w:p>
            <w:pPr>
              <w:spacing w:after="0"/>
              <w:rPr>
                <w:sz w:val="23"/>
                <w:szCs w:val="23"/>
                <w:color w:val="auto"/>
              </w:rPr>
            </w:pPr>
          </w:p>
        </w:tc>
        <w:tc>
          <w:tcPr>
            <w:tcW w:w="1060" w:type="dxa"/>
            <w:vAlign w:val="bottom"/>
            <w:tcBorders>
              <w:bottom w:val="single" w:sz="8" w:color="231F20"/>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577.1</w:t>
            </w:r>
          </w:p>
        </w:tc>
        <w:tc>
          <w:tcPr>
            <w:tcW w:w="340" w:type="dxa"/>
            <w:vAlign w:val="bottom"/>
            <w:tcBorders>
              <w:bottom w:val="single" w:sz="8" w:color="231F20"/>
            </w:tcBorders>
          </w:tcPr>
          <w:p>
            <w:pPr>
              <w:spacing w:after="0"/>
              <w:rPr>
                <w:sz w:val="23"/>
                <w:szCs w:val="23"/>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581.0</w:t>
            </w:r>
          </w:p>
        </w:tc>
      </w:tr>
      <w:tr>
        <w:trPr>
          <w:trHeight w:val="276"/>
        </w:trPr>
        <w:tc>
          <w:tcPr>
            <w:tcW w:w="7220" w:type="dxa"/>
            <w:vAlign w:val="bottom"/>
          </w:tcPr>
          <w:p>
            <w:pPr>
              <w:ind w:left="400"/>
              <w:spacing w:after="0" w:line="266" w:lineRule="exact"/>
              <w:rPr>
                <w:sz w:val="20"/>
                <w:szCs w:val="20"/>
                <w:color w:val="auto"/>
              </w:rPr>
            </w:pPr>
            <w:r>
              <w:rPr>
                <w:rFonts w:ascii="Times New Roman" w:cs="Times New Roman" w:eastAsia="Times New Roman" w:hAnsi="Times New Roman"/>
                <w:sz w:val="19"/>
                <w:szCs w:val="19"/>
                <w:b w:val="1"/>
                <w:bCs w:val="1"/>
                <w:color w:val="231F20"/>
              </w:rPr>
              <w:t>Net Deferred Tax Liabilities</w:t>
            </w:r>
            <w:r>
              <w:rPr>
                <w:rFonts w:ascii="Times New Roman" w:cs="Times New Roman" w:eastAsia="Times New Roman" w:hAnsi="Times New Roman"/>
                <w:sz w:val="25"/>
                <w:szCs w:val="25"/>
                <w:b w:val="1"/>
                <w:bCs w:val="1"/>
                <w:color w:val="231F20"/>
                <w:vertAlign w:val="superscript"/>
              </w:rPr>
              <w:t>(2)</w:t>
            </w:r>
          </w:p>
        </w:tc>
        <w:tc>
          <w:tcPr>
            <w:tcW w:w="320" w:type="dxa"/>
            <w:vAlign w:val="bottom"/>
            <w:tcBorders>
              <w:bottom w:val="single" w:sz="8" w:color="231F20"/>
            </w:tcBorders>
          </w:tcPr>
          <w:p>
            <w:pPr>
              <w:jc w:val="right"/>
              <w:ind w:right="83"/>
              <w:spacing w:after="0"/>
              <w:rPr>
                <w:sz w:val="20"/>
                <w:szCs w:val="20"/>
                <w:color w:val="auto"/>
              </w:rPr>
            </w:pPr>
            <w:r>
              <w:rPr>
                <w:rFonts w:ascii="Times New Roman" w:cs="Times New Roman" w:eastAsia="Times New Roman" w:hAnsi="Times New Roman"/>
                <w:sz w:val="19"/>
                <w:szCs w:val="19"/>
                <w:b w:val="1"/>
                <w:bCs w:val="1"/>
                <w:color w:val="231F20"/>
              </w:rPr>
              <w:t>$</w:t>
            </w: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(377.8)</w:t>
            </w:r>
          </w:p>
        </w:tc>
        <w:tc>
          <w:tcPr>
            <w:tcW w:w="340" w:type="dxa"/>
            <w:vAlign w:val="bottom"/>
            <w:tcBorders>
              <w:bottom w:val="single" w:sz="8" w:color="231F20"/>
            </w:tcBorders>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(386.9)</w:t>
            </w:r>
          </w:p>
        </w:tc>
      </w:tr>
    </w:tbl>
    <w:p>
      <w:pPr>
        <w:spacing w:after="0" w:line="120" w:lineRule="exact"/>
        <w:rPr>
          <w:sz w:val="20"/>
          <w:szCs w:val="20"/>
          <w:color w:val="auto"/>
        </w:rPr>
      </w:pPr>
    </w:p>
    <w:p>
      <w:pPr>
        <w:ind w:left="180" w:hanging="177"/>
        <w:spacing w:after="0"/>
        <w:tabs>
          <w:tab w:leader="none" w:pos="180" w:val="left"/>
        </w:tabs>
        <w:numPr>
          <w:ilvl w:val="0"/>
          <w:numId w:val="29"/>
        </w:numPr>
        <w:rPr>
          <w:rFonts w:ascii="Times New Roman" w:cs="Times New Roman" w:eastAsia="Times New Roman" w:hAnsi="Times New Roman"/>
          <w:sz w:val="22"/>
          <w:szCs w:val="22"/>
          <w:color w:val="231F20"/>
          <w:vertAlign w:val="superscript"/>
        </w:rPr>
      </w:pPr>
      <w:r>
        <w:rPr>
          <w:rFonts w:ascii="Times New Roman" w:cs="Times New Roman" w:eastAsia="Times New Roman" w:hAnsi="Times New Roman"/>
          <w:sz w:val="17"/>
          <w:szCs w:val="17"/>
          <w:color w:val="231F20"/>
        </w:rPr>
        <w:t>For more information regarding our operating leases, see Note 12 titled, "Commitments and Contingencies."</w:t>
      </w:r>
    </w:p>
    <w:p>
      <w:pPr>
        <w:spacing w:after="0" w:line="1" w:lineRule="exact"/>
        <w:rPr>
          <w:rFonts w:ascii="Times New Roman" w:cs="Times New Roman" w:eastAsia="Times New Roman" w:hAnsi="Times New Roman"/>
          <w:sz w:val="22"/>
          <w:szCs w:val="22"/>
          <w:color w:val="231F20"/>
          <w:vertAlign w:val="superscript"/>
        </w:rPr>
      </w:pPr>
    </w:p>
    <w:p>
      <w:pPr>
        <w:ind w:left="180" w:hanging="177"/>
        <w:spacing w:after="0" w:line="196" w:lineRule="auto"/>
        <w:tabs>
          <w:tab w:leader="none" w:pos="180" w:val="left"/>
        </w:tabs>
        <w:numPr>
          <w:ilvl w:val="0"/>
          <w:numId w:val="29"/>
        </w:numPr>
        <w:rPr>
          <w:rFonts w:ascii="Times New Roman" w:cs="Times New Roman" w:eastAsia="Times New Roman" w:hAnsi="Times New Roman"/>
          <w:sz w:val="22"/>
          <w:szCs w:val="22"/>
          <w:color w:val="231F20"/>
          <w:vertAlign w:val="superscript"/>
        </w:rPr>
      </w:pPr>
      <w:r>
        <w:rPr>
          <w:rFonts w:ascii="Times New Roman" w:cs="Times New Roman" w:eastAsia="Times New Roman" w:hAnsi="Times New Roman"/>
          <w:sz w:val="17"/>
          <w:szCs w:val="17"/>
          <w:color w:val="231F20"/>
        </w:rPr>
        <w:t>A portion of the Net Deferred Tax Liabilities is presented in the "Other Assets" line of our Consolidated Balance Sheets.</w:t>
      </w:r>
    </w:p>
    <w:p>
      <w:pPr>
        <w:spacing w:after="0" w:line="93" w:lineRule="exact"/>
        <w:rPr>
          <w:sz w:val="20"/>
          <w:szCs w:val="20"/>
          <w:color w:val="auto"/>
        </w:rPr>
      </w:pPr>
    </w:p>
    <w:p>
      <w:pPr>
        <w:jc w:val="both"/>
        <w:ind w:right="280" w:firstLine="349"/>
        <w:spacing w:after="0" w:line="265" w:lineRule="auto"/>
        <w:rPr>
          <w:sz w:val="20"/>
          <w:szCs w:val="20"/>
          <w:color w:val="auto"/>
        </w:rPr>
      </w:pPr>
      <w:r>
        <w:rPr>
          <w:rFonts w:ascii="Times New Roman" w:cs="Times New Roman" w:eastAsia="Times New Roman" w:hAnsi="Times New Roman"/>
          <w:sz w:val="19"/>
          <w:szCs w:val="19"/>
          <w:color w:val="231F20"/>
        </w:rPr>
        <w:t>At March 31, 2026, we had U.S. federal operating loss carryforwards of $6.3 million, which remain subject to a 20 year carryforward period. Additionally, we had non-U.S. operating loss carry forwards of $86.4 million. Although the majority of the non-U.S. carryforwards have indefinite expiration periods, those carryforwards that have definite expiration periods will expire if unused between fiscal years 2027 and 2047. In addition, we have a pre-valuation allowance tax benefits balance of $2.3 million related to U.S. state operating loss carryforwards. If unused, these state operating loss carryforwards will expire</w:t>
      </w:r>
    </w:p>
    <w:p>
      <w:pPr>
        <w:sectPr>
          <w:pgSz w:w="11880" w:h="15480" w:orient="portrait"/>
          <w:cols w:equalWidth="0" w:num="1">
            <w:col w:w="9960"/>
          </w:cols>
          <w:pgMar w:left="960" w:top="250" w:right="960" w:bottom="0" w:gutter="0" w:footer="0" w:header="0"/>
        </w:sect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81</w:t>
      </w:r>
    </w:p>
    <w:p>
      <w:pPr>
        <w:sectPr>
          <w:pgSz w:w="11880" w:h="15480" w:orient="portrait"/>
          <w:cols w:equalWidth="0" w:num="1">
            <w:col w:w="9960"/>
          </w:cols>
          <w:pgMar w:left="960" w:top="250" w:right="960" w:bottom="0"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960"/>
        <w:spacing w:after="0" w:line="293" w:lineRule="auto"/>
        <w:rPr>
          <w:sz w:val="20"/>
          <w:szCs w:val="20"/>
          <w:color w:val="auto"/>
        </w:rPr>
      </w:pPr>
      <w:r>
        <w:rPr>
          <w:rFonts w:ascii="Times New Roman" w:cs="Times New Roman" w:eastAsia="Times New Roman" w:hAnsi="Times New Roman"/>
          <w:sz w:val="19"/>
          <w:szCs w:val="19"/>
          <w:color w:val="231F20"/>
        </w:rPr>
        <w:t>between fiscal years 2027 and 2047. At March 31, 2026, we had $13.2 million of pre-valuation allowance tax credit carryforwards. These credit carryforwards can be used through fiscal 2036.</w:t>
      </w:r>
    </w:p>
    <w:p>
      <w:pPr>
        <w:spacing w:after="0" w:line="49" w:lineRule="exact"/>
        <w:rPr>
          <w:sz w:val="20"/>
          <w:szCs w:val="20"/>
          <w:color w:val="auto"/>
        </w:rPr>
      </w:pPr>
    </w:p>
    <w:p>
      <w:pPr>
        <w:jc w:val="both"/>
        <w:ind w:right="120" w:firstLine="349"/>
        <w:spacing w:after="0" w:line="274" w:lineRule="auto"/>
        <w:rPr>
          <w:sz w:val="20"/>
          <w:szCs w:val="20"/>
          <w:color w:val="auto"/>
        </w:rPr>
      </w:pPr>
      <w:r>
        <w:rPr>
          <w:rFonts w:ascii="Times New Roman" w:cs="Times New Roman" w:eastAsia="Times New Roman" w:hAnsi="Times New Roman"/>
          <w:sz w:val="19"/>
          <w:szCs w:val="19"/>
          <w:color w:val="231F20"/>
        </w:rPr>
        <w:t>We review the need for a valuation allowance against our deferred tax assets. A valuation allowance of $29.0 million has been applied to a portion of the net deferred tax assets because we do not believe it is more-likely-than-not that we will receive future benefit. The valuation allowance decreased during fiscal 2026 by $1.6 million.</w:t>
      </w:r>
    </w:p>
    <w:p>
      <w:pPr>
        <w:spacing w:after="0" w:line="67" w:lineRule="exact"/>
        <w:rPr>
          <w:sz w:val="20"/>
          <w:szCs w:val="20"/>
          <w:color w:val="auto"/>
        </w:rPr>
      </w:pPr>
    </w:p>
    <w:p>
      <w:pPr>
        <w:ind w:firstLine="349"/>
        <w:spacing w:after="0" w:line="265" w:lineRule="auto"/>
        <w:rPr>
          <w:sz w:val="20"/>
          <w:szCs w:val="20"/>
          <w:color w:val="auto"/>
        </w:rPr>
      </w:pPr>
      <w:r>
        <w:rPr>
          <w:rFonts w:ascii="Times New Roman" w:cs="Times New Roman" w:eastAsia="Times New Roman" w:hAnsi="Times New Roman"/>
          <w:sz w:val="19"/>
          <w:szCs w:val="19"/>
          <w:color w:val="231F20"/>
        </w:rPr>
        <w:t>Other than the tax expense previously recorded for the one-time transition tax on unremitted earnings of non-US subsidiaries, no additional provision has been made for income taxes on undistributed earnings of foreign subsidiaries as the Company’s position is that these amounts continue to be indefinitely reinvested. The amount of undistributed earnings of subsidiaries was approximately $3,000.0 million at March 31, 2026. It is not practicable to estimate the additional income taxes and applicable withholding taxes that would be payable on the remittance of such undistributed earnings.</w:t>
      </w:r>
    </w:p>
    <w:p>
      <w:pPr>
        <w:spacing w:after="0" w:line="75" w:lineRule="exact"/>
        <w:rPr>
          <w:sz w:val="20"/>
          <w:szCs w:val="20"/>
          <w:color w:val="auto"/>
        </w:rPr>
      </w:pPr>
    </w:p>
    <w:p>
      <w:pPr>
        <w:ind w:right="60" w:firstLine="349"/>
        <w:spacing w:after="0" w:line="263" w:lineRule="auto"/>
        <w:rPr>
          <w:sz w:val="20"/>
          <w:szCs w:val="20"/>
          <w:color w:val="auto"/>
        </w:rPr>
      </w:pPr>
      <w:r>
        <w:rPr>
          <w:rFonts w:ascii="Times New Roman" w:cs="Times New Roman" w:eastAsia="Times New Roman" w:hAnsi="Times New Roman"/>
          <w:sz w:val="19"/>
          <w:szCs w:val="19"/>
          <w:color w:val="231F20"/>
        </w:rPr>
        <w:t>On October 8, 2021, the OECD announced the OECD/G20 Inclusive Framework on BEPS, which agreed to a two-pillar solution to address tax challenges arising from digitalization of the economy. On December 20, 2021, the OECD released Pillar Two Model Rules defining the global minimum tax (GloBE), which calls for the taxation of large corporations at a minimum rate of 15%. The OECD continues to release additional guidance on the global minimum tax. The global minimum tax rules were effective from our fiscal year beginning April 1, 2024. We do not expect the impact to be material to the Company's consolidated financial statements.</w:t>
      </w:r>
    </w:p>
    <w:p>
      <w:pPr>
        <w:spacing w:after="0" w:line="77" w:lineRule="exact"/>
        <w:rPr>
          <w:sz w:val="20"/>
          <w:szCs w:val="20"/>
          <w:color w:val="auto"/>
        </w:rPr>
      </w:pPr>
    </w:p>
    <w:p>
      <w:pPr>
        <w:ind w:right="160" w:firstLine="349"/>
        <w:spacing w:after="0" w:line="293" w:lineRule="auto"/>
        <w:rPr>
          <w:sz w:val="20"/>
          <w:szCs w:val="20"/>
          <w:color w:val="auto"/>
        </w:rPr>
      </w:pPr>
      <w:r>
        <w:rPr>
          <w:rFonts w:ascii="Times New Roman" w:cs="Times New Roman" w:eastAsia="Times New Roman" w:hAnsi="Times New Roman"/>
          <w:sz w:val="19"/>
          <w:szCs w:val="19"/>
          <w:color w:val="231F20"/>
        </w:rPr>
        <w:t>Cash paid for income taxes (net of refunds received) for the year ended March 31, 2026, presented in accordance with the requirements of newly adopted ASU 2023-09, is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80" w:type="dxa"/>
            <w:vAlign w:val="bottom"/>
          </w:tcPr>
          <w:p>
            <w:pPr>
              <w:ind w:left="180"/>
              <w:spacing w:after="0"/>
              <w:rPr>
                <w:sz w:val="20"/>
                <w:szCs w:val="20"/>
                <w:color w:val="auto"/>
              </w:rPr>
            </w:pPr>
            <w:r>
              <w:rPr>
                <w:rFonts w:ascii="Times New Roman" w:cs="Times New Roman" w:eastAsia="Times New Roman" w:hAnsi="Times New Roman"/>
                <w:sz w:val="17"/>
                <w:szCs w:val="17"/>
                <w:color w:val="231F20"/>
              </w:rPr>
              <w:t>(in millions)</w:t>
            </w:r>
          </w:p>
        </w:tc>
        <w:tc>
          <w:tcPr>
            <w:tcW w:w="320" w:type="dxa"/>
            <w:vAlign w:val="bottom"/>
          </w:tcPr>
          <w:p>
            <w:pPr>
              <w:spacing w:after="0"/>
              <w:rPr>
                <w:sz w:val="19"/>
                <w:szCs w:val="19"/>
                <w:color w:val="auto"/>
              </w:rPr>
            </w:pPr>
          </w:p>
        </w:tc>
        <w:tc>
          <w:tcPr>
            <w:tcW w:w="1000" w:type="dxa"/>
            <w:vAlign w:val="bottom"/>
            <w:vMerge w:val="restart"/>
          </w:tcPr>
          <w:p>
            <w:pPr>
              <w:jc w:val="right"/>
              <w:ind w:right="363"/>
              <w:spacing w:after="0"/>
              <w:rPr>
                <w:sz w:val="20"/>
                <w:szCs w:val="20"/>
                <w:color w:val="auto"/>
              </w:rPr>
            </w:pPr>
            <w:r>
              <w:rPr>
                <w:rFonts w:ascii="Times New Roman" w:cs="Times New Roman" w:eastAsia="Times New Roman" w:hAnsi="Times New Roman"/>
                <w:sz w:val="19"/>
                <w:szCs w:val="19"/>
                <w:color w:val="231F20"/>
              </w:rPr>
              <w:t>2026</w:t>
            </w:r>
          </w:p>
        </w:tc>
        <w:tc>
          <w:tcPr>
            <w:tcW w:w="0" w:type="dxa"/>
            <w:vAlign w:val="bottom"/>
          </w:tcPr>
          <w:p>
            <w:pPr>
              <w:spacing w:after="0"/>
              <w:rPr>
                <w:sz w:val="1"/>
                <w:szCs w:val="1"/>
                <w:color w:val="auto"/>
              </w:rPr>
            </w:pPr>
          </w:p>
        </w:tc>
      </w:tr>
      <w:tr>
        <w:trPr>
          <w:trHeight w:val="237"/>
        </w:trPr>
        <w:tc>
          <w:tcPr>
            <w:tcW w:w="8280" w:type="dxa"/>
            <w:vAlign w:val="bottom"/>
            <w:tcBorders>
              <w:bottom w:val="single" w:sz="8" w:color="231F20"/>
            </w:tcBorders>
          </w:tcPr>
          <w:p>
            <w:pPr>
              <w:ind w:left="180"/>
              <w:spacing w:after="0"/>
              <w:rPr>
                <w:sz w:val="20"/>
                <w:szCs w:val="20"/>
                <w:color w:val="auto"/>
              </w:rPr>
            </w:pPr>
            <w:r>
              <w:rPr>
                <w:rFonts w:ascii="Times New Roman" w:cs="Times New Roman" w:eastAsia="Times New Roman" w:hAnsi="Times New Roman"/>
                <w:sz w:val="17"/>
                <w:szCs w:val="17"/>
                <w:color w:val="231F20"/>
              </w:rPr>
              <w:t>Year Ended March 31,</w:t>
            </w:r>
          </w:p>
        </w:tc>
        <w:tc>
          <w:tcPr>
            <w:tcW w:w="32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28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Cash paid during the year for:</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828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Income taxes, net, Ireland</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b w:val="1"/>
                <w:bCs w:val="1"/>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8.4</w:t>
            </w:r>
          </w:p>
        </w:tc>
        <w:tc>
          <w:tcPr>
            <w:tcW w:w="0" w:type="dxa"/>
            <w:vAlign w:val="bottom"/>
          </w:tcPr>
          <w:p>
            <w:pPr>
              <w:spacing w:after="0"/>
              <w:rPr>
                <w:sz w:val="1"/>
                <w:szCs w:val="1"/>
                <w:color w:val="auto"/>
              </w:rPr>
            </w:pPr>
          </w:p>
        </w:tc>
      </w:tr>
      <w:tr>
        <w:trPr>
          <w:trHeight w:val="277"/>
        </w:trPr>
        <w:tc>
          <w:tcPr>
            <w:tcW w:w="828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Income taxes, net, U.S.</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231.3</w:t>
            </w:r>
          </w:p>
        </w:tc>
        <w:tc>
          <w:tcPr>
            <w:tcW w:w="0" w:type="dxa"/>
            <w:vAlign w:val="bottom"/>
          </w:tcPr>
          <w:p>
            <w:pPr>
              <w:spacing w:after="0"/>
              <w:rPr>
                <w:sz w:val="1"/>
                <w:szCs w:val="1"/>
                <w:color w:val="auto"/>
              </w:rPr>
            </w:pPr>
          </w:p>
        </w:tc>
      </w:tr>
      <w:tr>
        <w:trPr>
          <w:trHeight w:val="279"/>
        </w:trPr>
        <w:tc>
          <w:tcPr>
            <w:tcW w:w="828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Income taxes, net, other locations</w:t>
            </w:r>
          </w:p>
        </w:tc>
        <w:tc>
          <w:tcPr>
            <w:tcW w:w="32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49.2</w:t>
            </w:r>
          </w:p>
        </w:tc>
        <w:tc>
          <w:tcPr>
            <w:tcW w:w="0" w:type="dxa"/>
            <w:vAlign w:val="bottom"/>
          </w:tcPr>
          <w:p>
            <w:pPr>
              <w:spacing w:after="0"/>
              <w:rPr>
                <w:sz w:val="1"/>
                <w:szCs w:val="1"/>
                <w:color w:val="auto"/>
              </w:rPr>
            </w:pPr>
          </w:p>
        </w:tc>
      </w:tr>
      <w:tr>
        <w:trPr>
          <w:trHeight w:val="257"/>
        </w:trPr>
        <w:tc>
          <w:tcPr>
            <w:tcW w:w="828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Income taxes, net of refunds, total</w:t>
            </w:r>
          </w:p>
        </w:tc>
        <w:tc>
          <w:tcPr>
            <w:tcW w:w="320" w:type="dxa"/>
            <w:vAlign w:val="bottom"/>
            <w:tcBorders>
              <w:bottom w:val="single" w:sz="8" w:color="231F20"/>
            </w:tcBorders>
          </w:tcPr>
          <w:p>
            <w:pPr>
              <w:jc w:val="right"/>
              <w:ind w:right="63"/>
              <w:spacing w:after="0"/>
              <w:rPr>
                <w:sz w:val="20"/>
                <w:szCs w:val="20"/>
                <w:color w:val="auto"/>
              </w:rPr>
            </w:pPr>
            <w:r>
              <w:rPr>
                <w:rFonts w:ascii="Times New Roman" w:cs="Times New Roman" w:eastAsia="Times New Roman" w:hAnsi="Times New Roman"/>
                <w:sz w:val="19"/>
                <w:szCs w:val="19"/>
                <w:b w:val="1"/>
                <w:bCs w:val="1"/>
                <w:color w:val="231F20"/>
              </w:rPr>
              <w:t>$</w:t>
            </w: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289.0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5247640</wp:posOffset>
            </wp:positionH>
            <wp:positionV relativeFrom="paragraph">
              <wp:posOffset>-895985</wp:posOffset>
            </wp:positionV>
            <wp:extent cx="86614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1">
                      <a:extLst>
                        <a:ext uri="{28A0092B-C50C-407E-A947-70E740481C1C}"/>
                      </a:extLst>
                    </a:blip>
                    <a:srcRect/>
                    <a:stretch>
                      <a:fillRect/>
                    </a:stretch>
                  </pic:blipFill>
                  <pic:spPr bwMode="auto">
                    <a:xfrm>
                      <a:off x="0" y="0"/>
                      <a:ext cx="866140" cy="25400"/>
                    </a:xfrm>
                    <a:prstGeom prst="rect">
                      <a:avLst/>
                    </a:prstGeom>
                    <a:noFill/>
                  </pic:spPr>
                </pic:pic>
              </a:graphicData>
            </a:graphic>
          </wp:anchor>
        </w:drawing>
      </w:r>
    </w:p>
    <w:p>
      <w:pPr>
        <w:spacing w:after="0" w:line="123" w:lineRule="exact"/>
        <w:rPr>
          <w:sz w:val="20"/>
          <w:szCs w:val="20"/>
          <w:color w:val="auto"/>
        </w:rPr>
      </w:pPr>
    </w:p>
    <w:p>
      <w:pPr>
        <w:ind w:right="200" w:firstLine="349"/>
        <w:spacing w:after="0" w:line="293" w:lineRule="auto"/>
        <w:rPr>
          <w:sz w:val="20"/>
          <w:szCs w:val="20"/>
          <w:color w:val="auto"/>
        </w:rPr>
      </w:pPr>
      <w:r>
        <w:rPr>
          <w:rFonts w:ascii="Times New Roman" w:cs="Times New Roman" w:eastAsia="Times New Roman" w:hAnsi="Times New Roman"/>
          <w:sz w:val="19"/>
          <w:szCs w:val="19"/>
          <w:color w:val="231F20"/>
        </w:rPr>
        <w:t>Cash paid for income taxes and cash received for refunds for the years ended March 31, 2025 and 2024, presented before adoption of ASU 2023-09, is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60" w:type="dxa"/>
            <w:vAlign w:val="bottom"/>
          </w:tcPr>
          <w:p>
            <w:pPr>
              <w:ind w:left="180"/>
              <w:spacing w:after="0"/>
              <w:rPr>
                <w:sz w:val="20"/>
                <w:szCs w:val="20"/>
                <w:color w:val="auto"/>
              </w:rPr>
            </w:pPr>
            <w:r>
              <w:rPr>
                <w:rFonts w:ascii="Times New Roman" w:cs="Times New Roman" w:eastAsia="Times New Roman" w:hAnsi="Times New Roman"/>
                <w:sz w:val="17"/>
                <w:szCs w:val="17"/>
                <w:color w:val="231F20"/>
              </w:rPr>
              <w:t>(in millions)</w:t>
            </w:r>
          </w:p>
        </w:tc>
        <w:tc>
          <w:tcPr>
            <w:tcW w:w="25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7"/>
        </w:trPr>
        <w:tc>
          <w:tcPr>
            <w:tcW w:w="5960" w:type="dxa"/>
            <w:vAlign w:val="bottom"/>
            <w:tcBorders>
              <w:bottom w:val="single" w:sz="8" w:color="231F20"/>
            </w:tcBorders>
          </w:tcPr>
          <w:p>
            <w:pPr>
              <w:ind w:left="180"/>
              <w:spacing w:after="0"/>
              <w:rPr>
                <w:sz w:val="20"/>
                <w:szCs w:val="20"/>
                <w:color w:val="auto"/>
              </w:rPr>
            </w:pPr>
            <w:r>
              <w:rPr>
                <w:rFonts w:ascii="Times New Roman" w:cs="Times New Roman" w:eastAsia="Times New Roman" w:hAnsi="Times New Roman"/>
                <w:sz w:val="17"/>
                <w:szCs w:val="17"/>
                <w:color w:val="231F20"/>
              </w:rPr>
              <w:t>Years Ended March 31,</w:t>
            </w:r>
          </w:p>
        </w:tc>
        <w:tc>
          <w:tcPr>
            <w:tcW w:w="2500" w:type="dxa"/>
            <w:vAlign w:val="bottom"/>
            <w:tcBorders>
              <w:bottom w:val="single" w:sz="8" w:color="231F20"/>
            </w:tcBorders>
          </w:tcPr>
          <w:p>
            <w:pPr>
              <w:jc w:val="right"/>
              <w:ind w:right="646"/>
              <w:spacing w:after="0"/>
              <w:rPr>
                <w:sz w:val="20"/>
                <w:szCs w:val="20"/>
                <w:color w:val="auto"/>
              </w:rPr>
            </w:pPr>
            <w:r>
              <w:rPr>
                <w:rFonts w:ascii="Times New Roman" w:cs="Times New Roman" w:eastAsia="Times New Roman" w:hAnsi="Times New Roman"/>
                <w:sz w:val="17"/>
                <w:szCs w:val="17"/>
                <w:color w:val="231F20"/>
              </w:rPr>
              <w:t>2025</w:t>
            </w:r>
          </w:p>
        </w:tc>
        <w:tc>
          <w:tcPr>
            <w:tcW w:w="1140" w:type="dxa"/>
            <w:vAlign w:val="bottom"/>
            <w:tcBorders>
              <w:bottom w:val="single" w:sz="8" w:color="231F20"/>
            </w:tcBorders>
          </w:tcPr>
          <w:p>
            <w:pPr>
              <w:jc w:val="right"/>
              <w:ind w:right="386"/>
              <w:spacing w:after="0"/>
              <w:rPr>
                <w:sz w:val="20"/>
                <w:szCs w:val="20"/>
                <w:color w:val="auto"/>
              </w:rPr>
            </w:pPr>
            <w:r>
              <w:rPr>
                <w:rFonts w:ascii="Times New Roman" w:cs="Times New Roman" w:eastAsia="Times New Roman" w:hAnsi="Times New Roman"/>
                <w:sz w:val="17"/>
                <w:szCs w:val="17"/>
                <w:color w:val="231F20"/>
              </w:rPr>
              <w:t>2024</w:t>
            </w:r>
          </w:p>
        </w:tc>
      </w:tr>
      <w:tr>
        <w:trPr>
          <w:trHeight w:val="253"/>
        </w:trPr>
        <w:tc>
          <w:tcPr>
            <w:tcW w:w="596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Cash paid during the year for:</w:t>
            </w:r>
          </w:p>
        </w:tc>
        <w:tc>
          <w:tcPr>
            <w:tcW w:w="25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8"/>
        </w:trPr>
        <w:tc>
          <w:tcPr>
            <w:tcW w:w="596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Income taxes</w:t>
            </w:r>
          </w:p>
        </w:tc>
        <w:tc>
          <w:tcPr>
            <w:tcW w:w="2500" w:type="dxa"/>
            <w:vAlign w:val="bottom"/>
          </w:tcPr>
          <w:p>
            <w:pPr>
              <w:jc w:val="right"/>
              <w:ind w:right="226"/>
              <w:spacing w:after="0"/>
              <w:rPr>
                <w:sz w:val="20"/>
                <w:szCs w:val="20"/>
                <w:color w:val="auto"/>
              </w:rPr>
            </w:pPr>
            <w:r>
              <w:rPr>
                <w:rFonts w:ascii="Times New Roman" w:cs="Times New Roman" w:eastAsia="Times New Roman" w:hAnsi="Times New Roman"/>
                <w:sz w:val="19"/>
                <w:szCs w:val="19"/>
                <w:color w:val="231F20"/>
              </w:rPr>
              <w:t>273.6</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271.3</w:t>
            </w:r>
          </w:p>
        </w:tc>
      </w:tr>
      <w:tr>
        <w:trPr>
          <w:trHeight w:val="277"/>
        </w:trPr>
        <w:tc>
          <w:tcPr>
            <w:tcW w:w="596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Cash received during the year for income tax refunds</w:t>
            </w:r>
          </w:p>
        </w:tc>
        <w:tc>
          <w:tcPr>
            <w:tcW w:w="2500" w:type="dxa"/>
            <w:vAlign w:val="bottom"/>
          </w:tcPr>
          <w:p>
            <w:pPr>
              <w:jc w:val="right"/>
              <w:ind w:right="226"/>
              <w:spacing w:after="0"/>
              <w:rPr>
                <w:sz w:val="20"/>
                <w:szCs w:val="20"/>
                <w:color w:val="auto"/>
              </w:rPr>
            </w:pPr>
            <w:r>
              <w:rPr>
                <w:rFonts w:ascii="Times New Roman" w:cs="Times New Roman" w:eastAsia="Times New Roman" w:hAnsi="Times New Roman"/>
                <w:sz w:val="19"/>
                <w:szCs w:val="19"/>
                <w:color w:val="231F20"/>
              </w:rPr>
              <w:t>9.5</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19.2</w:t>
            </w: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11. BENEFIT PLANS</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In the United States, we sponsor an unfunded post-retirement welfare benefits plan for two groups of United States retirees.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Benefits under this plan include retiree life insurance and retiree medical insurance, including prescription drug coverage.</w:t>
      </w:r>
    </w:p>
    <w:p>
      <w:pPr>
        <w:spacing w:after="0" w:line="111" w:lineRule="exact"/>
        <w:rPr>
          <w:sz w:val="20"/>
          <w:szCs w:val="20"/>
          <w:color w:val="auto"/>
        </w:rPr>
      </w:pPr>
    </w:p>
    <w:p>
      <w:pPr>
        <w:ind w:right="100" w:firstLine="349"/>
        <w:spacing w:after="0" w:line="261" w:lineRule="auto"/>
        <w:rPr>
          <w:sz w:val="20"/>
          <w:szCs w:val="20"/>
          <w:color w:val="auto"/>
        </w:rPr>
      </w:pPr>
      <w:r>
        <w:rPr>
          <w:rFonts w:ascii="Times New Roman" w:cs="Times New Roman" w:eastAsia="Times New Roman" w:hAnsi="Times New Roman"/>
          <w:sz w:val="19"/>
          <w:szCs w:val="19"/>
          <w:color w:val="231F20"/>
        </w:rPr>
        <w:t>We sponsor several defined benefit pension schemes outside the United States: two in the UK, one in the Netherlands, two in Germany, and one in Switzerland. The Synergy Health plc Retirement Benefit Scheme is a defined benefit (final salary) funded pension scheme. In previous years, Synergy sponsored a funded defined benefit arrangement in the Netherlands. This was a separate fund holding the pension scheme assets to meet long-term pension liabilities for past and present employees. Accrual of benefits ceased under the scheme effective January 1, 2013. The Synergy Radeberg and Synergy Allershausen Schemes are unfunded defined pension schemes and are closed to new entrants. The Synergy Daniken Scheme is a defined benefit funded pension scheme. As a result of our fiscal 2018 acquisition of Harwell Dosimeters Ltd, we also sponsor the Harwell Dosimeters Ltd Retirement Benefits Scheme which is a defined benefit funded pension scheme.</w:t>
      </w:r>
    </w:p>
    <w:p>
      <w:pPr>
        <w:spacing w:after="0" w:line="79" w:lineRule="exact"/>
        <w:rPr>
          <w:sz w:val="20"/>
          <w:szCs w:val="20"/>
          <w:color w:val="auto"/>
        </w:rPr>
      </w:pPr>
    </w:p>
    <w:p>
      <w:pPr>
        <w:ind w:right="140" w:firstLine="349"/>
        <w:spacing w:after="0" w:line="268" w:lineRule="auto"/>
        <w:rPr>
          <w:sz w:val="20"/>
          <w:szCs w:val="20"/>
          <w:color w:val="auto"/>
        </w:rPr>
      </w:pPr>
      <w:r>
        <w:rPr>
          <w:rFonts w:ascii="Times New Roman" w:cs="Times New Roman" w:eastAsia="Times New Roman" w:hAnsi="Times New Roman"/>
          <w:sz w:val="19"/>
          <w:szCs w:val="19"/>
          <w:color w:val="231F20"/>
        </w:rPr>
        <w:t>We recognize the funded status of our defined benefit pension and post-retirement benefit plans in our Consolidated Balance Sheets, with a corresponding adjustment to accumulated other comprehensive income, net of tax. The funded status is measured as of March 31 each year and is calculated as the difference between the fair value of plan assets and the benefit obligation (which is the projected benefit obligation for pension plans and the accumulated post-retirement benefit obligation</w:t>
      </w:r>
    </w:p>
    <w:p>
      <w:pPr>
        <w:sectPr>
          <w:pgSz w:w="11880" w:h="15480" w:orient="portrait"/>
          <w:cols w:equalWidth="0" w:num="1">
            <w:col w:w="9960"/>
          </w:cols>
          <w:pgMar w:left="960" w:top="250" w:right="960" w:bottom="0" w:gutter="0" w:footer="0" w:header="0"/>
        </w:sect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82</w:t>
      </w:r>
    </w:p>
    <w:p>
      <w:pPr>
        <w:sectPr>
          <w:pgSz w:w="11880" w:h="15480" w:orient="portrait"/>
          <w:cols w:equalWidth="0" w:num="1">
            <w:col w:w="9960"/>
          </w:cols>
          <w:pgMar w:left="960" w:top="250" w:right="960" w:bottom="0" w:gutter="0" w:footer="0" w:header="0"/>
          <w:type w:val="continuous"/>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9"/>
          <w:szCs w:val="19"/>
          <w:color w:val="231F20"/>
        </w:rPr>
        <w:t>for post-retirement benefit plans). Accumulated comprehensive income (loss) represents the net unrecognized actuarial losses and unrecognized prior service cost. These amounts will be recognized in net periodic benefit cost as they are amortized. We will recognize future changes to the funded status of these plans in the year the change occurs, through other comprehensive income.</w:t>
      </w:r>
    </w:p>
    <w:p>
      <w:pPr>
        <w:spacing w:after="0" w:line="6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b w:val="1"/>
          <w:bCs w:val="1"/>
          <w:color w:val="231F20"/>
        </w:rPr>
        <w:t xml:space="preserve">Obligations and Funded Status. </w:t>
      </w:r>
      <w:r>
        <w:rPr>
          <w:rFonts w:ascii="Times New Roman" w:cs="Times New Roman" w:eastAsia="Times New Roman" w:hAnsi="Times New Roman"/>
          <w:sz w:val="19"/>
          <w:szCs w:val="19"/>
          <w:color w:val="231F20"/>
        </w:rPr>
        <w:t>The following table reconciles the funded status of the defined benefit pension plans and the</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other post-retirement benefits plan to the amounts recorded on our Consolidated Balance Sheets at March 31, 2026 and 2025, respectively. Benefit obligation balances presented in the following table reflect the projected benefit obligations for our defined benefit pension plans and the accumulated other post-retirement benefit obligation for our post-retirement benefits plan. The measurement date of our defined benefit pension plans and other post-retirement benefits plan is March 31, for both periods presented.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40" w:type="dxa"/>
            <w:vAlign w:val="bottom"/>
          </w:tcPr>
          <w:p>
            <w:pPr>
              <w:spacing w:after="0"/>
              <w:rPr>
                <w:sz w:val="17"/>
                <w:szCs w:val="17"/>
                <w:color w:val="auto"/>
              </w:rPr>
            </w:pPr>
          </w:p>
        </w:tc>
        <w:tc>
          <w:tcPr>
            <w:tcW w:w="182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231F20"/>
              </w:rPr>
              <w:t>Defined Benefit Pension</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center"/>
              <w:ind w:left="393"/>
              <w:spacing w:after="0"/>
              <w:rPr>
                <w:sz w:val="20"/>
                <w:szCs w:val="20"/>
                <w:color w:val="auto"/>
              </w:rPr>
            </w:pPr>
            <w:r>
              <w:rPr>
                <w:rFonts w:ascii="Times New Roman" w:cs="Times New Roman" w:eastAsia="Times New Roman" w:hAnsi="Times New Roman"/>
                <w:sz w:val="17"/>
                <w:szCs w:val="17"/>
                <w:color w:val="231F20"/>
              </w:rPr>
              <w:t>Other</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2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231F20"/>
              </w:rPr>
              <w:t>(in millions)</w:t>
            </w:r>
          </w:p>
        </w:tc>
        <w:tc>
          <w:tcPr>
            <w:tcW w:w="182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3"/>
          </w:tcPr>
          <w:p>
            <w:pPr>
              <w:jc w:val="center"/>
              <w:ind w:right="113"/>
              <w:spacing w:after="0" w:line="175" w:lineRule="exact"/>
              <w:rPr>
                <w:sz w:val="20"/>
                <w:szCs w:val="20"/>
                <w:color w:val="auto"/>
              </w:rPr>
            </w:pPr>
            <w:r>
              <w:rPr>
                <w:rFonts w:ascii="Times New Roman" w:cs="Times New Roman" w:eastAsia="Times New Roman" w:hAnsi="Times New Roman"/>
                <w:sz w:val="17"/>
                <w:szCs w:val="17"/>
                <w:color w:val="231F20"/>
              </w:rPr>
              <w:t>Post-Retirement</w:t>
            </w:r>
          </w:p>
        </w:tc>
        <w:tc>
          <w:tcPr>
            <w:tcW w:w="0" w:type="dxa"/>
            <w:vAlign w:val="bottom"/>
          </w:tcPr>
          <w:p>
            <w:pPr>
              <w:spacing w:after="0"/>
              <w:rPr>
                <w:sz w:val="1"/>
                <w:szCs w:val="1"/>
                <w:color w:val="auto"/>
              </w:rPr>
            </w:pPr>
          </w:p>
        </w:tc>
      </w:tr>
      <w:tr>
        <w:trPr>
          <w:trHeight w:val="231"/>
        </w:trPr>
        <w:tc>
          <w:tcPr>
            <w:tcW w:w="6240" w:type="dxa"/>
            <w:vAlign w:val="bottom"/>
            <w:vMerge w:val="continue"/>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7"/>
                <w:szCs w:val="17"/>
                <w:color w:val="231F20"/>
              </w:rPr>
              <w:t>Plans</w:t>
            </w:r>
          </w:p>
        </w:tc>
        <w:tc>
          <w:tcPr>
            <w:tcW w:w="680" w:type="dxa"/>
            <w:vAlign w:val="bottom"/>
            <w:tcBorders>
              <w:bottom w:val="single" w:sz="8" w:color="231F20"/>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1620" w:type="dxa"/>
            <w:vAlign w:val="bottom"/>
            <w:tcBorders>
              <w:bottom w:val="single" w:sz="8" w:color="231F20"/>
            </w:tcBorders>
            <w:gridSpan w:val="3"/>
          </w:tcPr>
          <w:p>
            <w:pPr>
              <w:jc w:val="center"/>
              <w:ind w:right="113"/>
              <w:spacing w:after="0"/>
              <w:rPr>
                <w:sz w:val="20"/>
                <w:szCs w:val="20"/>
                <w:color w:val="auto"/>
              </w:rPr>
            </w:pPr>
            <w:r>
              <w:rPr>
                <w:rFonts w:ascii="Times New Roman" w:cs="Times New Roman" w:eastAsia="Times New Roman" w:hAnsi="Times New Roman"/>
                <w:sz w:val="17"/>
                <w:szCs w:val="17"/>
                <w:color w:val="231F20"/>
              </w:rPr>
              <w:t>Benefits Plan</w:t>
            </w:r>
          </w:p>
        </w:tc>
        <w:tc>
          <w:tcPr>
            <w:tcW w:w="0" w:type="dxa"/>
            <w:vAlign w:val="bottom"/>
          </w:tcPr>
          <w:p>
            <w:pPr>
              <w:spacing w:after="0"/>
              <w:rPr>
                <w:sz w:val="1"/>
                <w:szCs w:val="1"/>
                <w:color w:val="auto"/>
              </w:rPr>
            </w:pPr>
          </w:p>
        </w:tc>
      </w:tr>
      <w:tr>
        <w:trPr>
          <w:trHeight w:val="228"/>
        </w:trPr>
        <w:tc>
          <w:tcPr>
            <w:tcW w:w="6240" w:type="dxa"/>
            <w:vAlign w:val="bottom"/>
            <w:tcBorders>
              <w:bottom w:val="single" w:sz="8" w:color="231F20"/>
            </w:tcBorders>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720" w:type="dxa"/>
            <w:vAlign w:val="bottom"/>
            <w:tcBorders>
              <w:bottom w:val="single" w:sz="8" w:color="231F20"/>
            </w:tcBorders>
          </w:tcPr>
          <w:p>
            <w:pPr>
              <w:jc w:val="right"/>
              <w:ind w:right="233"/>
              <w:spacing w:after="0"/>
              <w:rPr>
                <w:sz w:val="20"/>
                <w:szCs w:val="20"/>
                <w:color w:val="auto"/>
              </w:rPr>
            </w:pPr>
            <w:r>
              <w:rPr>
                <w:rFonts w:ascii="Times New Roman" w:cs="Times New Roman" w:eastAsia="Times New Roman" w:hAnsi="Times New Roman"/>
                <w:sz w:val="17"/>
                <w:szCs w:val="17"/>
                <w:color w:val="231F20"/>
              </w:rPr>
              <w:t>2026</w:t>
            </w:r>
          </w:p>
        </w:tc>
        <w:tc>
          <w:tcPr>
            <w:tcW w:w="220" w:type="dxa"/>
            <w:vAlign w:val="bottom"/>
            <w:tcBorders>
              <w:bottom w:val="single" w:sz="8" w:color="231F20"/>
            </w:tcBorders>
          </w:tcPr>
          <w:p>
            <w:pPr>
              <w:spacing w:after="0"/>
              <w:rPr>
                <w:sz w:val="19"/>
                <w:szCs w:val="19"/>
                <w:color w:val="auto"/>
              </w:rPr>
            </w:pPr>
          </w:p>
        </w:tc>
        <w:tc>
          <w:tcPr>
            <w:tcW w:w="680" w:type="dxa"/>
            <w:vAlign w:val="bottom"/>
            <w:tcBorders>
              <w:bottom w:val="single" w:sz="8" w:color="231F20"/>
            </w:tcBorders>
          </w:tcPr>
          <w:p>
            <w:pPr>
              <w:jc w:val="right"/>
              <w:ind w:right="193"/>
              <w:spacing w:after="0"/>
              <w:rPr>
                <w:sz w:val="20"/>
                <w:szCs w:val="20"/>
                <w:color w:val="auto"/>
              </w:rPr>
            </w:pPr>
            <w:r>
              <w:rPr>
                <w:rFonts w:ascii="Times New Roman" w:cs="Times New Roman" w:eastAsia="Times New Roman" w:hAnsi="Times New Roman"/>
                <w:sz w:val="17"/>
                <w:szCs w:val="17"/>
                <w:color w:val="231F20"/>
              </w:rPr>
              <w:t>2025</w:t>
            </w:r>
          </w:p>
        </w:tc>
        <w:tc>
          <w:tcPr>
            <w:tcW w:w="60" w:type="dxa"/>
            <w:vAlign w:val="bottom"/>
            <w:tcBorders>
              <w:bottom w:val="single" w:sz="8" w:color="231F20"/>
            </w:tcBorders>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740" w:type="dxa"/>
            <w:vAlign w:val="bottom"/>
            <w:tcBorders>
              <w:bottom w:val="single" w:sz="8" w:color="231F20"/>
            </w:tcBorders>
          </w:tcPr>
          <w:p>
            <w:pPr>
              <w:jc w:val="right"/>
              <w:ind w:right="233"/>
              <w:spacing w:after="0"/>
              <w:rPr>
                <w:sz w:val="20"/>
                <w:szCs w:val="20"/>
                <w:color w:val="auto"/>
              </w:rPr>
            </w:pPr>
            <w:r>
              <w:rPr>
                <w:rFonts w:ascii="Times New Roman" w:cs="Times New Roman" w:eastAsia="Times New Roman" w:hAnsi="Times New Roman"/>
                <w:sz w:val="17"/>
                <w:szCs w:val="17"/>
                <w:color w:val="231F20"/>
              </w:rPr>
              <w:t>2026</w:t>
            </w:r>
          </w:p>
        </w:tc>
        <w:tc>
          <w:tcPr>
            <w:tcW w:w="220" w:type="dxa"/>
            <w:vAlign w:val="bottom"/>
            <w:tcBorders>
              <w:bottom w:val="single" w:sz="8" w:color="231F20"/>
            </w:tcBorders>
          </w:tcPr>
          <w:p>
            <w:pPr>
              <w:spacing w:after="0"/>
              <w:rPr>
                <w:sz w:val="19"/>
                <w:szCs w:val="19"/>
                <w:color w:val="auto"/>
              </w:rPr>
            </w:pPr>
          </w:p>
        </w:tc>
        <w:tc>
          <w:tcPr>
            <w:tcW w:w="660" w:type="dxa"/>
            <w:vAlign w:val="bottom"/>
            <w:tcBorders>
              <w:bottom w:val="single" w:sz="8" w:color="231F20"/>
            </w:tcBorders>
          </w:tcPr>
          <w:p>
            <w:pPr>
              <w:jc w:val="right"/>
              <w:ind w:right="173"/>
              <w:spacing w:after="0"/>
              <w:rPr>
                <w:sz w:val="20"/>
                <w:szCs w:val="20"/>
                <w:color w:val="auto"/>
              </w:rPr>
            </w:pPr>
            <w:r>
              <w:rPr>
                <w:rFonts w:ascii="Times New Roman" w:cs="Times New Roman" w:eastAsia="Times New Roman" w:hAnsi="Times New Roman"/>
                <w:sz w:val="17"/>
                <w:szCs w:val="17"/>
                <w:color w:val="231F20"/>
              </w:rPr>
              <w:t>2025</w:t>
            </w:r>
          </w:p>
        </w:tc>
        <w:tc>
          <w:tcPr>
            <w:tcW w:w="0" w:type="dxa"/>
            <w:vAlign w:val="bottom"/>
          </w:tcPr>
          <w:p>
            <w:pPr>
              <w:spacing w:after="0"/>
              <w:rPr>
                <w:sz w:val="1"/>
                <w:szCs w:val="1"/>
                <w:color w:val="auto"/>
              </w:rPr>
            </w:pPr>
          </w:p>
        </w:tc>
      </w:tr>
      <w:tr>
        <w:trPr>
          <w:trHeight w:val="252"/>
        </w:trPr>
        <w:tc>
          <w:tcPr>
            <w:tcW w:w="624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231F20"/>
              </w:rPr>
              <w:t>Change in Benefit Obligations:</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24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231F20"/>
              </w:rPr>
              <w:t>Benefit Obligations at Beginning of Year</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231F20"/>
              </w:rPr>
              <w:t>$</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231F20"/>
              </w:rPr>
              <w:t>90.7</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96.4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231F20"/>
              </w:rPr>
              <w:t>$</w:t>
            </w: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231F20"/>
              </w:rPr>
              <w:t>5.8</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6.2</w:t>
            </w:r>
          </w:p>
        </w:tc>
        <w:tc>
          <w:tcPr>
            <w:tcW w:w="0" w:type="dxa"/>
            <w:vAlign w:val="bottom"/>
          </w:tcPr>
          <w:p>
            <w:pPr>
              <w:spacing w:after="0"/>
              <w:rPr>
                <w:sz w:val="1"/>
                <w:szCs w:val="1"/>
                <w:color w:val="auto"/>
              </w:rPr>
            </w:pPr>
          </w:p>
        </w:tc>
      </w:tr>
      <w:tr>
        <w:trPr>
          <w:trHeight w:val="291"/>
        </w:trPr>
        <w:tc>
          <w:tcPr>
            <w:tcW w:w="6240" w:type="dxa"/>
            <w:vAlign w:val="bottom"/>
          </w:tcPr>
          <w:p>
            <w:pPr>
              <w:ind w:left="280"/>
              <w:spacing w:after="0"/>
              <w:rPr>
                <w:sz w:val="20"/>
                <w:szCs w:val="20"/>
                <w:color w:val="auto"/>
              </w:rPr>
            </w:pPr>
            <w:r>
              <w:rPr>
                <w:rFonts w:ascii="Times New Roman" w:cs="Times New Roman" w:eastAsia="Times New Roman" w:hAnsi="Times New Roman"/>
                <w:sz w:val="17"/>
                <w:szCs w:val="17"/>
                <w:color w:val="231F20"/>
              </w:rPr>
              <w:t>Service cost</w:t>
            </w:r>
          </w:p>
        </w:tc>
        <w:tc>
          <w:tcPr>
            <w:tcW w:w="200" w:type="dxa"/>
            <w:vAlign w:val="bottom"/>
          </w:tcPr>
          <w:p>
            <w:pPr>
              <w:spacing w:after="0"/>
              <w:rPr>
                <w:sz w:val="24"/>
                <w:szCs w:val="24"/>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231F20"/>
              </w:rPr>
              <w:t>0.7</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0.7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231F20"/>
              </w:rPr>
              <w:t>—</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0" w:type="dxa"/>
            <w:vAlign w:val="bottom"/>
          </w:tcPr>
          <w:p>
            <w:pPr>
              <w:spacing w:after="0"/>
              <w:rPr>
                <w:sz w:val="1"/>
                <w:szCs w:val="1"/>
                <w:color w:val="auto"/>
              </w:rPr>
            </w:pPr>
          </w:p>
        </w:tc>
      </w:tr>
      <w:tr>
        <w:trPr>
          <w:trHeight w:val="291"/>
        </w:trPr>
        <w:tc>
          <w:tcPr>
            <w:tcW w:w="6240" w:type="dxa"/>
            <w:vAlign w:val="bottom"/>
          </w:tcPr>
          <w:p>
            <w:pPr>
              <w:ind w:left="280"/>
              <w:spacing w:after="0"/>
              <w:rPr>
                <w:sz w:val="20"/>
                <w:szCs w:val="20"/>
                <w:color w:val="auto"/>
              </w:rPr>
            </w:pPr>
            <w:r>
              <w:rPr>
                <w:rFonts w:ascii="Times New Roman" w:cs="Times New Roman" w:eastAsia="Times New Roman" w:hAnsi="Times New Roman"/>
                <w:sz w:val="17"/>
                <w:szCs w:val="17"/>
                <w:color w:val="231F20"/>
              </w:rPr>
              <w:t>Prior service cost</w:t>
            </w:r>
          </w:p>
        </w:tc>
        <w:tc>
          <w:tcPr>
            <w:tcW w:w="200" w:type="dxa"/>
            <w:vAlign w:val="bottom"/>
          </w:tcPr>
          <w:p>
            <w:pPr>
              <w:spacing w:after="0"/>
              <w:rPr>
                <w:sz w:val="24"/>
                <w:szCs w:val="24"/>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231F20"/>
              </w:rPr>
              <w:t>2.4</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231F20"/>
              </w:rPr>
              <w:t>—</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0" w:type="dxa"/>
            <w:vAlign w:val="bottom"/>
          </w:tcPr>
          <w:p>
            <w:pPr>
              <w:spacing w:after="0"/>
              <w:rPr>
                <w:sz w:val="1"/>
                <w:szCs w:val="1"/>
                <w:color w:val="auto"/>
              </w:rPr>
            </w:pPr>
          </w:p>
        </w:tc>
      </w:tr>
      <w:tr>
        <w:trPr>
          <w:trHeight w:val="291"/>
        </w:trPr>
        <w:tc>
          <w:tcPr>
            <w:tcW w:w="6240" w:type="dxa"/>
            <w:vAlign w:val="bottom"/>
          </w:tcPr>
          <w:p>
            <w:pPr>
              <w:ind w:left="280"/>
              <w:spacing w:after="0"/>
              <w:rPr>
                <w:sz w:val="20"/>
                <w:szCs w:val="20"/>
                <w:color w:val="auto"/>
              </w:rPr>
            </w:pPr>
            <w:r>
              <w:rPr>
                <w:rFonts w:ascii="Times New Roman" w:cs="Times New Roman" w:eastAsia="Times New Roman" w:hAnsi="Times New Roman"/>
                <w:sz w:val="17"/>
                <w:szCs w:val="17"/>
                <w:color w:val="231F20"/>
              </w:rPr>
              <w:t>Interest cost</w:t>
            </w:r>
          </w:p>
        </w:tc>
        <w:tc>
          <w:tcPr>
            <w:tcW w:w="200" w:type="dxa"/>
            <w:vAlign w:val="bottom"/>
          </w:tcPr>
          <w:p>
            <w:pPr>
              <w:spacing w:after="0"/>
              <w:rPr>
                <w:sz w:val="24"/>
                <w:szCs w:val="24"/>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231F20"/>
              </w:rPr>
              <w:t>4.7</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4.2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231F20"/>
              </w:rPr>
              <w:t>0.3</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.3</w:t>
            </w:r>
          </w:p>
        </w:tc>
        <w:tc>
          <w:tcPr>
            <w:tcW w:w="0" w:type="dxa"/>
            <w:vAlign w:val="bottom"/>
          </w:tcPr>
          <w:p>
            <w:pPr>
              <w:spacing w:after="0"/>
              <w:rPr>
                <w:sz w:val="1"/>
                <w:szCs w:val="1"/>
                <w:color w:val="auto"/>
              </w:rPr>
            </w:pPr>
          </w:p>
        </w:tc>
      </w:tr>
      <w:tr>
        <w:trPr>
          <w:trHeight w:val="291"/>
        </w:trPr>
        <w:tc>
          <w:tcPr>
            <w:tcW w:w="6240" w:type="dxa"/>
            <w:vAlign w:val="bottom"/>
          </w:tcPr>
          <w:p>
            <w:pPr>
              <w:ind w:left="280"/>
              <w:spacing w:after="0"/>
              <w:rPr>
                <w:sz w:val="20"/>
                <w:szCs w:val="20"/>
                <w:color w:val="auto"/>
              </w:rPr>
            </w:pPr>
            <w:r>
              <w:rPr>
                <w:rFonts w:ascii="Times New Roman" w:cs="Times New Roman" w:eastAsia="Times New Roman" w:hAnsi="Times New Roman"/>
                <w:sz w:val="17"/>
                <w:szCs w:val="17"/>
                <w:color w:val="231F20"/>
              </w:rPr>
              <w:t>Actuarial gain</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rPr>
              <w:t>(1.9)</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(9.1)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rPr>
              <w:t>(0.4)</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(.6)</w:t>
            </w:r>
          </w:p>
        </w:tc>
        <w:tc>
          <w:tcPr>
            <w:tcW w:w="0" w:type="dxa"/>
            <w:vAlign w:val="bottom"/>
          </w:tcPr>
          <w:p>
            <w:pPr>
              <w:spacing w:after="0"/>
              <w:rPr>
                <w:sz w:val="1"/>
                <w:szCs w:val="1"/>
                <w:color w:val="auto"/>
              </w:rPr>
            </w:pPr>
          </w:p>
        </w:tc>
      </w:tr>
      <w:tr>
        <w:trPr>
          <w:trHeight w:val="291"/>
        </w:trPr>
        <w:tc>
          <w:tcPr>
            <w:tcW w:w="6240" w:type="dxa"/>
            <w:vAlign w:val="bottom"/>
          </w:tcPr>
          <w:p>
            <w:pPr>
              <w:ind w:left="280"/>
              <w:spacing w:after="0"/>
              <w:rPr>
                <w:sz w:val="20"/>
                <w:szCs w:val="20"/>
                <w:color w:val="auto"/>
              </w:rPr>
            </w:pPr>
            <w:r>
              <w:rPr>
                <w:rFonts w:ascii="Times New Roman" w:cs="Times New Roman" w:eastAsia="Times New Roman" w:hAnsi="Times New Roman"/>
                <w:sz w:val="17"/>
                <w:szCs w:val="17"/>
                <w:color w:val="231F20"/>
              </w:rPr>
              <w:t>Benefits and expenses</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rPr>
              <w:t>(6.2)</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(4.6)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rPr>
              <w:t>(0.5)</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w:t>
            </w:r>
          </w:p>
        </w:tc>
        <w:tc>
          <w:tcPr>
            <w:tcW w:w="0" w:type="dxa"/>
            <w:vAlign w:val="bottom"/>
          </w:tcPr>
          <w:p>
            <w:pPr>
              <w:spacing w:after="0"/>
              <w:rPr>
                <w:sz w:val="1"/>
                <w:szCs w:val="1"/>
                <w:color w:val="auto"/>
              </w:rPr>
            </w:pPr>
          </w:p>
        </w:tc>
      </w:tr>
      <w:tr>
        <w:trPr>
          <w:trHeight w:val="291"/>
        </w:trPr>
        <w:tc>
          <w:tcPr>
            <w:tcW w:w="6240" w:type="dxa"/>
            <w:vAlign w:val="bottom"/>
          </w:tcPr>
          <w:p>
            <w:pPr>
              <w:ind w:left="280"/>
              <w:spacing w:after="0"/>
              <w:rPr>
                <w:sz w:val="20"/>
                <w:szCs w:val="20"/>
                <w:color w:val="auto"/>
              </w:rPr>
            </w:pPr>
            <w:r>
              <w:rPr>
                <w:rFonts w:ascii="Times New Roman" w:cs="Times New Roman" w:eastAsia="Times New Roman" w:hAnsi="Times New Roman"/>
                <w:sz w:val="17"/>
                <w:szCs w:val="17"/>
                <w:color w:val="231F20"/>
              </w:rPr>
              <w:t>Employee contributions</w:t>
            </w:r>
          </w:p>
        </w:tc>
        <w:tc>
          <w:tcPr>
            <w:tcW w:w="200" w:type="dxa"/>
            <w:vAlign w:val="bottom"/>
          </w:tcPr>
          <w:p>
            <w:pPr>
              <w:spacing w:after="0"/>
              <w:rPr>
                <w:sz w:val="24"/>
                <w:szCs w:val="24"/>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231F20"/>
              </w:rPr>
              <w:t>0.6</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231F20"/>
              </w:rPr>
              <w:t>—</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0" w:type="dxa"/>
            <w:vAlign w:val="bottom"/>
          </w:tcPr>
          <w:p>
            <w:pPr>
              <w:spacing w:after="0"/>
              <w:rPr>
                <w:sz w:val="1"/>
                <w:szCs w:val="1"/>
                <w:color w:val="auto"/>
              </w:rPr>
            </w:pPr>
          </w:p>
        </w:tc>
      </w:tr>
      <w:tr>
        <w:trPr>
          <w:trHeight w:val="291"/>
        </w:trPr>
        <w:tc>
          <w:tcPr>
            <w:tcW w:w="6240" w:type="dxa"/>
            <w:vAlign w:val="bottom"/>
          </w:tcPr>
          <w:p>
            <w:pPr>
              <w:ind w:left="280"/>
              <w:spacing w:after="0"/>
              <w:rPr>
                <w:sz w:val="20"/>
                <w:szCs w:val="20"/>
                <w:color w:val="auto"/>
              </w:rPr>
            </w:pPr>
            <w:r>
              <w:rPr>
                <w:rFonts w:ascii="Times New Roman" w:cs="Times New Roman" w:eastAsia="Times New Roman" w:hAnsi="Times New Roman"/>
                <w:sz w:val="17"/>
                <w:szCs w:val="17"/>
                <w:color w:val="231F20"/>
              </w:rPr>
              <w:t>Curtailments/settlements</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rPr>
              <w:t>(0.9)</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231F20"/>
              </w:rPr>
              <w:t>—</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0" w:type="dxa"/>
            <w:vAlign w:val="bottom"/>
          </w:tcPr>
          <w:p>
            <w:pPr>
              <w:spacing w:after="0"/>
              <w:rPr>
                <w:sz w:val="1"/>
                <w:szCs w:val="1"/>
                <w:color w:val="auto"/>
              </w:rPr>
            </w:pPr>
          </w:p>
        </w:tc>
      </w:tr>
      <w:tr>
        <w:trPr>
          <w:trHeight w:val="295"/>
        </w:trPr>
        <w:tc>
          <w:tcPr>
            <w:tcW w:w="6240" w:type="dxa"/>
            <w:vAlign w:val="bottom"/>
          </w:tcPr>
          <w:p>
            <w:pPr>
              <w:ind w:left="280"/>
              <w:spacing w:after="0"/>
              <w:rPr>
                <w:sz w:val="20"/>
                <w:szCs w:val="20"/>
                <w:color w:val="auto"/>
              </w:rPr>
            </w:pPr>
            <w:r>
              <w:rPr>
                <w:rFonts w:ascii="Times New Roman" w:cs="Times New Roman" w:eastAsia="Times New Roman" w:hAnsi="Times New Roman"/>
                <w:sz w:val="17"/>
                <w:szCs w:val="17"/>
                <w:color w:val="231F20"/>
              </w:rPr>
              <w:t>Impact of foreign currency exchange rate changes</w:t>
            </w:r>
          </w:p>
        </w:tc>
        <w:tc>
          <w:tcPr>
            <w:tcW w:w="20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231F20"/>
              </w:rPr>
              <w:t>2.9</w:t>
            </w:r>
          </w:p>
        </w:tc>
        <w:tc>
          <w:tcPr>
            <w:tcW w:w="220" w:type="dxa"/>
            <w:vAlign w:val="bottom"/>
            <w:tcBorders>
              <w:bottom w:val="single" w:sz="8" w:color="231F20"/>
            </w:tcBorders>
          </w:tcPr>
          <w:p>
            <w:pPr>
              <w:spacing w:after="0"/>
              <w:rPr>
                <w:sz w:val="24"/>
                <w:szCs w:val="24"/>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2.1</w:t>
            </w:r>
          </w:p>
        </w:tc>
        <w:tc>
          <w:tcPr>
            <w:tcW w:w="60" w:type="dxa"/>
            <w:vAlign w:val="bottom"/>
            <w:tcBorders>
              <w:bottom w:val="single" w:sz="8" w:color="231F20"/>
            </w:tcBorders>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231F20"/>
              </w:rPr>
              <w:t>—</w:t>
            </w:r>
          </w:p>
        </w:tc>
        <w:tc>
          <w:tcPr>
            <w:tcW w:w="220" w:type="dxa"/>
            <w:vAlign w:val="bottom"/>
            <w:tcBorders>
              <w:bottom w:val="single" w:sz="8" w:color="231F20"/>
            </w:tcBorders>
          </w:tcPr>
          <w:p>
            <w:pPr>
              <w:spacing w:after="0"/>
              <w:rPr>
                <w:sz w:val="24"/>
                <w:szCs w:val="24"/>
                <w:color w:val="auto"/>
              </w:rPr>
            </w:pP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0" w:type="dxa"/>
            <w:vAlign w:val="bottom"/>
          </w:tcPr>
          <w:p>
            <w:pPr>
              <w:spacing w:after="0"/>
              <w:rPr>
                <w:sz w:val="1"/>
                <w:szCs w:val="1"/>
                <w:color w:val="auto"/>
              </w:rPr>
            </w:pPr>
          </w:p>
        </w:tc>
      </w:tr>
      <w:tr>
        <w:trPr>
          <w:trHeight w:val="252"/>
        </w:trPr>
        <w:tc>
          <w:tcPr>
            <w:tcW w:w="624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231F20"/>
              </w:rPr>
              <w:t>Benefit Obligations at End of Year</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231F20"/>
              </w:rPr>
              <w:t>$</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231F20"/>
              </w:rPr>
              <w:t>93.1</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90.7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231F20"/>
              </w:rPr>
              <w:t>$</w:t>
            </w: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231F20"/>
              </w:rPr>
              <w:t>5.2</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5.8</w:t>
            </w:r>
          </w:p>
        </w:tc>
        <w:tc>
          <w:tcPr>
            <w:tcW w:w="0" w:type="dxa"/>
            <w:vAlign w:val="bottom"/>
          </w:tcPr>
          <w:p>
            <w:pPr>
              <w:spacing w:after="0"/>
              <w:rPr>
                <w:sz w:val="1"/>
                <w:szCs w:val="1"/>
                <w:color w:val="auto"/>
              </w:rPr>
            </w:pPr>
          </w:p>
        </w:tc>
      </w:tr>
      <w:tr>
        <w:trPr>
          <w:trHeight w:val="277"/>
        </w:trPr>
        <w:tc>
          <w:tcPr>
            <w:tcW w:w="624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231F20"/>
              </w:rPr>
              <w:t>Change in Plan Assets:</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24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231F20"/>
              </w:rPr>
              <w:t>Fair Value of Plan Assets at Beginning of Year</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231F20"/>
              </w:rPr>
              <w:t>$</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231F20"/>
              </w:rPr>
              <w:t>109.3</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113.9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231F20"/>
              </w:rPr>
              <w:t>$</w:t>
            </w: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231F20"/>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0" w:type="dxa"/>
            <w:vAlign w:val="bottom"/>
          </w:tcPr>
          <w:p>
            <w:pPr>
              <w:spacing w:after="0"/>
              <w:rPr>
                <w:sz w:val="1"/>
                <w:szCs w:val="1"/>
                <w:color w:val="auto"/>
              </w:rPr>
            </w:pPr>
          </w:p>
        </w:tc>
      </w:tr>
      <w:tr>
        <w:trPr>
          <w:trHeight w:val="291"/>
        </w:trPr>
        <w:tc>
          <w:tcPr>
            <w:tcW w:w="6240" w:type="dxa"/>
            <w:vAlign w:val="bottom"/>
          </w:tcPr>
          <w:p>
            <w:pPr>
              <w:ind w:left="280"/>
              <w:spacing w:after="0"/>
              <w:rPr>
                <w:sz w:val="20"/>
                <w:szCs w:val="20"/>
                <w:color w:val="auto"/>
              </w:rPr>
            </w:pPr>
            <w:r>
              <w:rPr>
                <w:rFonts w:ascii="Times New Roman" w:cs="Times New Roman" w:eastAsia="Times New Roman" w:hAnsi="Times New Roman"/>
                <w:sz w:val="17"/>
                <w:szCs w:val="17"/>
                <w:color w:val="231F20"/>
              </w:rPr>
              <w:t>Actual return on plan assets</w:t>
            </w:r>
          </w:p>
        </w:tc>
        <w:tc>
          <w:tcPr>
            <w:tcW w:w="200" w:type="dxa"/>
            <w:vAlign w:val="bottom"/>
          </w:tcPr>
          <w:p>
            <w:pPr>
              <w:spacing w:after="0"/>
              <w:rPr>
                <w:sz w:val="24"/>
                <w:szCs w:val="24"/>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231F20"/>
              </w:rPr>
              <w:t>6.0</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(4.9)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231F20"/>
              </w:rPr>
              <w:t>—</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0" w:type="dxa"/>
            <w:vAlign w:val="bottom"/>
          </w:tcPr>
          <w:p>
            <w:pPr>
              <w:spacing w:after="0"/>
              <w:rPr>
                <w:sz w:val="1"/>
                <w:szCs w:val="1"/>
                <w:color w:val="auto"/>
              </w:rPr>
            </w:pPr>
          </w:p>
        </w:tc>
      </w:tr>
      <w:tr>
        <w:trPr>
          <w:trHeight w:val="291"/>
        </w:trPr>
        <w:tc>
          <w:tcPr>
            <w:tcW w:w="6240" w:type="dxa"/>
            <w:vAlign w:val="bottom"/>
          </w:tcPr>
          <w:p>
            <w:pPr>
              <w:ind w:left="280"/>
              <w:spacing w:after="0"/>
              <w:rPr>
                <w:sz w:val="20"/>
                <w:szCs w:val="20"/>
                <w:color w:val="auto"/>
              </w:rPr>
            </w:pPr>
            <w:r>
              <w:rPr>
                <w:rFonts w:ascii="Times New Roman" w:cs="Times New Roman" w:eastAsia="Times New Roman" w:hAnsi="Times New Roman"/>
                <w:sz w:val="17"/>
                <w:szCs w:val="17"/>
                <w:color w:val="231F20"/>
              </w:rPr>
              <w:t>Employer contributions</w:t>
            </w:r>
          </w:p>
        </w:tc>
        <w:tc>
          <w:tcPr>
            <w:tcW w:w="200" w:type="dxa"/>
            <w:vAlign w:val="bottom"/>
          </w:tcPr>
          <w:p>
            <w:pPr>
              <w:spacing w:after="0"/>
              <w:rPr>
                <w:sz w:val="24"/>
                <w:szCs w:val="24"/>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231F20"/>
              </w:rPr>
              <w:t>0.7</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231F20"/>
              </w:rPr>
              <w:t>0.5</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0.1</w:t>
            </w:r>
          </w:p>
        </w:tc>
        <w:tc>
          <w:tcPr>
            <w:tcW w:w="0" w:type="dxa"/>
            <w:vAlign w:val="bottom"/>
          </w:tcPr>
          <w:p>
            <w:pPr>
              <w:spacing w:after="0"/>
              <w:rPr>
                <w:sz w:val="1"/>
                <w:szCs w:val="1"/>
                <w:color w:val="auto"/>
              </w:rPr>
            </w:pPr>
          </w:p>
        </w:tc>
      </w:tr>
      <w:tr>
        <w:trPr>
          <w:trHeight w:val="291"/>
        </w:trPr>
        <w:tc>
          <w:tcPr>
            <w:tcW w:w="6240" w:type="dxa"/>
            <w:vAlign w:val="bottom"/>
          </w:tcPr>
          <w:p>
            <w:pPr>
              <w:ind w:left="280"/>
              <w:spacing w:after="0"/>
              <w:rPr>
                <w:sz w:val="20"/>
                <w:szCs w:val="20"/>
                <w:color w:val="auto"/>
              </w:rPr>
            </w:pPr>
            <w:r>
              <w:rPr>
                <w:rFonts w:ascii="Times New Roman" w:cs="Times New Roman" w:eastAsia="Times New Roman" w:hAnsi="Times New Roman"/>
                <w:sz w:val="17"/>
                <w:szCs w:val="17"/>
                <w:color w:val="231F20"/>
              </w:rPr>
              <w:t>Employee contributions</w:t>
            </w:r>
          </w:p>
        </w:tc>
        <w:tc>
          <w:tcPr>
            <w:tcW w:w="200" w:type="dxa"/>
            <w:vAlign w:val="bottom"/>
          </w:tcPr>
          <w:p>
            <w:pPr>
              <w:spacing w:after="0"/>
              <w:rPr>
                <w:sz w:val="24"/>
                <w:szCs w:val="24"/>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231F20"/>
              </w:rPr>
              <w:t>0.6</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231F20"/>
              </w:rPr>
              <w:t>—</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0" w:type="dxa"/>
            <w:vAlign w:val="bottom"/>
          </w:tcPr>
          <w:p>
            <w:pPr>
              <w:spacing w:after="0"/>
              <w:rPr>
                <w:sz w:val="1"/>
                <w:szCs w:val="1"/>
                <w:color w:val="auto"/>
              </w:rPr>
            </w:pPr>
          </w:p>
        </w:tc>
      </w:tr>
      <w:tr>
        <w:trPr>
          <w:trHeight w:val="291"/>
        </w:trPr>
        <w:tc>
          <w:tcPr>
            <w:tcW w:w="6240" w:type="dxa"/>
            <w:vAlign w:val="bottom"/>
          </w:tcPr>
          <w:p>
            <w:pPr>
              <w:ind w:left="280"/>
              <w:spacing w:after="0"/>
              <w:rPr>
                <w:sz w:val="20"/>
                <w:szCs w:val="20"/>
                <w:color w:val="auto"/>
              </w:rPr>
            </w:pPr>
            <w:r>
              <w:rPr>
                <w:rFonts w:ascii="Times New Roman" w:cs="Times New Roman" w:eastAsia="Times New Roman" w:hAnsi="Times New Roman"/>
                <w:sz w:val="17"/>
                <w:szCs w:val="17"/>
                <w:color w:val="231F20"/>
              </w:rPr>
              <w:t>Benefits and expenses paid</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rPr>
              <w:t>(6.0)</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(4.5)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rPr>
              <w:t>(0.5)</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(0.1)</w:t>
            </w:r>
          </w:p>
        </w:tc>
        <w:tc>
          <w:tcPr>
            <w:tcW w:w="0" w:type="dxa"/>
            <w:vAlign w:val="bottom"/>
          </w:tcPr>
          <w:p>
            <w:pPr>
              <w:spacing w:after="0"/>
              <w:rPr>
                <w:sz w:val="1"/>
                <w:szCs w:val="1"/>
                <w:color w:val="auto"/>
              </w:rPr>
            </w:pPr>
          </w:p>
        </w:tc>
      </w:tr>
      <w:tr>
        <w:trPr>
          <w:trHeight w:val="291"/>
        </w:trPr>
        <w:tc>
          <w:tcPr>
            <w:tcW w:w="6240" w:type="dxa"/>
            <w:vAlign w:val="bottom"/>
          </w:tcPr>
          <w:p>
            <w:pPr>
              <w:ind w:left="280"/>
              <w:spacing w:after="0"/>
              <w:rPr>
                <w:sz w:val="20"/>
                <w:szCs w:val="20"/>
                <w:color w:val="auto"/>
              </w:rPr>
            </w:pPr>
            <w:r>
              <w:rPr>
                <w:rFonts w:ascii="Times New Roman" w:cs="Times New Roman" w:eastAsia="Times New Roman" w:hAnsi="Times New Roman"/>
                <w:sz w:val="17"/>
                <w:szCs w:val="17"/>
                <w:color w:val="231F20"/>
              </w:rPr>
              <w:t>Curtailments/settlements</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rPr>
              <w:t>(0.9)</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231F20"/>
              </w:rPr>
              <w:t>—</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0" w:type="dxa"/>
            <w:vAlign w:val="bottom"/>
          </w:tcPr>
          <w:p>
            <w:pPr>
              <w:spacing w:after="0"/>
              <w:rPr>
                <w:sz w:val="1"/>
                <w:szCs w:val="1"/>
                <w:color w:val="auto"/>
              </w:rPr>
            </w:pPr>
          </w:p>
        </w:tc>
      </w:tr>
      <w:tr>
        <w:trPr>
          <w:trHeight w:val="295"/>
        </w:trPr>
        <w:tc>
          <w:tcPr>
            <w:tcW w:w="6240" w:type="dxa"/>
            <w:vAlign w:val="bottom"/>
          </w:tcPr>
          <w:p>
            <w:pPr>
              <w:ind w:left="280"/>
              <w:spacing w:after="0"/>
              <w:rPr>
                <w:sz w:val="20"/>
                <w:szCs w:val="20"/>
                <w:color w:val="auto"/>
              </w:rPr>
            </w:pPr>
            <w:r>
              <w:rPr>
                <w:rFonts w:ascii="Times New Roman" w:cs="Times New Roman" w:eastAsia="Times New Roman" w:hAnsi="Times New Roman"/>
                <w:sz w:val="17"/>
                <w:szCs w:val="17"/>
                <w:color w:val="231F20"/>
              </w:rPr>
              <w:t>Impact of foreign currency exchange rate changes</w:t>
            </w:r>
          </w:p>
        </w:tc>
        <w:tc>
          <w:tcPr>
            <w:tcW w:w="20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231F20"/>
              </w:rPr>
              <w:t>3.2</w:t>
            </w:r>
          </w:p>
        </w:tc>
        <w:tc>
          <w:tcPr>
            <w:tcW w:w="220" w:type="dxa"/>
            <w:vAlign w:val="bottom"/>
            <w:tcBorders>
              <w:bottom w:val="single" w:sz="8" w:color="231F20"/>
            </w:tcBorders>
          </w:tcPr>
          <w:p>
            <w:pPr>
              <w:spacing w:after="0"/>
              <w:rPr>
                <w:sz w:val="24"/>
                <w:szCs w:val="24"/>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2.6</w:t>
            </w:r>
          </w:p>
        </w:tc>
        <w:tc>
          <w:tcPr>
            <w:tcW w:w="60" w:type="dxa"/>
            <w:vAlign w:val="bottom"/>
            <w:tcBorders>
              <w:bottom w:val="single" w:sz="8" w:color="231F20"/>
            </w:tcBorders>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231F20"/>
              </w:rPr>
              <w:t>—</w:t>
            </w:r>
          </w:p>
        </w:tc>
        <w:tc>
          <w:tcPr>
            <w:tcW w:w="220" w:type="dxa"/>
            <w:vAlign w:val="bottom"/>
            <w:tcBorders>
              <w:bottom w:val="single" w:sz="8" w:color="231F20"/>
            </w:tcBorders>
          </w:tcPr>
          <w:p>
            <w:pPr>
              <w:spacing w:after="0"/>
              <w:rPr>
                <w:sz w:val="24"/>
                <w:szCs w:val="24"/>
                <w:color w:val="auto"/>
              </w:rPr>
            </w:pP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0" w:type="dxa"/>
            <w:vAlign w:val="bottom"/>
          </w:tcPr>
          <w:p>
            <w:pPr>
              <w:spacing w:after="0"/>
              <w:rPr>
                <w:sz w:val="1"/>
                <w:szCs w:val="1"/>
                <w:color w:val="auto"/>
              </w:rPr>
            </w:pPr>
          </w:p>
        </w:tc>
      </w:tr>
      <w:tr>
        <w:trPr>
          <w:trHeight w:val="256"/>
        </w:trPr>
        <w:tc>
          <w:tcPr>
            <w:tcW w:w="624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231F20"/>
              </w:rPr>
              <w:t>Fair Value of Plan Assets at End of Year</w:t>
            </w:r>
          </w:p>
        </w:tc>
        <w:tc>
          <w:tcPr>
            <w:tcW w:w="200" w:type="dxa"/>
            <w:vAlign w:val="bottom"/>
            <w:tcBorders>
              <w:bottom w:val="single" w:sz="8" w:color="231F20"/>
            </w:tcBorders>
          </w:tcPr>
          <w:p>
            <w:pPr>
              <w:ind w:left="40"/>
              <w:spacing w:after="0"/>
              <w:rPr>
                <w:sz w:val="20"/>
                <w:szCs w:val="20"/>
                <w:color w:val="auto"/>
              </w:rPr>
            </w:pPr>
            <w:r>
              <w:rPr>
                <w:rFonts w:ascii="Times New Roman" w:cs="Times New Roman" w:eastAsia="Times New Roman" w:hAnsi="Times New Roman"/>
                <w:sz w:val="17"/>
                <w:szCs w:val="17"/>
                <w:b w:val="1"/>
                <w:bCs w:val="1"/>
                <w:color w:val="231F20"/>
              </w:rPr>
              <w:t>$</w:t>
            </w:r>
          </w:p>
        </w:tc>
        <w:tc>
          <w:tcPr>
            <w:tcW w:w="720" w:type="dxa"/>
            <w:vAlign w:val="bottom"/>
            <w:tcBorders>
              <w:bottom w:val="single" w:sz="8" w:color="231F20"/>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231F20"/>
              </w:rPr>
              <w:t>112.8</w:t>
            </w:r>
          </w:p>
        </w:tc>
        <w:tc>
          <w:tcPr>
            <w:tcW w:w="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109.3</w:t>
            </w:r>
          </w:p>
        </w:tc>
        <w:tc>
          <w:tcPr>
            <w:tcW w:w="260" w:type="dxa"/>
            <w:vAlign w:val="bottom"/>
            <w:tcBorders>
              <w:bottom w:val="single" w:sz="8" w:color="231F20"/>
            </w:tcBorders>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231F20"/>
              </w:rPr>
              <w:t>$</w:t>
            </w:r>
          </w:p>
        </w:tc>
        <w:tc>
          <w:tcPr>
            <w:tcW w:w="740" w:type="dxa"/>
            <w:vAlign w:val="bottom"/>
            <w:tcBorders>
              <w:bottom w:val="single" w:sz="8" w:color="231F20"/>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231F20"/>
              </w:rPr>
              <w:t>—</w:t>
            </w:r>
          </w:p>
        </w:tc>
        <w:tc>
          <w:tcPr>
            <w:tcW w:w="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0" w:type="dxa"/>
            <w:vAlign w:val="bottom"/>
          </w:tcPr>
          <w:p>
            <w:pPr>
              <w:spacing w:after="0"/>
              <w:rPr>
                <w:sz w:val="1"/>
                <w:szCs w:val="1"/>
                <w:color w:val="auto"/>
              </w:rPr>
            </w:pPr>
          </w:p>
        </w:tc>
      </w:tr>
      <w:tr>
        <w:trPr>
          <w:trHeight w:val="261"/>
        </w:trPr>
        <w:tc>
          <w:tcPr>
            <w:tcW w:w="624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231F20"/>
              </w:rPr>
              <w:t>Funded Status of the Plans</w:t>
            </w:r>
          </w:p>
        </w:tc>
        <w:tc>
          <w:tcPr>
            <w:tcW w:w="200" w:type="dxa"/>
            <w:vAlign w:val="bottom"/>
            <w:tcBorders>
              <w:bottom w:val="single" w:sz="8" w:color="231F20"/>
            </w:tcBorders>
          </w:tcPr>
          <w:p>
            <w:pPr>
              <w:ind w:left="40"/>
              <w:spacing w:after="0"/>
              <w:rPr>
                <w:sz w:val="20"/>
                <w:szCs w:val="20"/>
                <w:color w:val="auto"/>
              </w:rPr>
            </w:pPr>
            <w:r>
              <w:rPr>
                <w:rFonts w:ascii="Times New Roman" w:cs="Times New Roman" w:eastAsia="Times New Roman" w:hAnsi="Times New Roman"/>
                <w:sz w:val="17"/>
                <w:szCs w:val="17"/>
                <w:b w:val="1"/>
                <w:bCs w:val="1"/>
                <w:color w:val="231F20"/>
              </w:rPr>
              <w:t>$</w:t>
            </w:r>
          </w:p>
        </w:tc>
        <w:tc>
          <w:tcPr>
            <w:tcW w:w="720" w:type="dxa"/>
            <w:vAlign w:val="bottom"/>
            <w:tcBorders>
              <w:bottom w:val="single" w:sz="8" w:color="231F20"/>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231F20"/>
              </w:rPr>
              <w:t>19.7</w:t>
            </w:r>
          </w:p>
        </w:tc>
        <w:tc>
          <w:tcPr>
            <w:tcW w:w="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18.6</w:t>
            </w:r>
          </w:p>
        </w:tc>
        <w:tc>
          <w:tcPr>
            <w:tcW w:w="260" w:type="dxa"/>
            <w:vAlign w:val="bottom"/>
            <w:tcBorders>
              <w:bottom w:val="single" w:sz="8" w:color="231F20"/>
            </w:tcBorders>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231F20"/>
              </w:rPr>
              <w:t>$</w:t>
            </w: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b w:val="1"/>
                <w:bCs w:val="1"/>
                <w:color w:val="231F20"/>
              </w:rPr>
              <w:t>(5.2)</w:t>
            </w:r>
          </w:p>
        </w:tc>
        <w:tc>
          <w:tcPr>
            <w:tcW w:w="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(5.8)</w:t>
            </w:r>
          </w:p>
        </w:tc>
        <w:tc>
          <w:tcPr>
            <w:tcW w:w="0" w:type="dxa"/>
            <w:vAlign w:val="bottom"/>
          </w:tcPr>
          <w:p>
            <w:pPr>
              <w:spacing w:after="0"/>
              <w:rPr>
                <w:sz w:val="1"/>
                <w:szCs w:val="1"/>
                <w:color w:val="auto"/>
              </w:rPr>
            </w:pP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Amounts recognized in the Consolidated Balance Sheets consist of the following:</w:t>
      </w:r>
    </w:p>
    <w:p>
      <w:pPr>
        <w:sectPr>
          <w:pgSz w:w="11880" w:h="15480" w:orient="portrait"/>
          <w:cols w:equalWidth="0" w:num="1">
            <w:col w:w="9940"/>
          </w:cols>
          <w:pgMar w:left="960" w:top="250" w:right="980" w:bottom="0" w:gutter="0" w:footer="0" w:header="0"/>
        </w:sectPr>
      </w:pP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231F20"/>
        </w:rPr>
        <w:t>(in millions)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231F20"/>
        </w:rPr>
        <w:t>Non-current assets</w:t>
      </w:r>
    </w:p>
    <w:p>
      <w:pPr>
        <w:spacing w:after="0" w:line="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231F20"/>
        </w:rPr>
        <w:t>Current liabilities</w:t>
      </w:r>
    </w:p>
    <w:p>
      <w:pPr>
        <w:spacing w:after="0" w:line="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231F20"/>
        </w:rPr>
        <w:t>Non-current liabilities</w:t>
      </w:r>
    </w:p>
    <w:p>
      <w:pPr>
        <w:spacing w:after="0" w:line="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231F20"/>
        </w:rPr>
        <w:t>Net assets (liabilities)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8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231F20"/>
              </w:rPr>
              <w:t>Defined Benefit Pension</w:t>
            </w:r>
          </w:p>
        </w:tc>
        <w:tc>
          <w:tcPr>
            <w:tcW w:w="1840" w:type="dxa"/>
            <w:vAlign w:val="bottom"/>
            <w:gridSpan w:val="4"/>
          </w:tcPr>
          <w:p>
            <w:pPr>
              <w:jc w:val="right"/>
              <w:ind w:right="33"/>
              <w:spacing w:after="0"/>
              <w:rPr>
                <w:sz w:val="20"/>
                <w:szCs w:val="20"/>
                <w:color w:val="auto"/>
              </w:rPr>
            </w:pPr>
            <w:r>
              <w:rPr>
                <w:rFonts w:ascii="Times New Roman" w:cs="Times New Roman" w:eastAsia="Times New Roman" w:hAnsi="Times New Roman"/>
                <w:sz w:val="17"/>
                <w:szCs w:val="17"/>
                <w:color w:val="231F20"/>
              </w:rPr>
              <w:t>Other Post-Retirement</w:t>
            </w:r>
          </w:p>
        </w:tc>
      </w:tr>
      <w:tr>
        <w:trPr>
          <w:trHeight w:val="231"/>
        </w:trPr>
        <w:tc>
          <w:tcPr>
            <w:tcW w:w="20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7"/>
                <w:szCs w:val="17"/>
                <w:color w:val="231F20"/>
              </w:rPr>
              <w:t>Plans</w:t>
            </w:r>
          </w:p>
        </w:tc>
        <w:tc>
          <w:tcPr>
            <w:tcW w:w="720" w:type="dxa"/>
            <w:vAlign w:val="bottom"/>
            <w:tcBorders>
              <w:bottom w:val="single" w:sz="8" w:color="231F20"/>
            </w:tcBorders>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1620" w:type="dxa"/>
            <w:vAlign w:val="bottom"/>
            <w:tcBorders>
              <w:bottom w:val="single" w:sz="8" w:color="231F20"/>
            </w:tcBorders>
            <w:gridSpan w:val="3"/>
          </w:tcPr>
          <w:p>
            <w:pPr>
              <w:jc w:val="right"/>
              <w:ind w:right="353"/>
              <w:spacing w:after="0"/>
              <w:rPr>
                <w:sz w:val="20"/>
                <w:szCs w:val="20"/>
                <w:color w:val="auto"/>
              </w:rPr>
            </w:pPr>
            <w:r>
              <w:rPr>
                <w:rFonts w:ascii="Times New Roman" w:cs="Times New Roman" w:eastAsia="Times New Roman" w:hAnsi="Times New Roman"/>
                <w:sz w:val="17"/>
                <w:szCs w:val="17"/>
                <w:color w:val="231F20"/>
              </w:rPr>
              <w:t>Benefits Plan</w:t>
            </w:r>
          </w:p>
        </w:tc>
      </w:tr>
      <w:tr>
        <w:trPr>
          <w:trHeight w:val="252"/>
        </w:trPr>
        <w:tc>
          <w:tcPr>
            <w:tcW w:w="200" w:type="dxa"/>
            <w:vAlign w:val="bottom"/>
          </w:tcPr>
          <w:p>
            <w:pPr>
              <w:spacing w:after="0"/>
              <w:rPr>
                <w:sz w:val="21"/>
                <w:szCs w:val="21"/>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231F20"/>
              </w:rPr>
              <w:t>2026</w:t>
            </w:r>
          </w:p>
        </w:tc>
        <w:tc>
          <w:tcPr>
            <w:tcW w:w="220" w:type="dxa"/>
            <w:vAlign w:val="bottom"/>
          </w:tcPr>
          <w:p>
            <w:pPr>
              <w:spacing w:after="0"/>
              <w:rPr>
                <w:sz w:val="21"/>
                <w:szCs w:val="21"/>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231F20"/>
              </w:rPr>
              <w:t>2025</w:t>
            </w:r>
          </w:p>
        </w:tc>
        <w:tc>
          <w:tcPr>
            <w:tcW w:w="220" w:type="dxa"/>
            <w:vAlign w:val="bottom"/>
          </w:tcPr>
          <w:p>
            <w:pPr>
              <w:spacing w:after="0"/>
              <w:rPr>
                <w:sz w:val="21"/>
                <w:szCs w:val="21"/>
                <w:color w:val="auto"/>
              </w:rPr>
            </w:pPr>
          </w:p>
        </w:tc>
        <w:tc>
          <w:tcPr>
            <w:tcW w:w="74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231F20"/>
              </w:rPr>
              <w:t>2026</w:t>
            </w:r>
          </w:p>
        </w:tc>
        <w:tc>
          <w:tcPr>
            <w:tcW w:w="200" w:type="dxa"/>
            <w:vAlign w:val="bottom"/>
          </w:tcPr>
          <w:p>
            <w:pPr>
              <w:spacing w:after="0"/>
              <w:rPr>
                <w:sz w:val="21"/>
                <w:szCs w:val="21"/>
                <w:color w:val="auto"/>
              </w:rPr>
            </w:pPr>
          </w:p>
        </w:tc>
        <w:tc>
          <w:tcPr>
            <w:tcW w:w="6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231F20"/>
              </w:rPr>
              <w:t>2025</w:t>
            </w:r>
          </w:p>
        </w:tc>
      </w:tr>
      <w:tr>
        <w:trPr>
          <w:trHeight w:val="582"/>
        </w:trPr>
        <w:tc>
          <w:tcPr>
            <w:tcW w:w="2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231F20"/>
              </w:rPr>
              <w:t>$</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231F20"/>
              </w:rPr>
              <w:t>23.8</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231F20"/>
              </w:rPr>
              <w:t>21.9</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rPr>
              <w:t>$</w:t>
            </w: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231F20"/>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r>
      <w:tr>
        <w:trPr>
          <w:trHeight w:val="291"/>
        </w:trPr>
        <w:tc>
          <w:tcPr>
            <w:tcW w:w="200" w:type="dxa"/>
            <w:vAlign w:val="bottom"/>
          </w:tcPr>
          <w:p>
            <w:pPr>
              <w:spacing w:after="0"/>
              <w:rPr>
                <w:sz w:val="24"/>
                <w:szCs w:val="24"/>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231F20"/>
              </w:rPr>
              <w:t>—</w:t>
            </w:r>
          </w:p>
        </w:tc>
        <w:tc>
          <w:tcPr>
            <w:tcW w:w="220" w:type="dxa"/>
            <w:vAlign w:val="bottom"/>
          </w:tcPr>
          <w:p>
            <w:pPr>
              <w:spacing w:after="0"/>
              <w:rPr>
                <w:sz w:val="24"/>
                <w:szCs w:val="24"/>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231F20"/>
              </w:rPr>
              <w:t>—</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rPr>
              <w:t>(0.9)</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(1.0)</w:t>
            </w:r>
          </w:p>
        </w:tc>
      </w:tr>
      <w:tr>
        <w:trPr>
          <w:trHeight w:val="295"/>
        </w:trPr>
        <w:tc>
          <w:tcPr>
            <w:tcW w:w="20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b w:val="1"/>
                <w:bCs w:val="1"/>
                <w:color w:val="231F20"/>
              </w:rPr>
              <w:t>(4.1)</w:t>
            </w:r>
          </w:p>
        </w:tc>
        <w:tc>
          <w:tcPr>
            <w:tcW w:w="22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(3.3)</w:t>
            </w:r>
          </w:p>
        </w:tc>
        <w:tc>
          <w:tcPr>
            <w:tcW w:w="22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b w:val="1"/>
                <w:bCs w:val="1"/>
                <w:color w:val="231F20"/>
              </w:rPr>
              <w:t>(4.3)</w:t>
            </w:r>
          </w:p>
        </w:tc>
        <w:tc>
          <w:tcPr>
            <w:tcW w:w="200" w:type="dxa"/>
            <w:vAlign w:val="bottom"/>
            <w:tcBorders>
              <w:bottom w:val="single" w:sz="8" w:color="231F20"/>
            </w:tcBorders>
          </w:tcPr>
          <w:p>
            <w:pPr>
              <w:spacing w:after="0"/>
              <w:rPr>
                <w:sz w:val="24"/>
                <w:szCs w:val="24"/>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(4.8)</w:t>
            </w:r>
          </w:p>
        </w:tc>
      </w:tr>
      <w:tr>
        <w:trPr>
          <w:trHeight w:val="261"/>
        </w:trPr>
        <w:tc>
          <w:tcPr>
            <w:tcW w:w="200" w:type="dxa"/>
            <w:vAlign w:val="bottom"/>
            <w:tcBorders>
              <w:bottom w:val="single" w:sz="8" w:color="231F20"/>
            </w:tcBorders>
          </w:tcPr>
          <w:p>
            <w:pPr>
              <w:ind w:left="40"/>
              <w:spacing w:after="0"/>
              <w:rPr>
                <w:sz w:val="20"/>
                <w:szCs w:val="20"/>
                <w:color w:val="auto"/>
              </w:rPr>
            </w:pPr>
            <w:r>
              <w:rPr>
                <w:rFonts w:ascii="Times New Roman" w:cs="Times New Roman" w:eastAsia="Times New Roman" w:hAnsi="Times New Roman"/>
                <w:sz w:val="17"/>
                <w:szCs w:val="17"/>
                <w:b w:val="1"/>
                <w:bCs w:val="1"/>
                <w:color w:val="231F20"/>
              </w:rPr>
              <w:t>$</w:t>
            </w:r>
          </w:p>
        </w:tc>
        <w:tc>
          <w:tcPr>
            <w:tcW w:w="720" w:type="dxa"/>
            <w:vAlign w:val="bottom"/>
            <w:tcBorders>
              <w:bottom w:val="single" w:sz="8" w:color="231F20"/>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231F20"/>
              </w:rPr>
              <w:t>19.7</w:t>
            </w:r>
          </w:p>
        </w:tc>
        <w:tc>
          <w:tcPr>
            <w:tcW w:w="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720" w:type="dxa"/>
            <w:vAlign w:val="bottom"/>
            <w:tcBorders>
              <w:bottom w:val="single" w:sz="8" w:color="231F20"/>
            </w:tcBorders>
          </w:tcPr>
          <w:p>
            <w:pPr>
              <w:jc w:val="right"/>
              <w:ind w:right="33"/>
              <w:spacing w:after="0"/>
              <w:rPr>
                <w:sz w:val="20"/>
                <w:szCs w:val="20"/>
                <w:color w:val="auto"/>
              </w:rPr>
            </w:pPr>
            <w:r>
              <w:rPr>
                <w:rFonts w:ascii="Times New Roman" w:cs="Times New Roman" w:eastAsia="Times New Roman" w:hAnsi="Times New Roman"/>
                <w:sz w:val="17"/>
                <w:szCs w:val="17"/>
                <w:color w:val="231F20"/>
              </w:rPr>
              <w:t>18.6</w:t>
            </w:r>
          </w:p>
        </w:tc>
        <w:tc>
          <w:tcPr>
            <w:tcW w:w="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b w:val="1"/>
                <w:bCs w:val="1"/>
                <w:color w:val="231F20"/>
              </w:rPr>
              <w:t>$</w:t>
            </w: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b w:val="1"/>
                <w:bCs w:val="1"/>
                <w:color w:val="231F20"/>
              </w:rPr>
              <w:t>(5.2)</w:t>
            </w:r>
          </w:p>
        </w:tc>
        <w:tc>
          <w:tcPr>
            <w:tcW w:w="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-3959860</wp:posOffset>
            </wp:positionH>
            <wp:positionV relativeFrom="paragraph">
              <wp:posOffset>-929640</wp:posOffset>
            </wp:positionV>
            <wp:extent cx="6311900" cy="120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2">
                      <a:extLst>
                        <a:ext uri="{28A0092B-C50C-407E-A947-70E740481C1C}"/>
                      </a:extLst>
                    </a:blip>
                    <a:srcRect/>
                    <a:stretch>
                      <a:fillRect/>
                    </a:stretch>
                  </pic:blipFill>
                  <pic:spPr bwMode="auto">
                    <a:xfrm>
                      <a:off x="0" y="0"/>
                      <a:ext cx="6311900" cy="12065"/>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5520" w:space="720"/>
            <w:col w:w="3700"/>
          </w:cols>
          <w:pgMar w:left="960" w:top="250"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83</w:t>
      </w:r>
    </w:p>
    <w:p>
      <w:pPr>
        <w:sectPr>
          <w:pgSz w:w="11880" w:h="15480" w:orient="portrait"/>
          <w:cols w:equalWidth="0" w:num="1">
            <w:col w:w="9940"/>
          </w:cols>
          <w:pgMar w:left="960" w:top="250" w:right="980" w:bottom="0"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00" w:firstLine="349"/>
        <w:spacing w:after="0" w:line="293" w:lineRule="auto"/>
        <w:rPr>
          <w:sz w:val="20"/>
          <w:szCs w:val="20"/>
          <w:color w:val="auto"/>
        </w:rPr>
      </w:pPr>
      <w:r>
        <w:rPr>
          <w:rFonts w:ascii="Times New Roman" w:cs="Times New Roman" w:eastAsia="Times New Roman" w:hAnsi="Times New Roman"/>
          <w:sz w:val="19"/>
          <w:szCs w:val="19"/>
          <w:color w:val="231F20"/>
        </w:rPr>
        <w:t>The pre-tax amount of unrecognized actuarial net loss and unamortized prior service cost included in accumulated other comprehensive (loss) at March 31, 2026, was approximately $2.1 million and $1.8 million, respectively.</w:t>
      </w:r>
    </w:p>
    <w:p>
      <w:pPr>
        <w:spacing w:after="0" w:line="49" w:lineRule="exact"/>
        <w:rPr>
          <w:sz w:val="20"/>
          <w:szCs w:val="20"/>
          <w:color w:val="auto"/>
        </w:rPr>
      </w:pPr>
    </w:p>
    <w:p>
      <w:pPr>
        <w:ind w:right="220" w:firstLine="349"/>
        <w:spacing w:after="0" w:line="293" w:lineRule="auto"/>
        <w:rPr>
          <w:sz w:val="20"/>
          <w:szCs w:val="20"/>
          <w:color w:val="auto"/>
        </w:rPr>
      </w:pPr>
      <w:r>
        <w:rPr>
          <w:rFonts w:ascii="Times New Roman" w:cs="Times New Roman" w:eastAsia="Times New Roman" w:hAnsi="Times New Roman"/>
          <w:sz w:val="19"/>
          <w:szCs w:val="19"/>
          <w:color w:val="231F20"/>
        </w:rPr>
        <w:t>Defined benefit plans with an accumulated benefit obligation and projected benefit obligation exceeding the fair value of plan assets had the following plan assets and obligations at March 31, 2026 and 2025:</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231F20"/>
              </w:rPr>
              <w:t>(in millions)</w:t>
            </w:r>
          </w:p>
        </w:tc>
        <w:tc>
          <w:tcPr>
            <w:tcW w:w="140" w:type="dxa"/>
            <w:vAlign w:val="bottom"/>
          </w:tcPr>
          <w:p>
            <w:pPr>
              <w:spacing w:after="0"/>
              <w:rPr>
                <w:sz w:val="16"/>
                <w:szCs w:val="16"/>
                <w:color w:val="auto"/>
              </w:rPr>
            </w:pPr>
          </w:p>
        </w:tc>
        <w:tc>
          <w:tcPr>
            <w:tcW w:w="1680" w:type="dxa"/>
            <w:vAlign w:val="bottom"/>
            <w:gridSpan w:val="3"/>
          </w:tcPr>
          <w:p>
            <w:pPr>
              <w:jc w:val="right"/>
              <w:ind w:right="53"/>
              <w:spacing w:after="0"/>
              <w:rPr>
                <w:sz w:val="20"/>
                <w:szCs w:val="20"/>
                <w:color w:val="auto"/>
              </w:rPr>
            </w:pPr>
            <w:r>
              <w:rPr>
                <w:rFonts w:ascii="Times New Roman" w:cs="Times New Roman" w:eastAsia="Times New Roman" w:hAnsi="Times New Roman"/>
                <w:sz w:val="16"/>
                <w:szCs w:val="16"/>
                <w:color w:val="231F20"/>
                <w:w w:val="96"/>
              </w:rPr>
              <w:t>Defined Benefit Pension</w:t>
            </w:r>
          </w:p>
        </w:tc>
        <w:tc>
          <w:tcPr>
            <w:tcW w:w="0" w:type="dxa"/>
            <w:vAlign w:val="bottom"/>
          </w:tcPr>
          <w:p>
            <w:pPr>
              <w:spacing w:after="0"/>
              <w:rPr>
                <w:sz w:val="1"/>
                <w:szCs w:val="1"/>
                <w:color w:val="auto"/>
              </w:rPr>
            </w:pPr>
          </w:p>
        </w:tc>
      </w:tr>
      <w:tr>
        <w:trPr>
          <w:trHeight w:val="207"/>
        </w:trPr>
        <w:tc>
          <w:tcPr>
            <w:tcW w:w="8120" w:type="dxa"/>
            <w:vAlign w:val="bottom"/>
            <w:vMerge w:val="continue"/>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100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6"/>
                <w:szCs w:val="16"/>
                <w:color w:val="231F20"/>
              </w:rPr>
              <w:t>Plans</w:t>
            </w:r>
          </w:p>
        </w:tc>
        <w:tc>
          <w:tcPr>
            <w:tcW w:w="68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8120" w:type="dxa"/>
            <w:vAlign w:val="bottom"/>
            <w:tcBorders>
              <w:bottom w:val="single" w:sz="8" w:color="231F20"/>
            </w:tcBorders>
          </w:tcPr>
          <w:p>
            <w:pPr>
              <w:spacing w:after="0"/>
              <w:rPr>
                <w:sz w:val="23"/>
                <w:szCs w:val="23"/>
                <w:color w:val="auto"/>
              </w:rPr>
            </w:pPr>
          </w:p>
        </w:tc>
        <w:tc>
          <w:tcPr>
            <w:tcW w:w="140" w:type="dxa"/>
            <w:vAlign w:val="bottom"/>
            <w:tcBorders>
              <w:bottom w:val="single" w:sz="8" w:color="231F20"/>
            </w:tcBorders>
          </w:tcPr>
          <w:p>
            <w:pPr>
              <w:spacing w:after="0"/>
              <w:rPr>
                <w:sz w:val="23"/>
                <w:szCs w:val="23"/>
                <w:color w:val="auto"/>
              </w:rPr>
            </w:pPr>
          </w:p>
        </w:tc>
        <w:tc>
          <w:tcPr>
            <w:tcW w:w="760" w:type="dxa"/>
            <w:vAlign w:val="bottom"/>
            <w:tcBorders>
              <w:bottom w:val="single" w:sz="8" w:color="231F20"/>
            </w:tcBorders>
          </w:tcPr>
          <w:p>
            <w:pPr>
              <w:jc w:val="right"/>
              <w:ind w:right="196"/>
              <w:spacing w:after="0"/>
              <w:rPr>
                <w:sz w:val="20"/>
                <w:szCs w:val="20"/>
                <w:color w:val="auto"/>
              </w:rPr>
            </w:pPr>
            <w:r>
              <w:rPr>
                <w:rFonts w:ascii="Times New Roman" w:cs="Times New Roman" w:eastAsia="Times New Roman" w:hAnsi="Times New Roman"/>
                <w:sz w:val="17"/>
                <w:szCs w:val="17"/>
                <w:color w:val="231F20"/>
              </w:rPr>
              <w:t>2026</w:t>
            </w:r>
          </w:p>
        </w:tc>
        <w:tc>
          <w:tcPr>
            <w:tcW w:w="240" w:type="dxa"/>
            <w:vAlign w:val="bottom"/>
            <w:tcBorders>
              <w:bottom w:val="single" w:sz="8" w:color="231F20"/>
            </w:tcBorders>
          </w:tcPr>
          <w:p>
            <w:pPr>
              <w:spacing w:after="0"/>
              <w:rPr>
                <w:sz w:val="23"/>
                <w:szCs w:val="23"/>
                <w:color w:val="auto"/>
              </w:rPr>
            </w:pPr>
          </w:p>
        </w:tc>
        <w:tc>
          <w:tcPr>
            <w:tcW w:w="680" w:type="dxa"/>
            <w:vAlign w:val="bottom"/>
            <w:tcBorders>
              <w:bottom w:val="single" w:sz="8" w:color="231F20"/>
            </w:tcBorders>
          </w:tcPr>
          <w:p>
            <w:pPr>
              <w:jc w:val="right"/>
              <w:ind w:right="173"/>
              <w:spacing w:after="0"/>
              <w:rPr>
                <w:sz w:val="20"/>
                <w:szCs w:val="20"/>
                <w:color w:val="auto"/>
              </w:rPr>
            </w:pPr>
            <w:r>
              <w:rPr>
                <w:rFonts w:ascii="Times New Roman" w:cs="Times New Roman" w:eastAsia="Times New Roman" w:hAnsi="Times New Roman"/>
                <w:sz w:val="17"/>
                <w:szCs w:val="17"/>
                <w:color w:val="231F20"/>
              </w:rPr>
              <w:t>2025</w:t>
            </w:r>
          </w:p>
        </w:tc>
        <w:tc>
          <w:tcPr>
            <w:tcW w:w="0" w:type="dxa"/>
            <w:vAlign w:val="bottom"/>
          </w:tcPr>
          <w:p>
            <w:pPr>
              <w:spacing w:after="0"/>
              <w:rPr>
                <w:sz w:val="1"/>
                <w:szCs w:val="1"/>
                <w:color w:val="auto"/>
              </w:rPr>
            </w:pPr>
          </w:p>
        </w:tc>
      </w:tr>
      <w:tr>
        <w:trPr>
          <w:trHeight w:val="267"/>
        </w:trPr>
        <w:tc>
          <w:tcPr>
            <w:tcW w:w="812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Aggregate fair value of plan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rPr>
              <w:t>$</w:t>
            </w: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231F20"/>
              </w:rPr>
              <w:t>112.8</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109.3</w:t>
            </w:r>
          </w:p>
        </w:tc>
        <w:tc>
          <w:tcPr>
            <w:tcW w:w="0" w:type="dxa"/>
            <w:vAlign w:val="bottom"/>
          </w:tcPr>
          <w:p>
            <w:pPr>
              <w:spacing w:after="0"/>
              <w:rPr>
                <w:sz w:val="1"/>
                <w:szCs w:val="1"/>
                <w:color w:val="auto"/>
              </w:rPr>
            </w:pPr>
          </w:p>
        </w:tc>
      </w:tr>
      <w:tr>
        <w:trPr>
          <w:trHeight w:val="291"/>
        </w:trPr>
        <w:tc>
          <w:tcPr>
            <w:tcW w:w="812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Aggregate accumulated benefit obligations</w:t>
            </w:r>
          </w:p>
        </w:tc>
        <w:tc>
          <w:tcPr>
            <w:tcW w:w="140" w:type="dxa"/>
            <w:vAlign w:val="bottom"/>
          </w:tcPr>
          <w:p>
            <w:pPr>
              <w:spacing w:after="0"/>
              <w:rPr>
                <w:sz w:val="24"/>
                <w:szCs w:val="24"/>
                <w:color w:val="auto"/>
              </w:rPr>
            </w:pP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231F20"/>
              </w:rPr>
              <w:t>93.1</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90.7</w:t>
            </w:r>
          </w:p>
        </w:tc>
        <w:tc>
          <w:tcPr>
            <w:tcW w:w="0" w:type="dxa"/>
            <w:vAlign w:val="bottom"/>
          </w:tcPr>
          <w:p>
            <w:pPr>
              <w:spacing w:after="0"/>
              <w:rPr>
                <w:sz w:val="1"/>
                <w:szCs w:val="1"/>
                <w:color w:val="auto"/>
              </w:rPr>
            </w:pPr>
          </w:p>
        </w:tc>
      </w:tr>
      <w:tr>
        <w:trPr>
          <w:trHeight w:val="291"/>
        </w:trPr>
        <w:tc>
          <w:tcPr>
            <w:tcW w:w="812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Aggregate projected benefit obligations</w:t>
            </w:r>
          </w:p>
        </w:tc>
        <w:tc>
          <w:tcPr>
            <w:tcW w:w="140" w:type="dxa"/>
            <w:vAlign w:val="bottom"/>
          </w:tcPr>
          <w:p>
            <w:pPr>
              <w:spacing w:after="0"/>
              <w:rPr>
                <w:sz w:val="24"/>
                <w:szCs w:val="24"/>
                <w:color w:val="auto"/>
              </w:rPr>
            </w:pP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231F20"/>
              </w:rPr>
              <w:t>93.1</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90.7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Components of Net Periodic Benefit Cost and Other Amounts Recognized in Other Comprehensive</w:t>
      </w:r>
    </w:p>
    <w:p>
      <w:pPr>
        <w:spacing w:after="0" w:line="38" w:lineRule="exact"/>
        <w:rPr>
          <w:sz w:val="20"/>
          <w:szCs w:val="20"/>
          <w:color w:val="auto"/>
        </w:rPr>
      </w:pPr>
    </w:p>
    <w:p>
      <w:pPr>
        <w:jc w:val="both"/>
        <w:ind w:right="80"/>
        <w:spacing w:after="0" w:line="274" w:lineRule="auto"/>
        <w:rPr>
          <w:sz w:val="20"/>
          <w:szCs w:val="20"/>
          <w:color w:val="auto"/>
        </w:rPr>
      </w:pPr>
      <w:r>
        <w:rPr>
          <w:rFonts w:ascii="Times New Roman" w:cs="Times New Roman" w:eastAsia="Times New Roman" w:hAnsi="Times New Roman"/>
          <w:sz w:val="19"/>
          <w:szCs w:val="19"/>
          <w:b w:val="1"/>
          <w:bCs w:val="1"/>
          <w:color w:val="231F20"/>
        </w:rPr>
        <w:t xml:space="preserve">Income. </w:t>
      </w:r>
      <w:r>
        <w:rPr>
          <w:rFonts w:ascii="Times New Roman" w:cs="Times New Roman" w:eastAsia="Times New Roman" w:hAnsi="Times New Roman"/>
          <w:sz w:val="19"/>
          <w:szCs w:val="19"/>
          <w:color w:val="231F20"/>
        </w:rPr>
        <w:t>Components of the annual net periodic benefit cost of our defined benefit pension plans and our other post-retirement</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benefits plan were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(in millions)</w:t>
            </w:r>
          </w:p>
        </w:tc>
        <w:tc>
          <w:tcPr>
            <w:tcW w:w="260" w:type="dxa"/>
            <w:vAlign w:val="bottom"/>
            <w:tcBorders>
              <w:bottom w:val="single" w:sz="8" w:color="231F20"/>
            </w:tcBorders>
          </w:tcPr>
          <w:p>
            <w:pPr>
              <w:spacing w:after="0"/>
              <w:rPr>
                <w:sz w:val="20"/>
                <w:szCs w:val="20"/>
                <w:color w:val="auto"/>
              </w:rPr>
            </w:pPr>
          </w:p>
        </w:tc>
        <w:tc>
          <w:tcPr>
            <w:tcW w:w="3200" w:type="dxa"/>
            <w:vAlign w:val="bottom"/>
            <w:tcBorders>
              <w:bottom w:val="single" w:sz="8" w:color="231F20"/>
            </w:tcBorders>
            <w:gridSpan w:val="5"/>
          </w:tcPr>
          <w:p>
            <w:pPr>
              <w:jc w:val="right"/>
              <w:ind w:right="573"/>
              <w:spacing w:after="0"/>
              <w:rPr>
                <w:sz w:val="20"/>
                <w:szCs w:val="20"/>
                <w:color w:val="auto"/>
              </w:rPr>
            </w:pPr>
            <w:r>
              <w:rPr>
                <w:rFonts w:ascii="Times New Roman" w:cs="Times New Roman" w:eastAsia="Times New Roman" w:hAnsi="Times New Roman"/>
                <w:sz w:val="17"/>
                <w:szCs w:val="17"/>
                <w:color w:val="231F20"/>
              </w:rPr>
              <w:t>Defined Benefit Pension Plans</w:t>
            </w:r>
          </w:p>
        </w:tc>
        <w:tc>
          <w:tcPr>
            <w:tcW w:w="80" w:type="dxa"/>
            <w:vAlign w:val="bottom"/>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3160" w:type="dxa"/>
            <w:vAlign w:val="bottom"/>
            <w:tcBorders>
              <w:bottom w:val="single" w:sz="8" w:color="231F20"/>
            </w:tcBorders>
            <w:gridSpan w:val="5"/>
          </w:tcPr>
          <w:p>
            <w:pPr>
              <w:jc w:val="right"/>
              <w:ind w:right="353"/>
              <w:spacing w:after="0"/>
              <w:rPr>
                <w:sz w:val="20"/>
                <w:szCs w:val="20"/>
                <w:color w:val="auto"/>
              </w:rPr>
            </w:pPr>
            <w:r>
              <w:rPr>
                <w:rFonts w:ascii="Times New Roman" w:cs="Times New Roman" w:eastAsia="Times New Roman" w:hAnsi="Times New Roman"/>
                <w:sz w:val="17"/>
                <w:szCs w:val="17"/>
                <w:color w:val="231F20"/>
              </w:rPr>
              <w:t>Other Post-Retirement Benefits Plan</w:t>
            </w:r>
          </w:p>
        </w:tc>
      </w:tr>
      <w:tr>
        <w:trPr>
          <w:trHeight w:val="271"/>
        </w:trPr>
        <w:tc>
          <w:tcPr>
            <w:tcW w:w="3000" w:type="dxa"/>
            <w:vAlign w:val="bottom"/>
            <w:tcBorders>
              <w:bottom w:val="single" w:sz="8" w:color="231F20"/>
            </w:tcBorders>
          </w:tcPr>
          <w:p>
            <w:pPr>
              <w:spacing w:after="0"/>
              <w:rPr>
                <w:sz w:val="23"/>
                <w:szCs w:val="23"/>
                <w:color w:val="auto"/>
              </w:rPr>
            </w:pPr>
          </w:p>
        </w:tc>
        <w:tc>
          <w:tcPr>
            <w:tcW w:w="260" w:type="dxa"/>
            <w:vAlign w:val="bottom"/>
            <w:tcBorders>
              <w:bottom w:val="single" w:sz="8" w:color="231F20"/>
            </w:tcBorders>
          </w:tcPr>
          <w:p>
            <w:pPr>
              <w:spacing w:after="0"/>
              <w:rPr>
                <w:sz w:val="23"/>
                <w:szCs w:val="23"/>
                <w:color w:val="auto"/>
              </w:rPr>
            </w:pPr>
          </w:p>
        </w:tc>
        <w:tc>
          <w:tcPr>
            <w:tcW w:w="900" w:type="dxa"/>
            <w:vAlign w:val="bottom"/>
            <w:tcBorders>
              <w:bottom w:val="single" w:sz="8" w:color="231F20"/>
            </w:tcBorders>
          </w:tcPr>
          <w:p>
            <w:pPr>
              <w:jc w:val="right"/>
              <w:ind w:right="353"/>
              <w:spacing w:after="0"/>
              <w:rPr>
                <w:sz w:val="20"/>
                <w:szCs w:val="20"/>
                <w:color w:val="auto"/>
              </w:rPr>
            </w:pPr>
            <w:r>
              <w:rPr>
                <w:rFonts w:ascii="Times New Roman" w:cs="Times New Roman" w:eastAsia="Times New Roman" w:hAnsi="Times New Roman"/>
                <w:sz w:val="17"/>
                <w:szCs w:val="17"/>
                <w:color w:val="231F20"/>
              </w:rPr>
              <w:t>2026</w:t>
            </w:r>
          </w:p>
        </w:tc>
        <w:tc>
          <w:tcPr>
            <w:tcW w:w="300" w:type="dxa"/>
            <w:vAlign w:val="bottom"/>
            <w:tcBorders>
              <w:bottom w:val="single" w:sz="8" w:color="231F20"/>
            </w:tcBorders>
          </w:tcPr>
          <w:p>
            <w:pPr>
              <w:spacing w:after="0"/>
              <w:rPr>
                <w:sz w:val="23"/>
                <w:szCs w:val="23"/>
                <w:color w:val="auto"/>
              </w:rPr>
            </w:pPr>
          </w:p>
        </w:tc>
        <w:tc>
          <w:tcPr>
            <w:tcW w:w="900" w:type="dxa"/>
            <w:vAlign w:val="bottom"/>
            <w:tcBorders>
              <w:bottom w:val="single" w:sz="8" w:color="231F20"/>
            </w:tcBorders>
          </w:tcPr>
          <w:p>
            <w:pPr>
              <w:jc w:val="right"/>
              <w:ind w:right="353"/>
              <w:spacing w:after="0"/>
              <w:rPr>
                <w:sz w:val="20"/>
                <w:szCs w:val="20"/>
                <w:color w:val="auto"/>
              </w:rPr>
            </w:pPr>
            <w:r>
              <w:rPr>
                <w:rFonts w:ascii="Times New Roman" w:cs="Times New Roman" w:eastAsia="Times New Roman" w:hAnsi="Times New Roman"/>
                <w:sz w:val="17"/>
                <w:szCs w:val="17"/>
                <w:color w:val="231F20"/>
              </w:rPr>
              <w:t>2025</w:t>
            </w:r>
          </w:p>
        </w:tc>
        <w:tc>
          <w:tcPr>
            <w:tcW w:w="260" w:type="dxa"/>
            <w:vAlign w:val="bottom"/>
            <w:tcBorders>
              <w:bottom w:val="single" w:sz="8" w:color="231F20"/>
            </w:tcBorders>
          </w:tcPr>
          <w:p>
            <w:pPr>
              <w:spacing w:after="0"/>
              <w:rPr>
                <w:sz w:val="23"/>
                <w:szCs w:val="23"/>
                <w:color w:val="auto"/>
              </w:rPr>
            </w:pPr>
          </w:p>
        </w:tc>
        <w:tc>
          <w:tcPr>
            <w:tcW w:w="840" w:type="dxa"/>
            <w:vAlign w:val="bottom"/>
            <w:tcBorders>
              <w:bottom w:val="single" w:sz="8" w:color="231F20"/>
            </w:tcBorders>
          </w:tcPr>
          <w:p>
            <w:pPr>
              <w:jc w:val="right"/>
              <w:ind w:right="273"/>
              <w:spacing w:after="0"/>
              <w:rPr>
                <w:sz w:val="20"/>
                <w:szCs w:val="20"/>
                <w:color w:val="auto"/>
              </w:rPr>
            </w:pPr>
            <w:r>
              <w:rPr>
                <w:rFonts w:ascii="Times New Roman" w:cs="Times New Roman" w:eastAsia="Times New Roman" w:hAnsi="Times New Roman"/>
                <w:sz w:val="17"/>
                <w:szCs w:val="17"/>
                <w:color w:val="231F20"/>
              </w:rPr>
              <w:t>2024</w:t>
            </w:r>
          </w:p>
        </w:tc>
        <w:tc>
          <w:tcPr>
            <w:tcW w:w="80" w:type="dxa"/>
            <w:vAlign w:val="bottom"/>
            <w:tcBorders>
              <w:bottom w:val="single" w:sz="8" w:color="231F20"/>
            </w:tcBorders>
          </w:tcPr>
          <w:p>
            <w:pPr>
              <w:spacing w:after="0"/>
              <w:rPr>
                <w:sz w:val="23"/>
                <w:szCs w:val="23"/>
                <w:color w:val="auto"/>
              </w:rPr>
            </w:pPr>
          </w:p>
        </w:tc>
        <w:tc>
          <w:tcPr>
            <w:tcW w:w="260" w:type="dxa"/>
            <w:vAlign w:val="bottom"/>
            <w:tcBorders>
              <w:bottom w:val="single" w:sz="8" w:color="231F20"/>
            </w:tcBorders>
          </w:tcPr>
          <w:p>
            <w:pPr>
              <w:spacing w:after="0"/>
              <w:rPr>
                <w:sz w:val="23"/>
                <w:szCs w:val="23"/>
                <w:color w:val="auto"/>
              </w:rPr>
            </w:pPr>
          </w:p>
        </w:tc>
        <w:tc>
          <w:tcPr>
            <w:tcW w:w="860" w:type="dxa"/>
            <w:vAlign w:val="bottom"/>
            <w:tcBorders>
              <w:bottom w:val="single" w:sz="8" w:color="231F20"/>
            </w:tcBorders>
          </w:tcPr>
          <w:p>
            <w:pPr>
              <w:jc w:val="right"/>
              <w:ind w:right="313"/>
              <w:spacing w:after="0"/>
              <w:rPr>
                <w:sz w:val="20"/>
                <w:szCs w:val="20"/>
                <w:color w:val="auto"/>
              </w:rPr>
            </w:pPr>
            <w:r>
              <w:rPr>
                <w:rFonts w:ascii="Times New Roman" w:cs="Times New Roman" w:eastAsia="Times New Roman" w:hAnsi="Times New Roman"/>
                <w:sz w:val="17"/>
                <w:szCs w:val="17"/>
                <w:color w:val="231F20"/>
              </w:rPr>
              <w:t>2026</w:t>
            </w:r>
          </w:p>
        </w:tc>
        <w:tc>
          <w:tcPr>
            <w:tcW w:w="300" w:type="dxa"/>
            <w:vAlign w:val="bottom"/>
            <w:tcBorders>
              <w:bottom w:val="single" w:sz="8" w:color="231F20"/>
            </w:tcBorders>
          </w:tcPr>
          <w:p>
            <w:pPr>
              <w:spacing w:after="0"/>
              <w:rPr>
                <w:sz w:val="23"/>
                <w:szCs w:val="23"/>
                <w:color w:val="auto"/>
              </w:rPr>
            </w:pPr>
          </w:p>
        </w:tc>
        <w:tc>
          <w:tcPr>
            <w:tcW w:w="860" w:type="dxa"/>
            <w:vAlign w:val="bottom"/>
            <w:tcBorders>
              <w:bottom w:val="single" w:sz="8" w:color="231F20"/>
            </w:tcBorders>
          </w:tcPr>
          <w:p>
            <w:pPr>
              <w:jc w:val="right"/>
              <w:ind w:right="313"/>
              <w:spacing w:after="0"/>
              <w:rPr>
                <w:sz w:val="20"/>
                <w:szCs w:val="20"/>
                <w:color w:val="auto"/>
              </w:rPr>
            </w:pPr>
            <w:r>
              <w:rPr>
                <w:rFonts w:ascii="Times New Roman" w:cs="Times New Roman" w:eastAsia="Times New Roman" w:hAnsi="Times New Roman"/>
                <w:sz w:val="17"/>
                <w:szCs w:val="17"/>
                <w:color w:val="231F20"/>
              </w:rPr>
              <w:t>2025</w:t>
            </w:r>
          </w:p>
        </w:tc>
        <w:tc>
          <w:tcPr>
            <w:tcW w:w="300" w:type="dxa"/>
            <w:vAlign w:val="bottom"/>
            <w:tcBorders>
              <w:bottom w:val="single" w:sz="8" w:color="231F20"/>
            </w:tcBorders>
          </w:tcPr>
          <w:p>
            <w:pPr>
              <w:spacing w:after="0"/>
              <w:rPr>
                <w:sz w:val="23"/>
                <w:szCs w:val="23"/>
                <w:color w:val="auto"/>
              </w:rPr>
            </w:pPr>
          </w:p>
        </w:tc>
        <w:tc>
          <w:tcPr>
            <w:tcW w:w="840" w:type="dxa"/>
            <w:vAlign w:val="bottom"/>
            <w:tcBorders>
              <w:bottom w:val="single" w:sz="8" w:color="231F20"/>
            </w:tcBorders>
          </w:tcPr>
          <w:p>
            <w:pPr>
              <w:jc w:val="right"/>
              <w:ind w:right="293"/>
              <w:spacing w:after="0"/>
              <w:rPr>
                <w:sz w:val="20"/>
                <w:szCs w:val="20"/>
                <w:color w:val="auto"/>
              </w:rPr>
            </w:pPr>
            <w:r>
              <w:rPr>
                <w:rFonts w:ascii="Times New Roman" w:cs="Times New Roman" w:eastAsia="Times New Roman" w:hAnsi="Times New Roman"/>
                <w:sz w:val="17"/>
                <w:szCs w:val="17"/>
                <w:color w:val="231F20"/>
              </w:rPr>
              <w:t>2024</w:t>
            </w:r>
          </w:p>
        </w:tc>
      </w:tr>
      <w:tr>
        <w:trPr>
          <w:trHeight w:val="252"/>
        </w:trPr>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Service cost</w:t>
            </w:r>
          </w:p>
        </w:tc>
        <w:tc>
          <w:tcPr>
            <w:tcW w:w="26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231F20"/>
              </w:rPr>
              <w:t>$</w:t>
            </w: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231F20"/>
              </w:rPr>
              <w:t>0.7</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231F20"/>
              </w:rPr>
              <w:t>$</w:t>
            </w: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231F20"/>
              </w:rPr>
              <w:t>0.7</w:t>
            </w:r>
          </w:p>
        </w:tc>
        <w:tc>
          <w:tcPr>
            <w:tcW w:w="2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0.7</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231F20"/>
              </w:rPr>
              <w:t>$</w:t>
            </w: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7"/>
                <w:szCs w:val="17"/>
                <w:b w:val="1"/>
                <w:bCs w:val="1"/>
                <w:color w:val="231F20"/>
              </w:rPr>
              <w:t>—</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231F20"/>
              </w:rPr>
              <w:t>$</w:t>
            </w: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231F20"/>
              </w:rPr>
              <w:t>—</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r>
      <w:tr>
        <w:trPr>
          <w:trHeight w:val="277"/>
        </w:trPr>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Interest cost</w:t>
            </w:r>
          </w:p>
        </w:tc>
        <w:tc>
          <w:tcPr>
            <w:tcW w:w="260" w:type="dxa"/>
            <w:vAlign w:val="bottom"/>
          </w:tcPr>
          <w:p>
            <w:pPr>
              <w:spacing w:after="0"/>
              <w:rPr>
                <w:sz w:val="24"/>
                <w:szCs w:val="24"/>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231F20"/>
              </w:rPr>
              <w:t>4.7</w:t>
            </w:r>
          </w:p>
        </w:tc>
        <w:tc>
          <w:tcPr>
            <w:tcW w:w="300" w:type="dxa"/>
            <w:vAlign w:val="bottom"/>
          </w:tcPr>
          <w:p>
            <w:pPr>
              <w:spacing w:after="0"/>
              <w:rPr>
                <w:sz w:val="24"/>
                <w:szCs w:val="24"/>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231F20"/>
              </w:rPr>
              <w:t>4.2</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4.1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7"/>
                <w:szCs w:val="17"/>
                <w:b w:val="1"/>
                <w:bCs w:val="1"/>
                <w:color w:val="231F20"/>
              </w:rPr>
              <w:t>0.3</w:t>
            </w:r>
          </w:p>
        </w:tc>
        <w:tc>
          <w:tcPr>
            <w:tcW w:w="300" w:type="dxa"/>
            <w:vAlign w:val="bottom"/>
          </w:tcPr>
          <w:p>
            <w:pPr>
              <w:spacing w:after="0"/>
              <w:rPr>
                <w:sz w:val="24"/>
                <w:szCs w:val="24"/>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231F20"/>
              </w:rPr>
              <w:t>0.3</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0.3</w:t>
            </w:r>
          </w:p>
        </w:tc>
      </w:tr>
      <w:tr>
        <w:trPr>
          <w:trHeight w:val="277"/>
        </w:trPr>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Expected return on plan assets</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rPr>
              <w:t>(5.4)</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(4.9)</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(6.1)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7"/>
                <w:szCs w:val="17"/>
                <w:b w:val="1"/>
                <w:bCs w:val="1"/>
                <w:color w:val="231F20"/>
              </w:rPr>
              <w:t>—</w:t>
            </w:r>
          </w:p>
        </w:tc>
        <w:tc>
          <w:tcPr>
            <w:tcW w:w="300" w:type="dxa"/>
            <w:vAlign w:val="bottom"/>
          </w:tcPr>
          <w:p>
            <w:pPr>
              <w:spacing w:after="0"/>
              <w:rPr>
                <w:sz w:val="24"/>
                <w:szCs w:val="24"/>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231F20"/>
              </w:rPr>
              <w:t>—</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r>
      <w:tr>
        <w:trPr>
          <w:trHeight w:val="277"/>
        </w:trPr>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Prior service cost recognition</w:t>
            </w:r>
          </w:p>
        </w:tc>
        <w:tc>
          <w:tcPr>
            <w:tcW w:w="260" w:type="dxa"/>
            <w:vAlign w:val="bottom"/>
          </w:tcPr>
          <w:p>
            <w:pPr>
              <w:spacing w:after="0"/>
              <w:rPr>
                <w:sz w:val="24"/>
                <w:szCs w:val="24"/>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231F20"/>
              </w:rPr>
              <w:t>—</w:t>
            </w:r>
          </w:p>
        </w:tc>
        <w:tc>
          <w:tcPr>
            <w:tcW w:w="300" w:type="dxa"/>
            <w:vAlign w:val="bottom"/>
          </w:tcPr>
          <w:p>
            <w:pPr>
              <w:spacing w:after="0"/>
              <w:rPr>
                <w:sz w:val="24"/>
                <w:szCs w:val="24"/>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231F20"/>
              </w:rPr>
              <w:t>—</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7"/>
                <w:szCs w:val="17"/>
                <w:b w:val="1"/>
                <w:bCs w:val="1"/>
                <w:color w:val="231F20"/>
              </w:rPr>
              <w:t>—</w:t>
            </w:r>
          </w:p>
        </w:tc>
        <w:tc>
          <w:tcPr>
            <w:tcW w:w="300" w:type="dxa"/>
            <w:vAlign w:val="bottom"/>
          </w:tcPr>
          <w:p>
            <w:pPr>
              <w:spacing w:after="0"/>
              <w:rPr>
                <w:sz w:val="24"/>
                <w:szCs w:val="24"/>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231F20"/>
              </w:rPr>
              <w:t>—</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r>
      <w:tr>
        <w:trPr>
          <w:trHeight w:val="277"/>
        </w:trPr>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Net amortization and deferral</w:t>
            </w:r>
          </w:p>
        </w:tc>
        <w:tc>
          <w:tcPr>
            <w:tcW w:w="260" w:type="dxa"/>
            <w:vAlign w:val="bottom"/>
          </w:tcPr>
          <w:p>
            <w:pPr>
              <w:spacing w:after="0"/>
              <w:rPr>
                <w:sz w:val="24"/>
                <w:szCs w:val="24"/>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231F20"/>
              </w:rPr>
              <w:t>—</w:t>
            </w:r>
          </w:p>
        </w:tc>
        <w:tc>
          <w:tcPr>
            <w:tcW w:w="300" w:type="dxa"/>
            <w:vAlign w:val="bottom"/>
          </w:tcPr>
          <w:p>
            <w:pPr>
              <w:spacing w:after="0"/>
              <w:rPr>
                <w:sz w:val="24"/>
                <w:szCs w:val="24"/>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231F20"/>
              </w:rPr>
              <w:t>—</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7"/>
                <w:szCs w:val="17"/>
                <w:b w:val="1"/>
                <w:bCs w:val="1"/>
                <w:color w:val="231F20"/>
              </w:rPr>
              <w:t>—</w:t>
            </w:r>
          </w:p>
        </w:tc>
        <w:tc>
          <w:tcPr>
            <w:tcW w:w="300" w:type="dxa"/>
            <w:vAlign w:val="bottom"/>
          </w:tcPr>
          <w:p>
            <w:pPr>
              <w:spacing w:after="0"/>
              <w:rPr>
                <w:sz w:val="24"/>
                <w:szCs w:val="24"/>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231F20"/>
              </w:rPr>
              <w:t>0.1</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0.2</w:t>
            </w:r>
          </w:p>
        </w:tc>
      </w:tr>
      <w:tr>
        <w:trPr>
          <w:trHeight w:val="281"/>
        </w:trPr>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Curtailments/settlements</w:t>
            </w:r>
          </w:p>
        </w:tc>
        <w:tc>
          <w:tcPr>
            <w:tcW w:w="26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231F20"/>
              </w:rPr>
              <w:t>—</w:t>
            </w:r>
          </w:p>
        </w:tc>
        <w:tc>
          <w:tcPr>
            <w:tcW w:w="30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ind w:right="53"/>
              <w:spacing w:after="0"/>
              <w:rPr>
                <w:sz w:val="20"/>
                <w:szCs w:val="20"/>
                <w:color w:val="auto"/>
              </w:rPr>
            </w:pPr>
            <w:r>
              <w:rPr>
                <w:rFonts w:ascii="Times New Roman" w:cs="Times New Roman" w:eastAsia="Times New Roman" w:hAnsi="Times New Roman"/>
                <w:sz w:val="17"/>
                <w:szCs w:val="17"/>
                <w:color w:val="231F20"/>
              </w:rPr>
              <w:t>—</w:t>
            </w:r>
          </w:p>
        </w:tc>
        <w:tc>
          <w:tcPr>
            <w:tcW w:w="260" w:type="dxa"/>
            <w:vAlign w:val="bottom"/>
            <w:tcBorders>
              <w:bottom w:val="single" w:sz="8" w:color="231F20"/>
            </w:tcBorders>
          </w:tcPr>
          <w:p>
            <w:pPr>
              <w:spacing w:after="0"/>
              <w:rPr>
                <w:sz w:val="24"/>
                <w:szCs w:val="24"/>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80" w:type="dxa"/>
            <w:vAlign w:val="bottom"/>
            <w:tcBorders>
              <w:bottom w:val="single" w:sz="8" w:color="231F20"/>
            </w:tcBorders>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231F20"/>
              </w:rPr>
              <w:t>—</w:t>
            </w:r>
          </w:p>
        </w:tc>
        <w:tc>
          <w:tcPr>
            <w:tcW w:w="30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tcBorders>
          </w:tcPr>
          <w:p>
            <w:pPr>
              <w:jc w:val="right"/>
              <w:ind w:right="13"/>
              <w:spacing w:after="0"/>
              <w:rPr>
                <w:sz w:val="20"/>
                <w:szCs w:val="20"/>
                <w:color w:val="auto"/>
              </w:rPr>
            </w:pPr>
            <w:r>
              <w:rPr>
                <w:rFonts w:ascii="Times New Roman" w:cs="Times New Roman" w:eastAsia="Times New Roman" w:hAnsi="Times New Roman"/>
                <w:sz w:val="17"/>
                <w:szCs w:val="17"/>
                <w:color w:val="231F20"/>
              </w:rPr>
              <w:t>—</w:t>
            </w:r>
          </w:p>
        </w:tc>
        <w:tc>
          <w:tcPr>
            <w:tcW w:w="300" w:type="dxa"/>
            <w:vAlign w:val="bottom"/>
            <w:tcBorders>
              <w:bottom w:val="single" w:sz="8" w:color="231F20"/>
            </w:tcBorders>
          </w:tcPr>
          <w:p>
            <w:pPr>
              <w:spacing w:after="0"/>
              <w:rPr>
                <w:sz w:val="24"/>
                <w:szCs w:val="24"/>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w:t>
            </w:r>
          </w:p>
        </w:tc>
      </w:tr>
      <w:tr>
        <w:trPr>
          <w:trHeight w:val="256"/>
        </w:trPr>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Net periodic benefit (credit) cost</w:t>
            </w:r>
          </w:p>
        </w:tc>
        <w:tc>
          <w:tcPr>
            <w:tcW w:w="260" w:type="dxa"/>
            <w:vAlign w:val="bottom"/>
            <w:tcBorders>
              <w:bottom w:val="single" w:sz="8" w:color="231F20"/>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231F20"/>
              </w:rPr>
              <w:t>$</w:t>
            </w:r>
          </w:p>
        </w:tc>
        <w:tc>
          <w:tcPr>
            <w:tcW w:w="900" w:type="dxa"/>
            <w:vAlign w:val="bottom"/>
            <w:tcBorders>
              <w:bottom w:val="single" w:sz="8" w:color="231F20"/>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231F20"/>
              </w:rPr>
              <w:t>0.2</w:t>
            </w:r>
          </w:p>
        </w:tc>
        <w:tc>
          <w:tcPr>
            <w:tcW w:w="300" w:type="dxa"/>
            <w:vAlign w:val="bottom"/>
            <w:tcBorders>
              <w:bottom w:val="single" w:sz="8" w:color="231F20"/>
            </w:tcBorders>
          </w:tcPr>
          <w:p>
            <w:pPr>
              <w:jc w:val="right"/>
              <w:ind w:right="33"/>
              <w:spacing w:after="0"/>
              <w:rPr>
                <w:sz w:val="20"/>
                <w:szCs w:val="20"/>
                <w:color w:val="auto"/>
              </w:rPr>
            </w:pPr>
            <w:r>
              <w:rPr>
                <w:rFonts w:ascii="Times New Roman" w:cs="Times New Roman" w:eastAsia="Times New Roman" w:hAnsi="Times New Roman"/>
                <w:sz w:val="17"/>
                <w:szCs w:val="17"/>
                <w:color w:val="231F20"/>
              </w:rPr>
              <w:t>$</w:t>
            </w:r>
          </w:p>
        </w:tc>
        <w:tc>
          <w:tcPr>
            <w:tcW w:w="900" w:type="dxa"/>
            <w:vAlign w:val="bottom"/>
            <w:tcBorders>
              <w:bottom w:val="single" w:sz="8" w:color="231F20"/>
            </w:tcBorders>
          </w:tcPr>
          <w:p>
            <w:pPr>
              <w:jc w:val="right"/>
              <w:ind w:right="53"/>
              <w:spacing w:after="0"/>
              <w:rPr>
                <w:sz w:val="20"/>
                <w:szCs w:val="20"/>
                <w:color w:val="auto"/>
              </w:rPr>
            </w:pPr>
            <w:r>
              <w:rPr>
                <w:rFonts w:ascii="Times New Roman" w:cs="Times New Roman" w:eastAsia="Times New Roman" w:hAnsi="Times New Roman"/>
                <w:sz w:val="17"/>
                <w:szCs w:val="17"/>
                <w:color w:val="231F20"/>
              </w:rPr>
              <w:t>0.1</w:t>
            </w:r>
          </w:p>
        </w:tc>
        <w:tc>
          <w:tcPr>
            <w:tcW w:w="260" w:type="dxa"/>
            <w:vAlign w:val="bottom"/>
            <w:tcBorders>
              <w:bottom w:val="single" w:sz="8" w:color="231F20"/>
            </w:tcBorders>
          </w:tcPr>
          <w:p>
            <w:pPr>
              <w:jc w:val="right"/>
              <w:ind w:right="13"/>
              <w:spacing w:after="0"/>
              <w:rPr>
                <w:sz w:val="20"/>
                <w:szCs w:val="20"/>
                <w:color w:val="auto"/>
              </w:rPr>
            </w:pPr>
            <w:r>
              <w:rPr>
                <w:rFonts w:ascii="Times New Roman" w:cs="Times New Roman" w:eastAsia="Times New Roman" w:hAnsi="Times New Roman"/>
                <w:sz w:val="17"/>
                <w:szCs w:val="17"/>
                <w:color w:val="231F20"/>
              </w:rPr>
              <w:t>$</w:t>
            </w: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(1.2)</w:t>
            </w:r>
          </w:p>
        </w:tc>
        <w:tc>
          <w:tcPr>
            <w:tcW w:w="340" w:type="dxa"/>
            <w:vAlign w:val="bottom"/>
            <w:tcBorders>
              <w:bottom w:val="single" w:sz="8" w:color="231F20"/>
            </w:tcBorders>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231F20"/>
              </w:rPr>
              <w:t>$</w:t>
            </w:r>
          </w:p>
        </w:tc>
        <w:tc>
          <w:tcPr>
            <w:tcW w:w="860" w:type="dxa"/>
            <w:vAlign w:val="bottom"/>
            <w:tcBorders>
              <w:bottom w:val="single" w:sz="8" w:color="231F20"/>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231F20"/>
              </w:rPr>
              <w:t>0.3</w:t>
            </w:r>
          </w:p>
        </w:tc>
        <w:tc>
          <w:tcPr>
            <w:tcW w:w="300" w:type="dxa"/>
            <w:vAlign w:val="bottom"/>
            <w:tcBorders>
              <w:bottom w:val="single" w:sz="8" w:color="231F20"/>
            </w:tcBorders>
          </w:tcPr>
          <w:p>
            <w:pPr>
              <w:jc w:val="right"/>
              <w:ind w:right="33"/>
              <w:spacing w:after="0"/>
              <w:rPr>
                <w:sz w:val="20"/>
                <w:szCs w:val="20"/>
                <w:color w:val="auto"/>
              </w:rPr>
            </w:pPr>
            <w:r>
              <w:rPr>
                <w:rFonts w:ascii="Times New Roman" w:cs="Times New Roman" w:eastAsia="Times New Roman" w:hAnsi="Times New Roman"/>
                <w:sz w:val="17"/>
                <w:szCs w:val="17"/>
                <w:color w:val="231F20"/>
              </w:rPr>
              <w:t>$</w:t>
            </w:r>
          </w:p>
        </w:tc>
        <w:tc>
          <w:tcPr>
            <w:tcW w:w="860" w:type="dxa"/>
            <w:vAlign w:val="bottom"/>
            <w:tcBorders>
              <w:bottom w:val="single" w:sz="8" w:color="231F20"/>
            </w:tcBorders>
          </w:tcPr>
          <w:p>
            <w:pPr>
              <w:jc w:val="right"/>
              <w:ind w:right="13"/>
              <w:spacing w:after="0"/>
              <w:rPr>
                <w:sz w:val="20"/>
                <w:szCs w:val="20"/>
                <w:color w:val="auto"/>
              </w:rPr>
            </w:pPr>
            <w:r>
              <w:rPr>
                <w:rFonts w:ascii="Times New Roman" w:cs="Times New Roman" w:eastAsia="Times New Roman" w:hAnsi="Times New Roman"/>
                <w:sz w:val="17"/>
                <w:szCs w:val="17"/>
                <w:color w:val="231F20"/>
              </w:rPr>
              <w:t>0.4</w:t>
            </w:r>
          </w:p>
        </w:tc>
        <w:tc>
          <w:tcPr>
            <w:tcW w:w="300" w:type="dxa"/>
            <w:vAlign w:val="bottom"/>
            <w:tcBorders>
              <w:bottom w:val="single" w:sz="8" w:color="231F20"/>
            </w:tcBorders>
          </w:tcPr>
          <w:p>
            <w:pPr>
              <w:jc w:val="right"/>
              <w:ind w:right="33"/>
              <w:spacing w:after="0"/>
              <w:rPr>
                <w:sz w:val="20"/>
                <w:szCs w:val="20"/>
                <w:color w:val="auto"/>
              </w:rPr>
            </w:pPr>
            <w:r>
              <w:rPr>
                <w:rFonts w:ascii="Times New Roman" w:cs="Times New Roman" w:eastAsia="Times New Roman" w:hAnsi="Times New Roman"/>
                <w:sz w:val="17"/>
                <w:szCs w:val="17"/>
                <w:color w:val="231F20"/>
              </w:rPr>
              <w:t>$</w:t>
            </w: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0.5</w:t>
            </w:r>
          </w:p>
        </w:tc>
      </w:tr>
    </w:tbl>
    <w:p>
      <w:pPr>
        <w:spacing w:after="0" w:line="197" w:lineRule="exact"/>
        <w:rPr>
          <w:sz w:val="20"/>
          <w:szCs w:val="20"/>
          <w:color w:val="auto"/>
        </w:rPr>
      </w:pPr>
    </w:p>
    <w:p>
      <w:pPr>
        <w:sectPr>
          <w:pgSz w:w="11880" w:h="15480" w:orient="portrait"/>
          <w:cols w:equalWidth="0" w:num="1">
            <w:col w:w="9960"/>
          </w:cols>
          <w:pgMar w:left="960" w:top="250" w:right="960" w:bottom="0" w:gutter="0" w:footer="0" w:header="0"/>
        </w:sectPr>
      </w:pPr>
    </w:p>
    <w:p>
      <w:pPr>
        <w:ind w:left="60" w:right="140"/>
        <w:spacing w:after="0" w:line="256" w:lineRule="auto"/>
        <w:rPr>
          <w:sz w:val="20"/>
          <w:szCs w:val="20"/>
          <w:color w:val="auto"/>
        </w:rPr>
      </w:pPr>
      <w:r>
        <w:rPr>
          <w:rFonts w:ascii="Times New Roman" w:cs="Times New Roman" w:eastAsia="Times New Roman" w:hAnsi="Times New Roman"/>
          <w:sz w:val="17"/>
          <w:szCs w:val="17"/>
          <w:b w:val="1"/>
          <w:bCs w:val="1"/>
          <w:color w:val="231F20"/>
        </w:rPr>
        <w:t>Recognized in other comprehensive loss (income) before tax:</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231F20"/>
        </w:rPr>
        <w:t>Net loss (gain) occurring during year</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231F20"/>
        </w:rPr>
        <w:t>Amortization of prior service credit</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231F20"/>
        </w:rPr>
        <w:t>Amortization of net loss</w:t>
      </w:r>
    </w:p>
    <w:p>
      <w:pPr>
        <w:spacing w:after="0" w:line="50" w:lineRule="exact"/>
        <w:rPr>
          <w:sz w:val="20"/>
          <w:szCs w:val="20"/>
          <w:color w:val="auto"/>
        </w:rPr>
      </w:pPr>
    </w:p>
    <w:p>
      <w:pPr>
        <w:ind w:left="60" w:right="660"/>
        <w:spacing w:after="0" w:line="256" w:lineRule="auto"/>
        <w:rPr>
          <w:sz w:val="20"/>
          <w:szCs w:val="20"/>
          <w:color w:val="auto"/>
        </w:rPr>
      </w:pPr>
      <w:r>
        <w:rPr>
          <w:rFonts w:ascii="Times New Roman" w:cs="Times New Roman" w:eastAsia="Times New Roman" w:hAnsi="Times New Roman"/>
          <w:sz w:val="17"/>
          <w:szCs w:val="17"/>
          <w:b w:val="1"/>
          <w:bCs w:val="1"/>
          <w:color w:val="231F20"/>
        </w:rPr>
        <w:t>Total recognized in other comprehensive loss (income)</w:t>
      </w:r>
    </w:p>
    <w:p>
      <w:pPr>
        <w:spacing w:after="0" w:line="34" w:lineRule="exact"/>
        <w:rPr>
          <w:sz w:val="20"/>
          <w:szCs w:val="20"/>
          <w:color w:val="auto"/>
        </w:rPr>
      </w:pPr>
    </w:p>
    <w:p>
      <w:pPr>
        <w:ind w:left="60"/>
        <w:spacing w:after="0" w:line="236" w:lineRule="auto"/>
        <w:rPr>
          <w:sz w:val="20"/>
          <w:szCs w:val="20"/>
          <w:color w:val="auto"/>
        </w:rPr>
      </w:pPr>
      <w:r>
        <w:rPr>
          <w:rFonts w:ascii="Times New Roman" w:cs="Times New Roman" w:eastAsia="Times New Roman" w:hAnsi="Times New Roman"/>
          <w:sz w:val="17"/>
          <w:szCs w:val="17"/>
          <w:b w:val="1"/>
          <w:bCs w:val="1"/>
          <w:color w:val="231F20"/>
        </w:rPr>
        <w:t>Total recognized in total benefits cost and other comprehensive loss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jc w:val="right"/>
              <w:ind w:right="213"/>
              <w:spacing w:after="0"/>
              <w:rPr>
                <w:sz w:val="20"/>
                <w:szCs w:val="20"/>
                <w:color w:val="auto"/>
              </w:rPr>
            </w:pPr>
            <w:r>
              <w:rPr>
                <w:rFonts w:ascii="Times New Roman" w:cs="Times New Roman" w:eastAsia="Times New Roman" w:hAnsi="Times New Roman"/>
                <w:sz w:val="17"/>
                <w:szCs w:val="17"/>
                <w:b w:val="1"/>
                <w:bCs w:val="1"/>
                <w:color w:val="231F20"/>
              </w:rPr>
              <w:t>$</w:t>
            </w: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231F20"/>
              </w:rPr>
              <w:t>0.2</w:t>
            </w:r>
          </w:p>
        </w:tc>
        <w:tc>
          <w:tcPr>
            <w:tcW w:w="48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231F20"/>
              </w:rPr>
              <w:t>$</w:t>
            </w: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231F20"/>
              </w:rPr>
              <w:t>0.6</w:t>
            </w:r>
          </w:p>
        </w:tc>
        <w:tc>
          <w:tcPr>
            <w:tcW w:w="46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231F20"/>
              </w:rPr>
              <w:t>$</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231F20"/>
              </w:rPr>
              <w:t>2.6</w:t>
            </w:r>
          </w:p>
        </w:tc>
        <w:tc>
          <w:tcPr>
            <w:tcW w:w="48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231F20"/>
              </w:rPr>
              <w:t>$</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7"/>
                <w:szCs w:val="17"/>
                <w:b w:val="1"/>
                <w:bCs w:val="1"/>
                <w:color w:val="231F20"/>
              </w:rPr>
              <w:t>0.4</w:t>
            </w:r>
          </w:p>
        </w:tc>
        <w:tc>
          <w:tcPr>
            <w:tcW w:w="48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231F20"/>
              </w:rPr>
              <w:t>$</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231F20"/>
              </w:rPr>
              <w:t>0.6</w:t>
            </w:r>
          </w:p>
        </w:tc>
        <w:tc>
          <w:tcPr>
            <w:tcW w:w="46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0.4</w:t>
            </w:r>
          </w:p>
        </w:tc>
      </w:tr>
      <w:tr>
        <w:trPr>
          <w:trHeight w:val="306"/>
        </w:trPr>
        <w:tc>
          <w:tcPr>
            <w:tcW w:w="4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rPr>
              <w:t>(0.1)</w:t>
            </w:r>
          </w:p>
        </w:tc>
        <w:tc>
          <w:tcPr>
            <w:tcW w:w="4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(0.1)</w:t>
            </w:r>
          </w:p>
        </w:tc>
        <w:tc>
          <w:tcPr>
            <w:tcW w:w="4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(0.1)</w:t>
            </w:r>
          </w:p>
        </w:tc>
        <w:tc>
          <w:tcPr>
            <w:tcW w:w="480" w:type="dxa"/>
            <w:vAlign w:val="bottom"/>
          </w:tcPr>
          <w:p>
            <w:pPr>
              <w:spacing w:after="0"/>
              <w:rPr>
                <w:sz w:val="24"/>
                <w:szCs w:val="24"/>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7"/>
                <w:szCs w:val="17"/>
                <w:b w:val="1"/>
                <w:bCs w:val="1"/>
                <w:color w:val="231F20"/>
              </w:rPr>
              <w:t>—</w:t>
            </w:r>
          </w:p>
        </w:tc>
        <w:tc>
          <w:tcPr>
            <w:tcW w:w="480" w:type="dxa"/>
            <w:vAlign w:val="bottom"/>
          </w:tcPr>
          <w:p>
            <w:pPr>
              <w:spacing w:after="0"/>
              <w:rPr>
                <w:sz w:val="24"/>
                <w:szCs w:val="24"/>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231F20"/>
              </w:rPr>
              <w:t>—</w:t>
            </w:r>
          </w:p>
        </w:tc>
        <w:tc>
          <w:tcPr>
            <w:tcW w:w="4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r>
      <w:tr>
        <w:trPr>
          <w:trHeight w:val="310"/>
        </w:trPr>
        <w:tc>
          <w:tcPr>
            <w:tcW w:w="44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231F20"/>
              </w:rPr>
              <w:t>—</w:t>
            </w:r>
          </w:p>
        </w:tc>
        <w:tc>
          <w:tcPr>
            <w:tcW w:w="48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ind w:right="53"/>
              <w:spacing w:after="0"/>
              <w:rPr>
                <w:sz w:val="20"/>
                <w:szCs w:val="20"/>
                <w:color w:val="auto"/>
              </w:rPr>
            </w:pPr>
            <w:r>
              <w:rPr>
                <w:rFonts w:ascii="Times New Roman" w:cs="Times New Roman" w:eastAsia="Times New Roman" w:hAnsi="Times New Roman"/>
                <w:sz w:val="17"/>
                <w:szCs w:val="17"/>
                <w:color w:val="231F20"/>
              </w:rPr>
              <w:t>—</w:t>
            </w:r>
          </w:p>
        </w:tc>
        <w:tc>
          <w:tcPr>
            <w:tcW w:w="460" w:type="dxa"/>
            <w:vAlign w:val="bottom"/>
            <w:tcBorders>
              <w:bottom w:val="single" w:sz="8" w:color="231F20"/>
            </w:tcBorders>
          </w:tcPr>
          <w:p>
            <w:pPr>
              <w:spacing w:after="0"/>
              <w:rPr>
                <w:sz w:val="24"/>
                <w:szCs w:val="24"/>
                <w:color w:val="auto"/>
              </w:rPr>
            </w:pPr>
          </w:p>
        </w:tc>
        <w:tc>
          <w:tcPr>
            <w:tcW w:w="700" w:type="dxa"/>
            <w:vAlign w:val="bottom"/>
            <w:tcBorders>
              <w:bottom w:val="single" w:sz="8" w:color="231F20"/>
            </w:tcBorders>
          </w:tcPr>
          <w:p>
            <w:pPr>
              <w:jc w:val="right"/>
              <w:ind w:right="33"/>
              <w:spacing w:after="0"/>
              <w:rPr>
                <w:sz w:val="20"/>
                <w:szCs w:val="20"/>
                <w:color w:val="auto"/>
              </w:rPr>
            </w:pPr>
            <w:r>
              <w:rPr>
                <w:rFonts w:ascii="Times New Roman" w:cs="Times New Roman" w:eastAsia="Times New Roman" w:hAnsi="Times New Roman"/>
                <w:sz w:val="17"/>
                <w:szCs w:val="17"/>
                <w:color w:val="231F20"/>
              </w:rPr>
              <w:t>—</w:t>
            </w:r>
          </w:p>
        </w:tc>
        <w:tc>
          <w:tcPr>
            <w:tcW w:w="480" w:type="dxa"/>
            <w:vAlign w:val="bottom"/>
            <w:tcBorders>
              <w:bottom w:val="single" w:sz="8" w:color="231F20"/>
            </w:tcBorders>
          </w:tcPr>
          <w:p>
            <w:pPr>
              <w:spacing w:after="0"/>
              <w:rPr>
                <w:sz w:val="24"/>
                <w:szCs w:val="24"/>
                <w:color w:val="auto"/>
              </w:rPr>
            </w:pPr>
          </w:p>
        </w:tc>
        <w:tc>
          <w:tcPr>
            <w:tcW w:w="660" w:type="dxa"/>
            <w:vAlign w:val="bottom"/>
            <w:tcBorders>
              <w:bottom w:val="single" w:sz="8" w:color="231F20"/>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231F20"/>
              </w:rPr>
              <w:t>—</w:t>
            </w:r>
          </w:p>
        </w:tc>
        <w:tc>
          <w:tcPr>
            <w:tcW w:w="480" w:type="dxa"/>
            <w:vAlign w:val="bottom"/>
            <w:tcBorders>
              <w:bottom w:val="single" w:sz="8" w:color="231F20"/>
            </w:tcBorders>
          </w:tcPr>
          <w:p>
            <w:pPr>
              <w:spacing w:after="0"/>
              <w:rPr>
                <w:sz w:val="24"/>
                <w:szCs w:val="24"/>
                <w:color w:val="auto"/>
              </w:rPr>
            </w:pPr>
          </w:p>
        </w:tc>
        <w:tc>
          <w:tcPr>
            <w:tcW w:w="7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(0.1)</w:t>
            </w:r>
          </w:p>
        </w:tc>
        <w:tc>
          <w:tcPr>
            <w:tcW w:w="460" w:type="dxa"/>
            <w:vAlign w:val="bottom"/>
            <w:tcBorders>
              <w:bottom w:val="single" w:sz="8" w:color="231F20"/>
            </w:tcBorders>
          </w:tcPr>
          <w:p>
            <w:pPr>
              <w:spacing w:after="0"/>
              <w:rPr>
                <w:sz w:val="24"/>
                <w:szCs w:val="24"/>
                <w:color w:val="auto"/>
              </w:rPr>
            </w:pP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(0.2)</w:t>
            </w:r>
          </w:p>
        </w:tc>
      </w:tr>
      <w:tr>
        <w:trPr>
          <w:trHeight w:val="402"/>
        </w:trPr>
        <w:tc>
          <w:tcPr>
            <w:tcW w:w="44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231F20"/>
              </w:rPr>
              <w:t>0.2</w:t>
            </w:r>
          </w:p>
        </w:tc>
        <w:tc>
          <w:tcPr>
            <w:tcW w:w="48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ind w:right="53"/>
              <w:spacing w:after="0"/>
              <w:rPr>
                <w:sz w:val="20"/>
                <w:szCs w:val="20"/>
                <w:color w:val="auto"/>
              </w:rPr>
            </w:pPr>
            <w:r>
              <w:rPr>
                <w:rFonts w:ascii="Times New Roman" w:cs="Times New Roman" w:eastAsia="Times New Roman" w:hAnsi="Times New Roman"/>
                <w:sz w:val="17"/>
                <w:szCs w:val="17"/>
                <w:color w:val="231F20"/>
              </w:rPr>
              <w:t>0.5</w:t>
            </w:r>
          </w:p>
        </w:tc>
        <w:tc>
          <w:tcPr>
            <w:tcW w:w="460" w:type="dxa"/>
            <w:vAlign w:val="bottom"/>
            <w:tcBorders>
              <w:bottom w:val="single" w:sz="8" w:color="231F20"/>
            </w:tcBorders>
          </w:tcPr>
          <w:p>
            <w:pPr>
              <w:spacing w:after="0"/>
              <w:rPr>
                <w:sz w:val="24"/>
                <w:szCs w:val="24"/>
                <w:color w:val="auto"/>
              </w:rPr>
            </w:pPr>
          </w:p>
        </w:tc>
        <w:tc>
          <w:tcPr>
            <w:tcW w:w="700" w:type="dxa"/>
            <w:vAlign w:val="bottom"/>
            <w:tcBorders>
              <w:bottom w:val="single" w:sz="8" w:color="231F20"/>
            </w:tcBorders>
          </w:tcPr>
          <w:p>
            <w:pPr>
              <w:jc w:val="right"/>
              <w:ind w:right="33"/>
              <w:spacing w:after="0"/>
              <w:rPr>
                <w:sz w:val="20"/>
                <w:szCs w:val="20"/>
                <w:color w:val="auto"/>
              </w:rPr>
            </w:pPr>
            <w:r>
              <w:rPr>
                <w:rFonts w:ascii="Times New Roman" w:cs="Times New Roman" w:eastAsia="Times New Roman" w:hAnsi="Times New Roman"/>
                <w:sz w:val="17"/>
                <w:szCs w:val="17"/>
                <w:color w:val="231F20"/>
              </w:rPr>
              <w:t>2.5</w:t>
            </w:r>
          </w:p>
        </w:tc>
        <w:tc>
          <w:tcPr>
            <w:tcW w:w="480" w:type="dxa"/>
            <w:vAlign w:val="bottom"/>
            <w:tcBorders>
              <w:bottom w:val="single" w:sz="8" w:color="231F20"/>
            </w:tcBorders>
          </w:tcPr>
          <w:p>
            <w:pPr>
              <w:spacing w:after="0"/>
              <w:rPr>
                <w:sz w:val="24"/>
                <w:szCs w:val="24"/>
                <w:color w:val="auto"/>
              </w:rPr>
            </w:pPr>
          </w:p>
        </w:tc>
        <w:tc>
          <w:tcPr>
            <w:tcW w:w="660" w:type="dxa"/>
            <w:vAlign w:val="bottom"/>
            <w:tcBorders>
              <w:bottom w:val="single" w:sz="8" w:color="231F20"/>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231F20"/>
              </w:rPr>
              <w:t>0.3</w:t>
            </w:r>
          </w:p>
        </w:tc>
        <w:tc>
          <w:tcPr>
            <w:tcW w:w="480" w:type="dxa"/>
            <w:vAlign w:val="bottom"/>
            <w:tcBorders>
              <w:bottom w:val="single" w:sz="8" w:color="231F20"/>
            </w:tcBorders>
          </w:tcPr>
          <w:p>
            <w:pPr>
              <w:spacing w:after="0"/>
              <w:rPr>
                <w:sz w:val="24"/>
                <w:szCs w:val="24"/>
                <w:color w:val="auto"/>
              </w:rPr>
            </w:pPr>
          </w:p>
        </w:tc>
        <w:tc>
          <w:tcPr>
            <w:tcW w:w="700" w:type="dxa"/>
            <w:vAlign w:val="bottom"/>
            <w:tcBorders>
              <w:bottom w:val="single" w:sz="8" w:color="231F20"/>
            </w:tcBorders>
          </w:tcPr>
          <w:p>
            <w:pPr>
              <w:jc w:val="right"/>
              <w:ind w:right="33"/>
              <w:spacing w:after="0"/>
              <w:rPr>
                <w:sz w:val="20"/>
                <w:szCs w:val="20"/>
                <w:color w:val="auto"/>
              </w:rPr>
            </w:pPr>
            <w:r>
              <w:rPr>
                <w:rFonts w:ascii="Times New Roman" w:cs="Times New Roman" w:eastAsia="Times New Roman" w:hAnsi="Times New Roman"/>
                <w:sz w:val="17"/>
                <w:szCs w:val="17"/>
                <w:color w:val="231F20"/>
              </w:rPr>
              <w:t>0.4</w:t>
            </w:r>
          </w:p>
        </w:tc>
        <w:tc>
          <w:tcPr>
            <w:tcW w:w="460" w:type="dxa"/>
            <w:vAlign w:val="bottom"/>
            <w:tcBorders>
              <w:bottom w:val="single" w:sz="8" w:color="231F20"/>
            </w:tcBorders>
          </w:tcPr>
          <w:p>
            <w:pPr>
              <w:spacing w:after="0"/>
              <w:rPr>
                <w:sz w:val="24"/>
                <w:szCs w:val="24"/>
                <w:color w:val="auto"/>
              </w:rPr>
            </w:pP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0.2</w:t>
            </w:r>
          </w:p>
        </w:tc>
      </w:tr>
      <w:tr>
        <w:trPr>
          <w:trHeight w:val="611"/>
        </w:trPr>
        <w:tc>
          <w:tcPr>
            <w:tcW w:w="440" w:type="dxa"/>
            <w:vAlign w:val="bottom"/>
            <w:tcBorders>
              <w:bottom w:val="single" w:sz="8" w:color="231F20"/>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231F20"/>
              </w:rPr>
              <w:t>$</w:t>
            </w:r>
          </w:p>
        </w:tc>
        <w:tc>
          <w:tcPr>
            <w:tcW w:w="720" w:type="dxa"/>
            <w:vAlign w:val="bottom"/>
            <w:tcBorders>
              <w:bottom w:val="single" w:sz="8" w:color="231F20"/>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231F20"/>
              </w:rPr>
              <w:t>0.3</w:t>
            </w:r>
          </w:p>
        </w:tc>
        <w:tc>
          <w:tcPr>
            <w:tcW w:w="480" w:type="dxa"/>
            <w:vAlign w:val="bottom"/>
            <w:tcBorders>
              <w:bottom w:val="single" w:sz="8" w:color="231F20"/>
            </w:tcBorders>
          </w:tcPr>
          <w:p>
            <w:pPr>
              <w:jc w:val="right"/>
              <w:ind w:right="213"/>
              <w:spacing w:after="0"/>
              <w:rPr>
                <w:sz w:val="20"/>
                <w:szCs w:val="20"/>
                <w:color w:val="auto"/>
              </w:rPr>
            </w:pPr>
            <w:r>
              <w:rPr>
                <w:rFonts w:ascii="Times New Roman" w:cs="Times New Roman" w:eastAsia="Times New Roman" w:hAnsi="Times New Roman"/>
                <w:sz w:val="17"/>
                <w:szCs w:val="17"/>
                <w:color w:val="231F20"/>
              </w:rPr>
              <w:t>$</w:t>
            </w:r>
          </w:p>
        </w:tc>
        <w:tc>
          <w:tcPr>
            <w:tcW w:w="720" w:type="dxa"/>
            <w:vAlign w:val="bottom"/>
            <w:tcBorders>
              <w:bottom w:val="single" w:sz="8" w:color="231F20"/>
            </w:tcBorders>
          </w:tcPr>
          <w:p>
            <w:pPr>
              <w:jc w:val="right"/>
              <w:ind w:right="53"/>
              <w:spacing w:after="0"/>
              <w:rPr>
                <w:sz w:val="20"/>
                <w:szCs w:val="20"/>
                <w:color w:val="auto"/>
              </w:rPr>
            </w:pPr>
            <w:r>
              <w:rPr>
                <w:rFonts w:ascii="Times New Roman" w:cs="Times New Roman" w:eastAsia="Times New Roman" w:hAnsi="Times New Roman"/>
                <w:sz w:val="17"/>
                <w:szCs w:val="17"/>
                <w:color w:val="231F20"/>
              </w:rPr>
              <w:t>0.6</w:t>
            </w:r>
          </w:p>
        </w:tc>
        <w:tc>
          <w:tcPr>
            <w:tcW w:w="460" w:type="dxa"/>
            <w:vAlign w:val="bottom"/>
            <w:tcBorders>
              <w:bottom w:val="single" w:sz="8" w:color="231F20"/>
            </w:tcBorders>
          </w:tcPr>
          <w:p>
            <w:pPr>
              <w:jc w:val="right"/>
              <w:ind w:right="213"/>
              <w:spacing w:after="0"/>
              <w:rPr>
                <w:sz w:val="20"/>
                <w:szCs w:val="20"/>
                <w:color w:val="auto"/>
              </w:rPr>
            </w:pPr>
            <w:r>
              <w:rPr>
                <w:rFonts w:ascii="Times New Roman" w:cs="Times New Roman" w:eastAsia="Times New Roman" w:hAnsi="Times New Roman"/>
                <w:sz w:val="17"/>
                <w:szCs w:val="17"/>
                <w:color w:val="231F20"/>
              </w:rPr>
              <w:t>$</w:t>
            </w:r>
          </w:p>
        </w:tc>
        <w:tc>
          <w:tcPr>
            <w:tcW w:w="700" w:type="dxa"/>
            <w:vAlign w:val="bottom"/>
            <w:tcBorders>
              <w:bottom w:val="single" w:sz="8" w:color="231F20"/>
            </w:tcBorders>
          </w:tcPr>
          <w:p>
            <w:pPr>
              <w:jc w:val="right"/>
              <w:ind w:right="33"/>
              <w:spacing w:after="0"/>
              <w:rPr>
                <w:sz w:val="20"/>
                <w:szCs w:val="20"/>
                <w:color w:val="auto"/>
              </w:rPr>
            </w:pPr>
            <w:r>
              <w:rPr>
                <w:rFonts w:ascii="Times New Roman" w:cs="Times New Roman" w:eastAsia="Times New Roman" w:hAnsi="Times New Roman"/>
                <w:sz w:val="17"/>
                <w:szCs w:val="17"/>
                <w:color w:val="231F20"/>
              </w:rPr>
              <w:t>1.3</w:t>
            </w:r>
          </w:p>
        </w:tc>
        <w:tc>
          <w:tcPr>
            <w:tcW w:w="480" w:type="dxa"/>
            <w:vAlign w:val="bottom"/>
            <w:tcBorders>
              <w:bottom w:val="single" w:sz="8" w:color="231F20"/>
            </w:tcBorders>
          </w:tcPr>
          <w:p>
            <w:pPr>
              <w:jc w:val="right"/>
              <w:ind w:right="233"/>
              <w:spacing w:after="0"/>
              <w:rPr>
                <w:sz w:val="20"/>
                <w:szCs w:val="20"/>
                <w:color w:val="auto"/>
              </w:rPr>
            </w:pPr>
            <w:r>
              <w:rPr>
                <w:rFonts w:ascii="Times New Roman" w:cs="Times New Roman" w:eastAsia="Times New Roman" w:hAnsi="Times New Roman"/>
                <w:sz w:val="17"/>
                <w:szCs w:val="17"/>
                <w:b w:val="1"/>
                <w:bCs w:val="1"/>
                <w:color w:val="231F20"/>
              </w:rPr>
              <w:t>$</w:t>
            </w:r>
          </w:p>
        </w:tc>
        <w:tc>
          <w:tcPr>
            <w:tcW w:w="660" w:type="dxa"/>
            <w:vAlign w:val="bottom"/>
            <w:tcBorders>
              <w:bottom w:val="single" w:sz="8" w:color="231F20"/>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231F20"/>
              </w:rPr>
              <w:t>0.6</w:t>
            </w:r>
          </w:p>
        </w:tc>
        <w:tc>
          <w:tcPr>
            <w:tcW w:w="480" w:type="dxa"/>
            <w:vAlign w:val="bottom"/>
            <w:tcBorders>
              <w:bottom w:val="single" w:sz="8" w:color="231F20"/>
            </w:tcBorders>
          </w:tcPr>
          <w:p>
            <w:pPr>
              <w:jc w:val="right"/>
              <w:ind w:right="213"/>
              <w:spacing w:after="0"/>
              <w:rPr>
                <w:sz w:val="20"/>
                <w:szCs w:val="20"/>
                <w:color w:val="auto"/>
              </w:rPr>
            </w:pPr>
            <w:r>
              <w:rPr>
                <w:rFonts w:ascii="Times New Roman" w:cs="Times New Roman" w:eastAsia="Times New Roman" w:hAnsi="Times New Roman"/>
                <w:sz w:val="17"/>
                <w:szCs w:val="17"/>
                <w:color w:val="231F20"/>
              </w:rPr>
              <w:t>$</w:t>
            </w:r>
          </w:p>
        </w:tc>
        <w:tc>
          <w:tcPr>
            <w:tcW w:w="700" w:type="dxa"/>
            <w:vAlign w:val="bottom"/>
            <w:tcBorders>
              <w:bottom w:val="single" w:sz="8" w:color="231F20"/>
            </w:tcBorders>
          </w:tcPr>
          <w:p>
            <w:pPr>
              <w:jc w:val="right"/>
              <w:ind w:right="33"/>
              <w:spacing w:after="0"/>
              <w:rPr>
                <w:sz w:val="20"/>
                <w:szCs w:val="20"/>
                <w:color w:val="auto"/>
              </w:rPr>
            </w:pPr>
            <w:r>
              <w:rPr>
                <w:rFonts w:ascii="Times New Roman" w:cs="Times New Roman" w:eastAsia="Times New Roman" w:hAnsi="Times New Roman"/>
                <w:sz w:val="17"/>
                <w:szCs w:val="17"/>
                <w:color w:val="231F20"/>
              </w:rPr>
              <w:t>0.9</w:t>
            </w:r>
          </w:p>
        </w:tc>
        <w:tc>
          <w:tcPr>
            <w:tcW w:w="460" w:type="dxa"/>
            <w:vAlign w:val="bottom"/>
            <w:tcBorders>
              <w:bottom w:val="single" w:sz="8" w:color="231F20"/>
            </w:tcBorders>
          </w:tcPr>
          <w:p>
            <w:pPr>
              <w:jc w:val="right"/>
              <w:ind w:right="213"/>
              <w:spacing w:after="0"/>
              <w:rPr>
                <w:sz w:val="20"/>
                <w:szCs w:val="20"/>
                <w:color w:val="auto"/>
              </w:rPr>
            </w:pPr>
            <w:r>
              <w:rPr>
                <w:rFonts w:ascii="Times New Roman" w:cs="Times New Roman" w:eastAsia="Times New Roman" w:hAnsi="Times New Roman"/>
                <w:sz w:val="17"/>
                <w:szCs w:val="17"/>
                <w:color w:val="231F20"/>
              </w:rPr>
              <w:t>$</w:t>
            </w: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0.8</w:t>
            </w:r>
          </w:p>
        </w:tc>
      </w:tr>
    </w:tbl>
    <w:p>
      <w:pPr>
        <w:spacing w:after="0" w:line="200" w:lineRule="exact"/>
        <w:rPr>
          <w:sz w:val="20"/>
          <w:szCs w:val="20"/>
          <w:color w:val="auto"/>
        </w:rPr>
      </w:pPr>
    </w:p>
    <w:p>
      <w:pPr>
        <w:sectPr>
          <w:pgSz w:w="11880" w:h="15480" w:orient="portrait"/>
          <w:cols w:equalWidth="0" w:num="2">
            <w:col w:w="2840" w:space="160"/>
            <w:col w:w="6960"/>
          </w:cols>
          <w:pgMar w:left="960" w:top="250"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84</w:t>
      </w:r>
    </w:p>
    <w:p>
      <w:pPr>
        <w:sectPr>
          <w:pgSz w:w="11880" w:h="15480" w:orient="portrait"/>
          <w:cols w:equalWidth="0" w:num="1">
            <w:col w:w="9960"/>
          </w:cols>
          <w:pgMar w:left="960" w:top="250" w:right="960" w:bottom="0"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700"/>
        <w:spacing w:after="0" w:line="297" w:lineRule="auto"/>
        <w:rPr>
          <w:sz w:val="20"/>
          <w:szCs w:val="20"/>
          <w:color w:val="auto"/>
        </w:rPr>
      </w:pPr>
      <w:r>
        <w:rPr>
          <w:rFonts w:ascii="Times New Roman" w:cs="Times New Roman" w:eastAsia="Times New Roman" w:hAnsi="Times New Roman"/>
          <w:sz w:val="19"/>
          <w:szCs w:val="19"/>
          <w:b w:val="1"/>
          <w:bCs w:val="1"/>
          <w:color w:val="231F20"/>
        </w:rPr>
        <w:t xml:space="preserve">Assumptions Used in Calculating Benefit Obligations and Net Periodic Benefit Cost. </w:t>
      </w:r>
      <w:r>
        <w:rPr>
          <w:rFonts w:ascii="Times New Roman" w:cs="Times New Roman" w:eastAsia="Times New Roman" w:hAnsi="Times New Roman"/>
          <w:sz w:val="19"/>
          <w:szCs w:val="19"/>
          <w:color w:val="231F20"/>
        </w:rPr>
        <w:t>The following table presents</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significant assumptions used to determine the projected benefit obligations at March 31:</w:t>
      </w:r>
    </w:p>
    <w:p>
      <w:pPr>
        <w:spacing w:after="0" w:line="38" w:lineRule="exact"/>
        <w:rPr>
          <w:sz w:val="20"/>
          <w:szCs w:val="20"/>
          <w:color w:val="auto"/>
        </w:rPr>
      </w:pPr>
    </w:p>
    <w:p>
      <w:pPr>
        <w:jc w:val="both"/>
        <w:ind w:left="8380"/>
        <w:spacing w:after="0"/>
        <w:tabs>
          <w:tab w:leader="none" w:pos="9320" w:val="left"/>
        </w:tabs>
        <w:rPr>
          <w:sz w:val="20"/>
          <w:szCs w:val="20"/>
          <w:color w:val="auto"/>
        </w:rPr>
      </w:pPr>
      <w:r>
        <w:rPr>
          <w:rFonts w:ascii="Times New Roman" w:cs="Times New Roman" w:eastAsia="Times New Roman" w:hAnsi="Times New Roman"/>
          <w:sz w:val="17"/>
          <w:szCs w:val="17"/>
          <w:color w:val="231F20"/>
        </w:rPr>
        <w:t>2026</w:t>
      </w:r>
      <w:r>
        <w:rPr>
          <w:sz w:val="20"/>
          <w:szCs w:val="20"/>
          <w:color w:val="auto"/>
        </w:rPr>
        <w:tab/>
      </w:r>
      <w:r>
        <w:rPr>
          <w:rFonts w:ascii="Times New Roman" w:cs="Times New Roman" w:eastAsia="Times New Roman" w:hAnsi="Times New Roman"/>
          <w:sz w:val="17"/>
          <w:szCs w:val="17"/>
          <w:color w:val="231F20"/>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6311900" cy="120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3">
                      <a:extLst>
                        <a:ext uri="{28A0092B-C50C-407E-A947-70E740481C1C}"/>
                      </a:extLst>
                    </a:blip>
                    <a:srcRect/>
                    <a:stretch>
                      <a:fillRect/>
                    </a:stretch>
                  </pic:blipFill>
                  <pic:spPr bwMode="auto">
                    <a:xfrm>
                      <a:off x="0" y="0"/>
                      <a:ext cx="6311900" cy="12065"/>
                    </a:xfrm>
                    <a:prstGeom prst="rect">
                      <a:avLst/>
                    </a:prstGeom>
                    <a:noFill/>
                  </pic:spPr>
                </pic:pic>
              </a:graphicData>
            </a:graphic>
          </wp:anchor>
        </w:drawing>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231F20"/>
        </w:rPr>
        <w:t>Discount Rate:</w:t>
      </w:r>
    </w:p>
    <w:p>
      <w:pPr>
        <w:sectPr>
          <w:pgSz w:w="11880" w:h="15480" w:orient="portrait"/>
          <w:cols w:equalWidth="0" w:num="1">
            <w:col w:w="9960"/>
          </w:cols>
          <w:pgMar w:left="960" w:top="250" w:right="960" w:bottom="0" w:gutter="0" w:footer="0" w:header="0"/>
        </w:sectPr>
      </w:pP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231F20"/>
        </w:rPr>
        <w:t>Synergy Health plc Retirement Benefits Scheme</w:t>
      </w:r>
    </w:p>
    <w:p>
      <w:pPr>
        <w:spacing w:after="0" w:line="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231F20"/>
        </w:rPr>
        <w:t>Isotron BV Pension Plan</w:t>
      </w:r>
    </w:p>
    <w:p>
      <w:pPr>
        <w:spacing w:after="0" w:line="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231F20"/>
        </w:rPr>
        <w:t>Synergy Health Daniken AG</w:t>
      </w:r>
    </w:p>
    <w:p>
      <w:pPr>
        <w:spacing w:after="0" w:line="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231F20"/>
        </w:rPr>
        <w:t>Synergy Health Radeberg</w:t>
      </w:r>
    </w:p>
    <w:p>
      <w:pPr>
        <w:spacing w:after="0" w:line="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231F20"/>
        </w:rPr>
        <w:t>Synergy Health Allershausen</w:t>
      </w:r>
    </w:p>
    <w:p>
      <w:pPr>
        <w:spacing w:after="0" w:line="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231F20"/>
        </w:rPr>
        <w:t>Harwell Dosimeters Ltd Retirement Benefits Scheme</w:t>
      </w:r>
    </w:p>
    <w:p>
      <w:pPr>
        <w:spacing w:after="0" w:line="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231F20"/>
        </w:rPr>
        <w:t>Other post-retirement plan</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231F20"/>
        </w:rPr>
        <w:t>6.10 %</w:t>
      </w:r>
      <w:r>
        <w:rPr>
          <w:sz w:val="20"/>
          <w:szCs w:val="20"/>
          <w:color w:val="auto"/>
        </w:rPr>
        <w:tab/>
      </w:r>
      <w:r>
        <w:rPr>
          <w:rFonts w:ascii="Times New Roman" w:cs="Times New Roman" w:eastAsia="Times New Roman" w:hAnsi="Times New Roman"/>
          <w:sz w:val="17"/>
          <w:szCs w:val="17"/>
          <w:color w:val="231F20"/>
        </w:rPr>
        <w:t>4.80 %</w:t>
      </w:r>
    </w:p>
    <w:p>
      <w:pPr>
        <w:spacing w:after="0" w:line="9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231F20"/>
        </w:rPr>
        <w:t>4.30 %</w:t>
      </w:r>
      <w:r>
        <w:rPr>
          <w:sz w:val="20"/>
          <w:szCs w:val="20"/>
          <w:color w:val="auto"/>
        </w:rPr>
        <w:tab/>
      </w:r>
      <w:r>
        <w:rPr>
          <w:rFonts w:ascii="Times New Roman" w:cs="Times New Roman" w:eastAsia="Times New Roman" w:hAnsi="Times New Roman"/>
          <w:sz w:val="17"/>
          <w:szCs w:val="17"/>
          <w:color w:val="231F20"/>
        </w:rPr>
        <w:t>3.80 %</w:t>
      </w:r>
    </w:p>
    <w:p>
      <w:pPr>
        <w:spacing w:after="0" w:line="9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231F20"/>
        </w:rPr>
        <w:t>1.20 %</w:t>
      </w:r>
      <w:r>
        <w:rPr>
          <w:sz w:val="20"/>
          <w:szCs w:val="20"/>
          <w:color w:val="auto"/>
        </w:rPr>
        <w:tab/>
      </w:r>
      <w:r>
        <w:rPr>
          <w:rFonts w:ascii="Times New Roman" w:cs="Times New Roman" w:eastAsia="Times New Roman" w:hAnsi="Times New Roman"/>
          <w:sz w:val="17"/>
          <w:szCs w:val="17"/>
          <w:color w:val="231F20"/>
        </w:rPr>
        <w:t>1.10 %</w:t>
      </w:r>
    </w:p>
    <w:p>
      <w:pPr>
        <w:spacing w:after="0" w:line="9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231F20"/>
        </w:rPr>
        <w:t>3.80 %</w:t>
      </w:r>
      <w:r>
        <w:rPr>
          <w:sz w:val="20"/>
          <w:szCs w:val="20"/>
          <w:color w:val="auto"/>
        </w:rPr>
        <w:tab/>
      </w:r>
      <w:r>
        <w:rPr>
          <w:rFonts w:ascii="Times New Roman" w:cs="Times New Roman" w:eastAsia="Times New Roman" w:hAnsi="Times New Roman"/>
          <w:sz w:val="17"/>
          <w:szCs w:val="17"/>
          <w:color w:val="231F20"/>
        </w:rPr>
        <w:t>3.80 %</w:t>
      </w:r>
    </w:p>
    <w:p>
      <w:pPr>
        <w:spacing w:after="0" w:line="9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231F20"/>
        </w:rPr>
        <w:t>3.01 %</w:t>
      </w:r>
      <w:r>
        <w:rPr>
          <w:sz w:val="20"/>
          <w:szCs w:val="20"/>
          <w:color w:val="auto"/>
        </w:rPr>
        <w:tab/>
      </w:r>
      <w:r>
        <w:rPr>
          <w:rFonts w:ascii="Times New Roman" w:cs="Times New Roman" w:eastAsia="Times New Roman" w:hAnsi="Times New Roman"/>
          <w:sz w:val="17"/>
          <w:szCs w:val="17"/>
          <w:color w:val="231F20"/>
        </w:rPr>
        <w:t>2.82 %</w:t>
      </w:r>
    </w:p>
    <w:p>
      <w:pPr>
        <w:spacing w:after="0" w:line="9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231F20"/>
        </w:rPr>
        <w:t>5.85 %</w:t>
      </w:r>
      <w:r>
        <w:rPr>
          <w:sz w:val="20"/>
          <w:szCs w:val="20"/>
          <w:color w:val="auto"/>
        </w:rPr>
        <w:tab/>
      </w:r>
      <w:r>
        <w:rPr>
          <w:rFonts w:ascii="Times New Roman" w:cs="Times New Roman" w:eastAsia="Times New Roman" w:hAnsi="Times New Roman"/>
          <w:sz w:val="17"/>
          <w:szCs w:val="17"/>
          <w:color w:val="231F20"/>
        </w:rPr>
        <w:t>5.65 %</w:t>
      </w:r>
    </w:p>
    <w:p>
      <w:pPr>
        <w:spacing w:after="0" w:line="9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231F20"/>
        </w:rPr>
        <w:t>5.00 %</w:t>
      </w:r>
      <w:r>
        <w:rPr>
          <w:sz w:val="20"/>
          <w:szCs w:val="20"/>
          <w:color w:val="auto"/>
        </w:rPr>
        <w:tab/>
      </w:r>
      <w:r>
        <w:rPr>
          <w:rFonts w:ascii="Times New Roman" w:cs="Times New Roman" w:eastAsia="Times New Roman" w:hAnsi="Times New Roman"/>
          <w:sz w:val="17"/>
          <w:szCs w:val="17"/>
          <w:color w:val="231F20"/>
        </w:rPr>
        <w:t>5.00 %</w:t>
      </w:r>
    </w:p>
    <w:p>
      <w:pPr>
        <w:spacing w:after="0" w:line="200" w:lineRule="exact"/>
        <w:rPr>
          <w:sz w:val="20"/>
          <w:szCs w:val="20"/>
          <w:color w:val="auto"/>
        </w:rPr>
      </w:pPr>
    </w:p>
    <w:p>
      <w:pPr>
        <w:sectPr>
          <w:pgSz w:w="11880" w:h="15480" w:orient="portrait"/>
          <w:cols w:equalWidth="0" w:num="2">
            <w:col w:w="7720" w:space="720"/>
            <w:col w:w="1520"/>
          </w:cols>
          <w:pgMar w:left="960" w:top="250" w:right="960" w:bottom="0" w:gutter="0" w:footer="0" w:header="0"/>
          <w:type w:val="continuous"/>
        </w:sectPr>
      </w:pP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The following table presents significant assumptions used to determine the net periodic benefit costs for the years ended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March 31:</w:t>
      </w:r>
    </w:p>
    <w:p>
      <w:pPr>
        <w:spacing w:after="0" w:line="89" w:lineRule="exact"/>
        <w:rPr>
          <w:sz w:val="20"/>
          <w:szCs w:val="20"/>
          <w:color w:val="auto"/>
        </w:rPr>
      </w:pPr>
    </w:p>
    <w:p>
      <w:pPr>
        <w:jc w:val="both"/>
        <w:ind w:left="7600"/>
        <w:spacing w:after="0"/>
        <w:tabs>
          <w:tab w:leader="none" w:pos="8460" w:val="left"/>
          <w:tab w:leader="none" w:pos="9340" w:val="left"/>
        </w:tabs>
        <w:rPr>
          <w:sz w:val="20"/>
          <w:szCs w:val="20"/>
          <w:color w:val="auto"/>
        </w:rPr>
      </w:pPr>
      <w:r>
        <w:rPr>
          <w:rFonts w:ascii="Times New Roman" w:cs="Times New Roman" w:eastAsia="Times New Roman" w:hAnsi="Times New Roman"/>
          <w:sz w:val="17"/>
          <w:szCs w:val="17"/>
          <w:color w:val="231F20"/>
        </w:rPr>
        <w:t>2026</w:t>
      </w:r>
      <w:r>
        <w:rPr>
          <w:sz w:val="20"/>
          <w:szCs w:val="20"/>
          <w:color w:val="auto"/>
        </w:rPr>
        <w:tab/>
      </w:r>
      <w:r>
        <w:rPr>
          <w:rFonts w:ascii="Times New Roman" w:cs="Times New Roman" w:eastAsia="Times New Roman" w:hAnsi="Times New Roman"/>
          <w:sz w:val="17"/>
          <w:szCs w:val="17"/>
          <w:color w:val="231F20"/>
        </w:rPr>
        <w:t>2025</w:t>
      </w:r>
      <w:r>
        <w:rPr>
          <w:sz w:val="20"/>
          <w:szCs w:val="20"/>
          <w:color w:val="auto"/>
        </w:rPr>
        <w:tab/>
      </w:r>
      <w:r>
        <w:rPr>
          <w:rFonts w:ascii="Times New Roman" w:cs="Times New Roman" w:eastAsia="Times New Roman" w:hAnsi="Times New Roman"/>
          <w:sz w:val="17"/>
          <w:szCs w:val="17"/>
          <w:color w:val="231F20"/>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6320790" cy="120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4">
                      <a:extLst>
                        <a:ext uri="{28A0092B-C50C-407E-A947-70E740481C1C}"/>
                      </a:extLst>
                    </a:blip>
                    <a:srcRect/>
                    <a:stretch>
                      <a:fillRect/>
                    </a:stretch>
                  </pic:blipFill>
                  <pic:spPr bwMode="auto">
                    <a:xfrm>
                      <a:off x="0" y="0"/>
                      <a:ext cx="6320790" cy="12065"/>
                    </a:xfrm>
                    <a:prstGeom prst="rect">
                      <a:avLst/>
                    </a:prstGeom>
                    <a:noFill/>
                  </pic:spPr>
                </pic:pic>
              </a:graphicData>
            </a:graphic>
          </wp:anchor>
        </w:drawing>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231F20"/>
        </w:rPr>
        <w:t>Discount Rate:</w:t>
      </w:r>
    </w:p>
    <w:p>
      <w:pPr>
        <w:sectPr>
          <w:pgSz w:w="11880" w:h="15480" w:orient="portrait"/>
          <w:cols w:equalWidth="0" w:num="1">
            <w:col w:w="9960"/>
          </w:cols>
          <w:pgMar w:left="960" w:top="250" w:right="960" w:bottom="0" w:gutter="0" w:footer="0" w:header="0"/>
          <w:type w:val="continuous"/>
        </w:sectPr>
      </w:pPr>
    </w:p>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231F20"/>
        </w:rPr>
        <w:t>Synergy Health plc Retirement Benefits Scheme</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231F20"/>
        </w:rPr>
        <w:t>Isotron BV Pension Plan</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231F20"/>
        </w:rPr>
        <w:t>Synergy Health Daniken AG</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231F20"/>
        </w:rPr>
        <w:t>Synergy Health Radeberg</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231F20"/>
        </w:rPr>
        <w:t>Synergy Health Allershausen</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231F20"/>
        </w:rPr>
        <w:t>Harwell Dosimeters Ltd Retirement Benefits Scheme</w:t>
      </w:r>
    </w:p>
    <w:p>
      <w:pPr>
        <w:spacing w:after="0" w:line="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231F20"/>
        </w:rPr>
        <w:t>Other post-retirement plan</w:t>
      </w:r>
    </w:p>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231F20"/>
        </w:rPr>
        <w:t>Expected Return on Plan Assets:</w:t>
      </w:r>
    </w:p>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231F20"/>
        </w:rPr>
        <w:t>Synergy Health plc Retirement Benefits Scheme</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231F20"/>
        </w:rPr>
        <w:t>Isotron BV Pension Plan</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231F20"/>
        </w:rPr>
        <w:t>Synergy Health Daniken AG</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tabs>
          <w:tab w:leader="none" w:pos="900" w:val="left"/>
          <w:tab w:leader="none" w:pos="1800" w:val="left"/>
        </w:tabs>
        <w:rPr>
          <w:sz w:val="20"/>
          <w:szCs w:val="20"/>
          <w:color w:val="auto"/>
        </w:rPr>
      </w:pPr>
      <w:r>
        <w:rPr>
          <w:rFonts w:ascii="Times New Roman" w:cs="Times New Roman" w:eastAsia="Times New Roman" w:hAnsi="Times New Roman"/>
          <w:sz w:val="17"/>
          <w:szCs w:val="17"/>
          <w:b w:val="1"/>
          <w:bCs w:val="1"/>
          <w:color w:val="231F20"/>
        </w:rPr>
        <w:t>5.80 %</w:t>
      </w:r>
      <w:r>
        <w:rPr>
          <w:sz w:val="20"/>
          <w:szCs w:val="20"/>
          <w:color w:val="auto"/>
        </w:rPr>
        <w:tab/>
      </w:r>
      <w:r>
        <w:rPr>
          <w:rFonts w:ascii="Times New Roman" w:cs="Times New Roman" w:eastAsia="Times New Roman" w:hAnsi="Times New Roman"/>
          <w:sz w:val="17"/>
          <w:szCs w:val="17"/>
          <w:color w:val="231F20"/>
        </w:rPr>
        <w:t>5.80 %</w:t>
      </w:r>
      <w:r>
        <w:rPr>
          <w:sz w:val="20"/>
          <w:szCs w:val="20"/>
          <w:color w:val="auto"/>
        </w:rPr>
        <w:tab/>
      </w:r>
      <w:r>
        <w:rPr>
          <w:rFonts w:ascii="Times New Roman" w:cs="Times New Roman" w:eastAsia="Times New Roman" w:hAnsi="Times New Roman"/>
          <w:sz w:val="17"/>
          <w:szCs w:val="17"/>
          <w:color w:val="231F20"/>
        </w:rPr>
        <w:t>4.70 %</w:t>
      </w:r>
    </w:p>
    <w:p>
      <w:pPr>
        <w:spacing w:after="0" w:line="81" w:lineRule="exact"/>
        <w:rPr>
          <w:sz w:val="20"/>
          <w:szCs w:val="20"/>
          <w:color w:val="auto"/>
        </w:rPr>
      </w:pPr>
    </w:p>
    <w:p>
      <w:pPr>
        <w:spacing w:after="0"/>
        <w:tabs>
          <w:tab w:leader="none" w:pos="900" w:val="left"/>
          <w:tab w:leader="none" w:pos="1800" w:val="left"/>
        </w:tabs>
        <w:rPr>
          <w:sz w:val="20"/>
          <w:szCs w:val="20"/>
          <w:color w:val="auto"/>
        </w:rPr>
      </w:pPr>
      <w:r>
        <w:rPr>
          <w:rFonts w:ascii="Times New Roman" w:cs="Times New Roman" w:eastAsia="Times New Roman" w:hAnsi="Times New Roman"/>
          <w:sz w:val="17"/>
          <w:szCs w:val="17"/>
          <w:b w:val="1"/>
          <w:bCs w:val="1"/>
          <w:color w:val="231F20"/>
        </w:rPr>
        <w:t>3.80 %</w:t>
      </w:r>
      <w:r>
        <w:rPr>
          <w:sz w:val="20"/>
          <w:szCs w:val="20"/>
          <w:color w:val="auto"/>
        </w:rPr>
        <w:tab/>
      </w:r>
      <w:r>
        <w:rPr>
          <w:rFonts w:ascii="Times New Roman" w:cs="Times New Roman" w:eastAsia="Times New Roman" w:hAnsi="Times New Roman"/>
          <w:sz w:val="17"/>
          <w:szCs w:val="17"/>
          <w:color w:val="231F20"/>
        </w:rPr>
        <w:t>3.40 %</w:t>
      </w:r>
      <w:r>
        <w:rPr>
          <w:sz w:val="20"/>
          <w:szCs w:val="20"/>
          <w:color w:val="auto"/>
        </w:rPr>
        <w:tab/>
      </w:r>
      <w:r>
        <w:rPr>
          <w:rFonts w:ascii="Times New Roman" w:cs="Times New Roman" w:eastAsia="Times New Roman" w:hAnsi="Times New Roman"/>
          <w:sz w:val="17"/>
          <w:szCs w:val="17"/>
          <w:color w:val="231F20"/>
        </w:rPr>
        <w:t>3.70 %</w:t>
      </w:r>
    </w:p>
    <w:p>
      <w:pPr>
        <w:spacing w:after="0" w:line="81" w:lineRule="exact"/>
        <w:rPr>
          <w:sz w:val="20"/>
          <w:szCs w:val="20"/>
          <w:color w:val="auto"/>
        </w:rPr>
      </w:pPr>
    </w:p>
    <w:p>
      <w:pPr>
        <w:spacing w:after="0"/>
        <w:tabs>
          <w:tab w:leader="none" w:pos="900" w:val="left"/>
          <w:tab w:leader="none" w:pos="1800" w:val="left"/>
        </w:tabs>
        <w:rPr>
          <w:sz w:val="20"/>
          <w:szCs w:val="20"/>
          <w:color w:val="auto"/>
        </w:rPr>
      </w:pPr>
      <w:r>
        <w:rPr>
          <w:rFonts w:ascii="Times New Roman" w:cs="Times New Roman" w:eastAsia="Times New Roman" w:hAnsi="Times New Roman"/>
          <w:sz w:val="17"/>
          <w:szCs w:val="17"/>
          <w:b w:val="1"/>
          <w:bCs w:val="1"/>
          <w:color w:val="231F20"/>
        </w:rPr>
        <w:t>1.20 %</w:t>
      </w:r>
      <w:r>
        <w:rPr>
          <w:sz w:val="20"/>
          <w:szCs w:val="20"/>
          <w:color w:val="auto"/>
        </w:rPr>
        <w:tab/>
      </w:r>
      <w:r>
        <w:rPr>
          <w:rFonts w:ascii="Times New Roman" w:cs="Times New Roman" w:eastAsia="Times New Roman" w:hAnsi="Times New Roman"/>
          <w:sz w:val="17"/>
          <w:szCs w:val="17"/>
          <w:color w:val="231F20"/>
        </w:rPr>
        <w:t>1.10 %</w:t>
      </w:r>
      <w:r>
        <w:rPr>
          <w:sz w:val="20"/>
          <w:szCs w:val="20"/>
          <w:color w:val="auto"/>
        </w:rPr>
        <w:tab/>
      </w:r>
      <w:r>
        <w:rPr>
          <w:rFonts w:ascii="Times New Roman" w:cs="Times New Roman" w:eastAsia="Times New Roman" w:hAnsi="Times New Roman"/>
          <w:sz w:val="17"/>
          <w:szCs w:val="17"/>
          <w:color w:val="231F20"/>
        </w:rPr>
        <w:t>1.50 %</w:t>
      </w:r>
    </w:p>
    <w:p>
      <w:pPr>
        <w:spacing w:after="0" w:line="81" w:lineRule="exact"/>
        <w:rPr>
          <w:sz w:val="20"/>
          <w:szCs w:val="20"/>
          <w:color w:val="auto"/>
        </w:rPr>
      </w:pPr>
    </w:p>
    <w:p>
      <w:pPr>
        <w:spacing w:after="0"/>
        <w:tabs>
          <w:tab w:leader="none" w:pos="900" w:val="left"/>
          <w:tab w:leader="none" w:pos="1800" w:val="left"/>
        </w:tabs>
        <w:rPr>
          <w:sz w:val="20"/>
          <w:szCs w:val="20"/>
          <w:color w:val="auto"/>
        </w:rPr>
      </w:pPr>
      <w:r>
        <w:rPr>
          <w:rFonts w:ascii="Times New Roman" w:cs="Times New Roman" w:eastAsia="Times New Roman" w:hAnsi="Times New Roman"/>
          <w:sz w:val="17"/>
          <w:szCs w:val="17"/>
          <w:b w:val="1"/>
          <w:bCs w:val="1"/>
          <w:color w:val="231F20"/>
        </w:rPr>
        <w:t>2.00 %</w:t>
      </w:r>
      <w:r>
        <w:rPr>
          <w:sz w:val="20"/>
          <w:szCs w:val="20"/>
          <w:color w:val="auto"/>
        </w:rPr>
        <w:tab/>
      </w:r>
      <w:r>
        <w:rPr>
          <w:rFonts w:ascii="Times New Roman" w:cs="Times New Roman" w:eastAsia="Times New Roman" w:hAnsi="Times New Roman"/>
          <w:sz w:val="17"/>
          <w:szCs w:val="17"/>
          <w:color w:val="231F20"/>
        </w:rPr>
        <w:t>2.00 %</w:t>
      </w:r>
      <w:r>
        <w:rPr>
          <w:sz w:val="20"/>
          <w:szCs w:val="20"/>
          <w:color w:val="auto"/>
        </w:rPr>
        <w:tab/>
      </w:r>
      <w:r>
        <w:rPr>
          <w:rFonts w:ascii="Times New Roman" w:cs="Times New Roman" w:eastAsia="Times New Roman" w:hAnsi="Times New Roman"/>
          <w:sz w:val="17"/>
          <w:szCs w:val="17"/>
          <w:color w:val="231F20"/>
        </w:rPr>
        <w:t>2.00 %</w:t>
      </w:r>
    </w:p>
    <w:p>
      <w:pPr>
        <w:spacing w:after="0" w:line="81" w:lineRule="exact"/>
        <w:rPr>
          <w:sz w:val="20"/>
          <w:szCs w:val="20"/>
          <w:color w:val="auto"/>
        </w:rPr>
      </w:pPr>
    </w:p>
    <w:p>
      <w:pPr>
        <w:spacing w:after="0"/>
        <w:tabs>
          <w:tab w:leader="none" w:pos="900" w:val="left"/>
          <w:tab w:leader="none" w:pos="1800" w:val="left"/>
        </w:tabs>
        <w:rPr>
          <w:sz w:val="20"/>
          <w:szCs w:val="20"/>
          <w:color w:val="auto"/>
        </w:rPr>
      </w:pPr>
      <w:r>
        <w:rPr>
          <w:rFonts w:ascii="Times New Roman" w:cs="Times New Roman" w:eastAsia="Times New Roman" w:hAnsi="Times New Roman"/>
          <w:sz w:val="17"/>
          <w:szCs w:val="17"/>
          <w:b w:val="1"/>
          <w:bCs w:val="1"/>
          <w:color w:val="231F20"/>
        </w:rPr>
        <w:t>2.20 %</w:t>
      </w:r>
      <w:r>
        <w:rPr>
          <w:sz w:val="20"/>
          <w:szCs w:val="20"/>
          <w:color w:val="auto"/>
        </w:rPr>
        <w:tab/>
      </w:r>
      <w:r>
        <w:rPr>
          <w:rFonts w:ascii="Times New Roman" w:cs="Times New Roman" w:eastAsia="Times New Roman" w:hAnsi="Times New Roman"/>
          <w:sz w:val="17"/>
          <w:szCs w:val="17"/>
          <w:color w:val="231F20"/>
        </w:rPr>
        <w:t>2.20 %</w:t>
      </w:r>
      <w:r>
        <w:rPr>
          <w:sz w:val="20"/>
          <w:szCs w:val="20"/>
          <w:color w:val="auto"/>
        </w:rPr>
        <w:tab/>
      </w:r>
      <w:r>
        <w:rPr>
          <w:rFonts w:ascii="Times New Roman" w:cs="Times New Roman" w:eastAsia="Times New Roman" w:hAnsi="Times New Roman"/>
          <w:sz w:val="17"/>
          <w:szCs w:val="17"/>
          <w:color w:val="231F20"/>
        </w:rPr>
        <w:t>2.20 %</w:t>
      </w:r>
    </w:p>
    <w:p>
      <w:pPr>
        <w:spacing w:after="0" w:line="81" w:lineRule="exact"/>
        <w:rPr>
          <w:sz w:val="20"/>
          <w:szCs w:val="20"/>
          <w:color w:val="auto"/>
        </w:rPr>
      </w:pPr>
    </w:p>
    <w:p>
      <w:pPr>
        <w:spacing w:after="0"/>
        <w:tabs>
          <w:tab w:leader="none" w:pos="900" w:val="left"/>
          <w:tab w:leader="none" w:pos="1800" w:val="left"/>
        </w:tabs>
        <w:rPr>
          <w:sz w:val="20"/>
          <w:szCs w:val="20"/>
          <w:color w:val="auto"/>
        </w:rPr>
      </w:pPr>
      <w:r>
        <w:rPr>
          <w:rFonts w:ascii="Times New Roman" w:cs="Times New Roman" w:eastAsia="Times New Roman" w:hAnsi="Times New Roman"/>
          <w:sz w:val="17"/>
          <w:szCs w:val="17"/>
          <w:b w:val="1"/>
          <w:bCs w:val="1"/>
          <w:color w:val="231F20"/>
        </w:rPr>
        <w:t>5.85 %</w:t>
      </w:r>
      <w:r>
        <w:rPr>
          <w:sz w:val="20"/>
          <w:szCs w:val="20"/>
          <w:color w:val="auto"/>
        </w:rPr>
        <w:tab/>
      </w:r>
      <w:r>
        <w:rPr>
          <w:rFonts w:ascii="Times New Roman" w:cs="Times New Roman" w:eastAsia="Times New Roman" w:hAnsi="Times New Roman"/>
          <w:sz w:val="17"/>
          <w:szCs w:val="17"/>
          <w:color w:val="231F20"/>
        </w:rPr>
        <w:t>5.65 %</w:t>
      </w:r>
      <w:r>
        <w:rPr>
          <w:sz w:val="20"/>
          <w:szCs w:val="20"/>
          <w:color w:val="auto"/>
        </w:rPr>
        <w:tab/>
      </w:r>
      <w:r>
        <w:rPr>
          <w:rFonts w:ascii="Times New Roman" w:cs="Times New Roman" w:eastAsia="Times New Roman" w:hAnsi="Times New Roman"/>
          <w:sz w:val="17"/>
          <w:szCs w:val="17"/>
          <w:color w:val="231F20"/>
        </w:rPr>
        <w:t>4.85 %</w:t>
      </w:r>
    </w:p>
    <w:p>
      <w:pPr>
        <w:spacing w:after="0" w:line="81" w:lineRule="exact"/>
        <w:rPr>
          <w:sz w:val="20"/>
          <w:szCs w:val="20"/>
          <w:color w:val="auto"/>
        </w:rPr>
      </w:pPr>
    </w:p>
    <w:p>
      <w:pPr>
        <w:spacing w:after="0"/>
        <w:tabs>
          <w:tab w:leader="none" w:pos="900" w:val="left"/>
          <w:tab w:leader="none" w:pos="1800" w:val="left"/>
        </w:tabs>
        <w:rPr>
          <w:sz w:val="20"/>
          <w:szCs w:val="20"/>
          <w:color w:val="auto"/>
        </w:rPr>
      </w:pPr>
      <w:r>
        <w:rPr>
          <w:rFonts w:ascii="Times New Roman" w:cs="Times New Roman" w:eastAsia="Times New Roman" w:hAnsi="Times New Roman"/>
          <w:sz w:val="17"/>
          <w:szCs w:val="17"/>
          <w:b w:val="1"/>
          <w:bCs w:val="1"/>
          <w:color w:val="231F20"/>
        </w:rPr>
        <w:t>5.00 %</w:t>
      </w:r>
      <w:r>
        <w:rPr>
          <w:sz w:val="20"/>
          <w:szCs w:val="20"/>
          <w:color w:val="auto"/>
        </w:rPr>
        <w:tab/>
      </w:r>
      <w:r>
        <w:rPr>
          <w:rFonts w:ascii="Times New Roman" w:cs="Times New Roman" w:eastAsia="Times New Roman" w:hAnsi="Times New Roman"/>
          <w:sz w:val="17"/>
          <w:szCs w:val="17"/>
          <w:color w:val="231F20"/>
        </w:rPr>
        <w:t>5.00 %</w:t>
      </w:r>
      <w:r>
        <w:rPr>
          <w:sz w:val="20"/>
          <w:szCs w:val="20"/>
          <w:color w:val="auto"/>
        </w:rPr>
        <w:tab/>
      </w:r>
      <w:r>
        <w:rPr>
          <w:rFonts w:ascii="Times New Roman" w:cs="Times New Roman" w:eastAsia="Times New Roman" w:hAnsi="Times New Roman"/>
          <w:sz w:val="17"/>
          <w:szCs w:val="17"/>
          <w:color w:val="231F20"/>
        </w:rPr>
        <w:t>4.75 %</w:t>
      </w:r>
    </w:p>
    <w:p>
      <w:pPr>
        <w:spacing w:after="0" w:line="358" w:lineRule="exact"/>
        <w:rPr>
          <w:sz w:val="20"/>
          <w:szCs w:val="20"/>
          <w:color w:val="auto"/>
        </w:rPr>
      </w:pPr>
    </w:p>
    <w:p>
      <w:pPr>
        <w:spacing w:after="0"/>
        <w:tabs>
          <w:tab w:leader="none" w:pos="900" w:val="left"/>
          <w:tab w:leader="none" w:pos="1800" w:val="left"/>
        </w:tabs>
        <w:rPr>
          <w:sz w:val="20"/>
          <w:szCs w:val="20"/>
          <w:color w:val="auto"/>
        </w:rPr>
      </w:pPr>
      <w:r>
        <w:rPr>
          <w:rFonts w:ascii="Times New Roman" w:cs="Times New Roman" w:eastAsia="Times New Roman" w:hAnsi="Times New Roman"/>
          <w:sz w:val="17"/>
          <w:szCs w:val="17"/>
          <w:b w:val="1"/>
          <w:bCs w:val="1"/>
          <w:color w:val="231F20"/>
        </w:rPr>
        <w:t>5.30 %</w:t>
      </w:r>
      <w:r>
        <w:rPr>
          <w:sz w:val="20"/>
          <w:szCs w:val="20"/>
          <w:color w:val="auto"/>
        </w:rPr>
        <w:tab/>
      </w:r>
      <w:r>
        <w:rPr>
          <w:rFonts w:ascii="Times New Roman" w:cs="Times New Roman" w:eastAsia="Times New Roman" w:hAnsi="Times New Roman"/>
          <w:sz w:val="17"/>
          <w:szCs w:val="17"/>
          <w:color w:val="231F20"/>
        </w:rPr>
        <w:t>5.30 %</w:t>
      </w:r>
      <w:r>
        <w:rPr>
          <w:sz w:val="20"/>
          <w:szCs w:val="20"/>
          <w:color w:val="auto"/>
        </w:rPr>
        <w:tab/>
      </w:r>
      <w:r>
        <w:rPr>
          <w:rFonts w:ascii="Times New Roman" w:cs="Times New Roman" w:eastAsia="Times New Roman" w:hAnsi="Times New Roman"/>
          <w:sz w:val="17"/>
          <w:szCs w:val="17"/>
          <w:color w:val="231F20"/>
        </w:rPr>
        <w:t>6.10 %</w:t>
      </w:r>
    </w:p>
    <w:p>
      <w:pPr>
        <w:spacing w:after="0" w:line="81" w:lineRule="exact"/>
        <w:rPr>
          <w:sz w:val="20"/>
          <w:szCs w:val="20"/>
          <w:color w:val="auto"/>
        </w:rPr>
      </w:pPr>
    </w:p>
    <w:p>
      <w:pPr>
        <w:spacing w:after="0"/>
        <w:tabs>
          <w:tab w:leader="none" w:pos="900" w:val="left"/>
          <w:tab w:leader="none" w:pos="1800" w:val="left"/>
        </w:tabs>
        <w:rPr>
          <w:sz w:val="20"/>
          <w:szCs w:val="20"/>
          <w:color w:val="auto"/>
        </w:rPr>
      </w:pPr>
      <w:r>
        <w:rPr>
          <w:rFonts w:ascii="Times New Roman" w:cs="Times New Roman" w:eastAsia="Times New Roman" w:hAnsi="Times New Roman"/>
          <w:sz w:val="17"/>
          <w:szCs w:val="17"/>
          <w:b w:val="1"/>
          <w:bCs w:val="1"/>
          <w:color w:val="231F20"/>
        </w:rPr>
        <w:t>3.80 %</w:t>
      </w:r>
      <w:r>
        <w:rPr>
          <w:sz w:val="20"/>
          <w:szCs w:val="20"/>
          <w:color w:val="auto"/>
        </w:rPr>
        <w:tab/>
      </w:r>
      <w:r>
        <w:rPr>
          <w:rFonts w:ascii="Times New Roman" w:cs="Times New Roman" w:eastAsia="Times New Roman" w:hAnsi="Times New Roman"/>
          <w:sz w:val="17"/>
          <w:szCs w:val="17"/>
          <w:color w:val="231F20"/>
        </w:rPr>
        <w:t>3.40 %</w:t>
      </w:r>
      <w:r>
        <w:rPr>
          <w:sz w:val="20"/>
          <w:szCs w:val="20"/>
          <w:color w:val="auto"/>
        </w:rPr>
        <w:tab/>
      </w:r>
      <w:r>
        <w:rPr>
          <w:rFonts w:ascii="Times New Roman" w:cs="Times New Roman" w:eastAsia="Times New Roman" w:hAnsi="Times New Roman"/>
          <w:sz w:val="17"/>
          <w:szCs w:val="17"/>
          <w:color w:val="231F20"/>
        </w:rPr>
        <w:t>3.70 %</w:t>
      </w:r>
    </w:p>
    <w:p>
      <w:pPr>
        <w:spacing w:after="0" w:line="81" w:lineRule="exact"/>
        <w:rPr>
          <w:sz w:val="20"/>
          <w:szCs w:val="20"/>
          <w:color w:val="auto"/>
        </w:rPr>
      </w:pPr>
    </w:p>
    <w:p>
      <w:pPr>
        <w:spacing w:after="0"/>
        <w:tabs>
          <w:tab w:leader="none" w:pos="900" w:val="left"/>
          <w:tab w:leader="none" w:pos="1800" w:val="left"/>
        </w:tabs>
        <w:rPr>
          <w:sz w:val="20"/>
          <w:szCs w:val="20"/>
          <w:color w:val="auto"/>
        </w:rPr>
      </w:pPr>
      <w:r>
        <w:rPr>
          <w:rFonts w:ascii="Times New Roman" w:cs="Times New Roman" w:eastAsia="Times New Roman" w:hAnsi="Times New Roman"/>
          <w:sz w:val="17"/>
          <w:szCs w:val="17"/>
          <w:b w:val="1"/>
          <w:bCs w:val="1"/>
          <w:color w:val="231F20"/>
        </w:rPr>
        <w:t>1.30 %</w:t>
      </w:r>
      <w:r>
        <w:rPr>
          <w:sz w:val="20"/>
          <w:szCs w:val="20"/>
          <w:color w:val="auto"/>
        </w:rPr>
        <w:tab/>
      </w:r>
      <w:r>
        <w:rPr>
          <w:rFonts w:ascii="Times New Roman" w:cs="Times New Roman" w:eastAsia="Times New Roman" w:hAnsi="Times New Roman"/>
          <w:sz w:val="17"/>
          <w:szCs w:val="17"/>
          <w:color w:val="231F20"/>
        </w:rPr>
        <w:t>1.10 %</w:t>
      </w:r>
      <w:r>
        <w:rPr>
          <w:sz w:val="20"/>
          <w:szCs w:val="20"/>
          <w:color w:val="auto"/>
        </w:rPr>
        <w:tab/>
      </w:r>
      <w:r>
        <w:rPr>
          <w:rFonts w:ascii="Times New Roman" w:cs="Times New Roman" w:eastAsia="Times New Roman" w:hAnsi="Times New Roman"/>
          <w:sz w:val="17"/>
          <w:szCs w:val="17"/>
          <w:color w:val="231F20"/>
        </w:rPr>
        <w:t>1.50 %</w:t>
      </w:r>
    </w:p>
    <w:p>
      <w:pPr>
        <w:spacing w:after="0" w:line="200" w:lineRule="exact"/>
        <w:rPr>
          <w:sz w:val="20"/>
          <w:szCs w:val="20"/>
          <w:color w:val="auto"/>
        </w:rPr>
      </w:pPr>
    </w:p>
    <w:p>
      <w:pPr>
        <w:sectPr>
          <w:pgSz w:w="11880" w:h="15480" w:orient="portrait"/>
          <w:cols w:equalWidth="0" w:num="2">
            <w:col w:w="6900" w:space="720"/>
            <w:col w:w="2340"/>
          </w:cols>
          <w:pgMar w:left="960" w:top="250" w:right="960" w:bottom="0" w:gutter="0" w:footer="0" w:header="0"/>
          <w:type w:val="continuous"/>
        </w:sectPr>
      </w:pPr>
    </w:p>
    <w:p>
      <w:pPr>
        <w:spacing w:after="0" w:line="2" w:lineRule="exact"/>
        <w:rPr>
          <w:sz w:val="20"/>
          <w:szCs w:val="20"/>
          <w:color w:val="auto"/>
        </w:rPr>
      </w:pPr>
    </w:p>
    <w:p>
      <w:pPr>
        <w:ind w:right="20" w:firstLine="349"/>
        <w:spacing w:after="0" w:line="274" w:lineRule="auto"/>
        <w:rPr>
          <w:sz w:val="20"/>
          <w:szCs w:val="20"/>
          <w:color w:val="auto"/>
        </w:rPr>
      </w:pPr>
      <w:r>
        <w:rPr>
          <w:rFonts w:ascii="Times New Roman" w:cs="Times New Roman" w:eastAsia="Times New Roman" w:hAnsi="Times New Roman"/>
          <w:sz w:val="19"/>
          <w:szCs w:val="19"/>
          <w:color w:val="231F20"/>
        </w:rPr>
        <w:t>The net periodic benefit cost and the actuarial present value of projected benefit obligations are based upon assumptions that we review on an annual basis. These assumptions may be revised annually based upon an evaluation of long-term trends, as well as market conditions that may have an impact on the cost of providing benefits.</w:t>
      </w:r>
    </w:p>
    <w:p>
      <w:pPr>
        <w:spacing w:after="0" w:line="67" w:lineRule="exact"/>
        <w:rPr>
          <w:sz w:val="20"/>
          <w:szCs w:val="20"/>
          <w:color w:val="auto"/>
        </w:rPr>
      </w:pPr>
    </w:p>
    <w:p>
      <w:pPr>
        <w:jc w:val="both"/>
        <w:ind w:right="680" w:firstLine="349"/>
        <w:spacing w:after="0" w:line="274" w:lineRule="auto"/>
        <w:rPr>
          <w:sz w:val="20"/>
          <w:szCs w:val="20"/>
          <w:color w:val="auto"/>
        </w:rPr>
      </w:pPr>
      <w:r>
        <w:rPr>
          <w:rFonts w:ascii="Times New Roman" w:cs="Times New Roman" w:eastAsia="Times New Roman" w:hAnsi="Times New Roman"/>
          <w:sz w:val="19"/>
          <w:szCs w:val="19"/>
          <w:color w:val="231F20"/>
        </w:rPr>
        <w:t>We develop our expected long-term rate of return on plan assets assumptions by evaluating input from third-party professional advisers, taking into consideration the asset allocation of the portfolios and the long-term asset class return expectations.</w:t>
      </w:r>
    </w:p>
    <w:p>
      <w:pPr>
        <w:spacing w:after="0" w:line="67" w:lineRule="exact"/>
        <w:rPr>
          <w:sz w:val="20"/>
          <w:szCs w:val="20"/>
          <w:color w:val="auto"/>
        </w:rPr>
      </w:pPr>
    </w:p>
    <w:p>
      <w:pPr>
        <w:ind w:firstLine="349"/>
        <w:spacing w:after="0" w:line="262" w:lineRule="auto"/>
        <w:rPr>
          <w:sz w:val="20"/>
          <w:szCs w:val="20"/>
          <w:color w:val="auto"/>
        </w:rPr>
      </w:pPr>
      <w:r>
        <w:rPr>
          <w:rFonts w:ascii="Times New Roman" w:cs="Times New Roman" w:eastAsia="Times New Roman" w:hAnsi="Times New Roman"/>
          <w:sz w:val="19"/>
          <w:szCs w:val="19"/>
          <w:color w:val="231F20"/>
        </w:rPr>
        <w:t>We develop our discount rate assumptions by evaluating input from third-party professional advisers, taking into consideration the current yield on country specific investment grade long-term bonds which provide for similar cash flow streams as our projected obligations. Prior to fiscal 2026, we made assumptions regarding healthcare costs in computing our other post-retirement benefit obligation. The assumed rates of increase generally declined ratably over a five-year period from the assumed current year healthcare cost trend rate to the assumed long-term healthcare cost trend rates noted below. As of fiscal 2026, healthcare cost trend assumptions are no longer applied. Beginning in fiscal 2026, the plan limits healthcare costs to a capped monthly amount per participant.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320" w:type="dxa"/>
            <w:vAlign w:val="bottom"/>
            <w:tcBorders>
              <w:bottom w:val="single" w:sz="8" w:color="231F20"/>
            </w:tcBorders>
          </w:tcPr>
          <w:p>
            <w:pPr>
              <w:spacing w:after="0"/>
              <w:rPr>
                <w:sz w:val="20"/>
                <w:szCs w:val="20"/>
                <w:color w:val="auto"/>
              </w:rPr>
            </w:pPr>
          </w:p>
        </w:tc>
        <w:tc>
          <w:tcPr>
            <w:tcW w:w="2900" w:type="dxa"/>
            <w:vAlign w:val="bottom"/>
            <w:tcBorders>
              <w:bottom w:val="single" w:sz="8" w:color="231F20"/>
            </w:tcBorders>
          </w:tcPr>
          <w:p>
            <w:pPr>
              <w:jc w:val="right"/>
              <w:ind w:right="353"/>
              <w:spacing w:after="0"/>
              <w:rPr>
                <w:sz w:val="20"/>
                <w:szCs w:val="20"/>
                <w:color w:val="auto"/>
              </w:rPr>
            </w:pPr>
            <w:r>
              <w:rPr>
                <w:rFonts w:ascii="Times New Roman" w:cs="Times New Roman" w:eastAsia="Times New Roman" w:hAnsi="Times New Roman"/>
                <w:sz w:val="17"/>
                <w:szCs w:val="17"/>
                <w:color w:val="231F20"/>
              </w:rPr>
              <w:t>2025</w:t>
            </w:r>
          </w:p>
        </w:tc>
        <w:tc>
          <w:tcPr>
            <w:tcW w:w="800" w:type="dxa"/>
            <w:vAlign w:val="bottom"/>
            <w:tcBorders>
              <w:bottom w:val="single" w:sz="8" w:color="231F20"/>
            </w:tcBorders>
          </w:tcPr>
          <w:p>
            <w:pPr>
              <w:jc w:val="right"/>
              <w:ind w:right="173"/>
              <w:spacing w:after="0"/>
              <w:rPr>
                <w:sz w:val="20"/>
                <w:szCs w:val="20"/>
                <w:color w:val="auto"/>
              </w:rPr>
            </w:pPr>
            <w:r>
              <w:rPr>
                <w:rFonts w:ascii="Times New Roman" w:cs="Times New Roman" w:eastAsia="Times New Roman" w:hAnsi="Times New Roman"/>
                <w:sz w:val="17"/>
                <w:szCs w:val="17"/>
                <w:color w:val="231F20"/>
              </w:rPr>
              <w:t>2024</w:t>
            </w:r>
          </w:p>
        </w:tc>
      </w:tr>
      <w:tr>
        <w:trPr>
          <w:trHeight w:val="228"/>
        </w:trPr>
        <w:tc>
          <w:tcPr>
            <w:tcW w:w="532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Healthcare cost trend rate – medical</w:t>
            </w:r>
          </w:p>
        </w:tc>
        <w:tc>
          <w:tcPr>
            <w:tcW w:w="2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231F20"/>
              </w:rPr>
              <w:t>8.50 %</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7.50 %</w:t>
            </w:r>
          </w:p>
        </w:tc>
      </w:tr>
      <w:tr>
        <w:trPr>
          <w:trHeight w:val="243"/>
        </w:trPr>
        <w:tc>
          <w:tcPr>
            <w:tcW w:w="532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Healthcare cost trend rate – prescription drug</w:t>
            </w:r>
          </w:p>
        </w:tc>
        <w:tc>
          <w:tcPr>
            <w:tcW w:w="2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231F20"/>
              </w:rPr>
              <w:t>8.50 %</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7.50 %</w:t>
            </w:r>
          </w:p>
        </w:tc>
      </w:tr>
      <w:tr>
        <w:trPr>
          <w:trHeight w:val="247"/>
        </w:trPr>
        <w:tc>
          <w:tcPr>
            <w:tcW w:w="532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Long-term healthcare cost trend rate</w:t>
            </w:r>
          </w:p>
        </w:tc>
        <w:tc>
          <w:tcPr>
            <w:tcW w:w="2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231F20"/>
              </w:rPr>
              <w:t>4.50 %</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4.50 %</w:t>
            </w:r>
          </w:p>
        </w:tc>
      </w:tr>
    </w:tbl>
    <w:p>
      <w:pPr>
        <w:spacing w:after="0" w:line="168" w:lineRule="exact"/>
        <w:rPr>
          <w:sz w:val="20"/>
          <w:szCs w:val="20"/>
          <w:color w:val="auto"/>
        </w:rPr>
      </w:pPr>
    </w:p>
    <w:p>
      <w:pPr>
        <w:ind w:right="140" w:firstLine="349"/>
        <w:spacing w:after="0" w:line="293" w:lineRule="auto"/>
        <w:rPr>
          <w:sz w:val="20"/>
          <w:szCs w:val="20"/>
          <w:color w:val="auto"/>
        </w:rPr>
      </w:pPr>
      <w:r>
        <w:rPr>
          <w:rFonts w:ascii="Times New Roman" w:cs="Times New Roman" w:eastAsia="Times New Roman" w:hAnsi="Times New Roman"/>
          <w:sz w:val="19"/>
          <w:szCs w:val="19"/>
          <w:color w:val="231F20"/>
        </w:rPr>
        <w:t>To determine the healthcare cost trend rates, we evaluated a combination of information, including ongoing claims cost monitoring, annual statistical analyses of claims data, reconciliation of forecasted claims against actual claims, review of trend</w:t>
      </w:r>
    </w:p>
    <w:p>
      <w:pPr>
        <w:sectPr>
          <w:pgSz w:w="11880" w:h="15480" w:orient="portrait"/>
          <w:cols w:equalWidth="0" w:num="1">
            <w:col w:w="9960"/>
          </w:cols>
          <w:pgMar w:left="960" w:top="250" w:right="960" w:bottom="0" w:gutter="0" w:footer="0" w:header="0"/>
          <w:type w:val="continuous"/>
        </w:sect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85</w:t>
      </w:r>
    </w:p>
    <w:p>
      <w:pPr>
        <w:sectPr>
          <w:pgSz w:w="11880" w:h="15480" w:orient="portrait"/>
          <w:cols w:equalWidth="0" w:num="1">
            <w:col w:w="9960"/>
          </w:cols>
          <w:pgMar w:left="960" w:top="250" w:right="960" w:bottom="0" w:gutter="0" w:footer="0" w:header="0"/>
          <w:type w:val="continuous"/>
        </w:sectPr>
      </w:pPr>
    </w:p>
    <w:bookmarkStart w:id="86" w:name="page87"/>
    <w:bookmarkEnd w:id="86"/>
    <w:p>
      <w:pPr>
        <w:jc w:val="center"/>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9"/>
          <w:szCs w:val="19"/>
          <w:color w:val="231F20"/>
        </w:rPr>
        <w:t>assumptions of other plan sponsors and national health trends, and adjustments for plan design changes, workforce changes, and changes in plan participant behavior.</w:t>
      </w:r>
    </w:p>
    <w:p>
      <w:pPr>
        <w:spacing w:after="0" w:line="4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9"/>
          <w:szCs w:val="19"/>
          <w:b w:val="1"/>
          <w:bCs w:val="1"/>
          <w:color w:val="231F20"/>
        </w:rPr>
        <w:t xml:space="preserve">Plan Assets. </w:t>
      </w:r>
      <w:r>
        <w:rPr>
          <w:rFonts w:ascii="Times New Roman" w:cs="Times New Roman" w:eastAsia="Times New Roman" w:hAnsi="Times New Roman"/>
          <w:sz w:val="19"/>
          <w:szCs w:val="19"/>
          <w:color w:val="231F20"/>
        </w:rPr>
        <w:t>The investment policies for our plans are generally established by the local pension plan trustees and seek to</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maintain the plans' ability to meet liabilities and to comply with local minimum funding requirements. Plan assets are invested in diversified portfolios that provide adequate levels of return at an acceptable level of risk. The investment policies are reviewed at least annually and revised, as deemed appropriate to ensure that the objectives are being met. At March 31, 2026, the targeted allocation for the plans were approximately 30% equity investments and 70% fixed income investments.</w:t>
      </w:r>
    </w:p>
    <w:p>
      <w:pPr>
        <w:spacing w:after="0" w:line="74" w:lineRule="exact"/>
        <w:rPr>
          <w:sz w:val="20"/>
          <w:szCs w:val="20"/>
          <w:color w:val="auto"/>
        </w:rPr>
      </w:pPr>
    </w:p>
    <w:p>
      <w:pPr>
        <w:ind w:right="180"/>
        <w:spacing w:after="0" w:line="293" w:lineRule="auto"/>
        <w:rPr>
          <w:sz w:val="20"/>
          <w:szCs w:val="20"/>
          <w:color w:val="auto"/>
        </w:rPr>
      </w:pPr>
      <w:r>
        <w:rPr>
          <w:rFonts w:ascii="Times New Roman" w:cs="Times New Roman" w:eastAsia="Times New Roman" w:hAnsi="Times New Roman"/>
          <w:sz w:val="19"/>
          <w:szCs w:val="19"/>
          <w:color w:val="231F20"/>
        </w:rPr>
        <w:t>Financial instruments included in pension plan assets are categorized into three tiers. These tiers include a fair value hierarchy of three levels, based on the degree of subjectivity inherent in the valuation methodology as follows:</w:t>
      </w:r>
    </w:p>
    <w:p>
      <w:pPr>
        <w:spacing w:after="0" w:line="4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31F20"/>
        </w:rPr>
        <w:t>Level 1 - Quoted prices for identical assets in active markets.</w:t>
      </w:r>
    </w:p>
    <w:p>
      <w:pPr>
        <w:spacing w:after="0" w:line="1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31F20"/>
        </w:rPr>
        <w:t>Level 2 - Quoted prices for similar assets in active markets with inputs that are observable, either directly or indirectly.</w:t>
      </w:r>
    </w:p>
    <w:p>
      <w:pPr>
        <w:spacing w:after="0" w:line="1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31F20"/>
        </w:rPr>
        <w:t>Level 3 - Unobservable prices or inputs in which little or no market data exists.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The fair value of our pension benefits plan assets at March 31, 2026 and 2025 by asset category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44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3960" w:type="dxa"/>
            <w:vAlign w:val="bottom"/>
            <w:tcBorders>
              <w:bottom w:val="single" w:sz="8" w:color="231F20"/>
            </w:tcBorders>
            <w:gridSpan w:val="7"/>
          </w:tcPr>
          <w:p>
            <w:pPr>
              <w:jc w:val="right"/>
              <w:spacing w:after="0"/>
              <w:rPr>
                <w:sz w:val="20"/>
                <w:szCs w:val="20"/>
                <w:color w:val="auto"/>
              </w:rPr>
            </w:pPr>
            <w:r>
              <w:rPr>
                <w:rFonts w:ascii="Times New Roman" w:cs="Times New Roman" w:eastAsia="Times New Roman" w:hAnsi="Times New Roman"/>
                <w:sz w:val="17"/>
                <w:szCs w:val="17"/>
                <w:color w:val="231F20"/>
              </w:rPr>
              <w:t>Fair Value Measurements at March 31, 2026</w:t>
            </w:r>
          </w:p>
        </w:tc>
        <w:tc>
          <w:tcPr>
            <w:tcW w:w="16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center"/>
              <w:ind w:right="353"/>
              <w:spacing w:after="0"/>
              <w:rPr>
                <w:sz w:val="20"/>
                <w:szCs w:val="20"/>
                <w:color w:val="auto"/>
              </w:rPr>
            </w:pPr>
            <w:r>
              <w:rPr>
                <w:rFonts w:ascii="Times New Roman" w:cs="Times New Roman" w:eastAsia="Times New Roman" w:hAnsi="Times New Roman"/>
                <w:sz w:val="17"/>
                <w:szCs w:val="17"/>
                <w:color w:val="231F20"/>
              </w:rPr>
              <w:t>Quoted</w:t>
            </w:r>
          </w:p>
        </w:tc>
        <w:tc>
          <w:tcPr>
            <w:tcW w:w="140" w:type="dxa"/>
            <w:vAlign w:val="bottom"/>
          </w:tcPr>
          <w:p>
            <w:pPr>
              <w:spacing w:after="0"/>
              <w:rPr>
                <w:sz w:val="17"/>
                <w:szCs w:val="17"/>
                <w:color w:val="auto"/>
              </w:rPr>
            </w:pPr>
          </w:p>
        </w:tc>
        <w:tc>
          <w:tcPr>
            <w:tcW w:w="1060" w:type="dxa"/>
            <w:vAlign w:val="bottom"/>
            <w:gridSpan w:val="2"/>
            <w:vMerge w:val="restart"/>
          </w:tcPr>
          <w:p>
            <w:pPr>
              <w:jc w:val="center"/>
              <w:ind w:right="13"/>
              <w:spacing w:after="0"/>
              <w:rPr>
                <w:sz w:val="20"/>
                <w:szCs w:val="20"/>
                <w:color w:val="auto"/>
              </w:rPr>
            </w:pPr>
            <w:r>
              <w:rPr>
                <w:rFonts w:ascii="Times New Roman" w:cs="Times New Roman" w:eastAsia="Times New Roman" w:hAnsi="Times New Roman"/>
                <w:sz w:val="17"/>
                <w:szCs w:val="17"/>
                <w:color w:val="231F20"/>
              </w:rPr>
              <w:t>Significant</w:t>
            </w:r>
          </w:p>
        </w:tc>
        <w:tc>
          <w:tcPr>
            <w:tcW w:w="320" w:type="dxa"/>
            <w:vAlign w:val="bottom"/>
          </w:tcPr>
          <w:p>
            <w:pPr>
              <w:spacing w:after="0"/>
              <w:rPr>
                <w:sz w:val="17"/>
                <w:szCs w:val="17"/>
                <w:color w:val="auto"/>
              </w:rPr>
            </w:pPr>
          </w:p>
        </w:tc>
        <w:tc>
          <w:tcPr>
            <w:tcW w:w="1160" w:type="dxa"/>
            <w:vAlign w:val="bottom"/>
            <w:gridSpan w:val="2"/>
            <w:vMerge w:val="restart"/>
          </w:tcPr>
          <w:p>
            <w:pPr>
              <w:jc w:val="center"/>
              <w:ind w:right="73"/>
              <w:spacing w:after="0"/>
              <w:rPr>
                <w:sz w:val="20"/>
                <w:szCs w:val="20"/>
                <w:color w:val="auto"/>
              </w:rPr>
            </w:pPr>
            <w:r>
              <w:rPr>
                <w:rFonts w:ascii="Times New Roman" w:cs="Times New Roman" w:eastAsia="Times New Roman" w:hAnsi="Times New Roman"/>
                <w:sz w:val="17"/>
                <w:szCs w:val="17"/>
                <w:color w:val="231F20"/>
              </w:rPr>
              <w:t>Significant</w:t>
            </w:r>
          </w:p>
        </w:tc>
        <w:tc>
          <w:tcPr>
            <w:tcW w:w="0" w:type="dxa"/>
            <w:vAlign w:val="bottom"/>
          </w:tcPr>
          <w:p>
            <w:pPr>
              <w:spacing w:after="0"/>
              <w:rPr>
                <w:sz w:val="1"/>
                <w:szCs w:val="1"/>
                <w:color w:val="auto"/>
              </w:rPr>
            </w:pPr>
          </w:p>
        </w:tc>
      </w:tr>
      <w:tr>
        <w:trPr>
          <w:trHeight w:val="175"/>
        </w:trPr>
        <w:tc>
          <w:tcPr>
            <w:tcW w:w="4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center"/>
              <w:ind w:right="353"/>
              <w:spacing w:after="0" w:line="175" w:lineRule="exact"/>
              <w:rPr>
                <w:sz w:val="20"/>
                <w:szCs w:val="20"/>
                <w:color w:val="auto"/>
              </w:rPr>
            </w:pPr>
            <w:r>
              <w:rPr>
                <w:rFonts w:ascii="Times New Roman" w:cs="Times New Roman" w:eastAsia="Times New Roman" w:hAnsi="Times New Roman"/>
                <w:sz w:val="17"/>
                <w:szCs w:val="17"/>
                <w:color w:val="231F20"/>
              </w:rPr>
              <w:t>Prices in</w:t>
            </w:r>
          </w:p>
        </w:tc>
        <w:tc>
          <w:tcPr>
            <w:tcW w:w="1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gridSpan w:val="2"/>
          </w:tcPr>
          <w:p>
            <w:pPr>
              <w:jc w:val="center"/>
              <w:ind w:right="73"/>
              <w:spacing w:after="0" w:line="175" w:lineRule="exact"/>
              <w:rPr>
                <w:sz w:val="20"/>
                <w:szCs w:val="20"/>
                <w:color w:val="auto"/>
              </w:rPr>
            </w:pPr>
            <w:r>
              <w:rPr>
                <w:rFonts w:ascii="Times New Roman" w:cs="Times New Roman" w:eastAsia="Times New Roman" w:hAnsi="Times New Roman"/>
                <w:sz w:val="17"/>
                <w:szCs w:val="17"/>
                <w:color w:val="231F20"/>
              </w:rPr>
              <w:t>Active Markets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153"/>
              <w:spacing w:after="0" w:line="175" w:lineRule="exact"/>
              <w:rPr>
                <w:sz w:val="20"/>
                <w:szCs w:val="20"/>
                <w:color w:val="auto"/>
              </w:rPr>
            </w:pPr>
            <w:r>
              <w:rPr>
                <w:rFonts w:ascii="Times New Roman" w:cs="Times New Roman" w:eastAsia="Times New Roman" w:hAnsi="Times New Roman"/>
                <w:sz w:val="17"/>
                <w:szCs w:val="17"/>
                <w:color w:val="231F20"/>
              </w:rPr>
              <w:t>Other</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233"/>
              <w:spacing w:after="0" w:line="175" w:lineRule="exact"/>
              <w:rPr>
                <w:sz w:val="20"/>
                <w:szCs w:val="20"/>
                <w:color w:val="auto"/>
              </w:rPr>
            </w:pPr>
            <w:r>
              <w:rPr>
                <w:rFonts w:ascii="Times New Roman" w:cs="Times New Roman" w:eastAsia="Times New Roman" w:hAnsi="Times New Roman"/>
                <w:sz w:val="17"/>
                <w:szCs w:val="17"/>
                <w:color w:val="231F20"/>
              </w:rPr>
              <w:t>Other</w:t>
            </w:r>
          </w:p>
        </w:tc>
        <w:tc>
          <w:tcPr>
            <w:tcW w:w="0" w:type="dxa"/>
            <w:vAlign w:val="bottom"/>
          </w:tcPr>
          <w:p>
            <w:pPr>
              <w:spacing w:after="0"/>
              <w:rPr>
                <w:sz w:val="1"/>
                <w:szCs w:val="1"/>
                <w:color w:val="auto"/>
              </w:rPr>
            </w:pPr>
          </w:p>
        </w:tc>
      </w:tr>
      <w:tr>
        <w:trPr>
          <w:trHeight w:val="175"/>
        </w:trPr>
        <w:tc>
          <w:tcPr>
            <w:tcW w:w="4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gridSpan w:val="2"/>
          </w:tcPr>
          <w:p>
            <w:pPr>
              <w:jc w:val="center"/>
              <w:ind w:right="53"/>
              <w:spacing w:after="0" w:line="175" w:lineRule="exact"/>
              <w:rPr>
                <w:sz w:val="20"/>
                <w:szCs w:val="20"/>
                <w:color w:val="auto"/>
              </w:rPr>
            </w:pPr>
            <w:r>
              <w:rPr>
                <w:rFonts w:ascii="Times New Roman" w:cs="Times New Roman" w:eastAsia="Times New Roman" w:hAnsi="Times New Roman"/>
                <w:sz w:val="17"/>
                <w:szCs w:val="17"/>
                <w:color w:val="231F20"/>
              </w:rPr>
              <w:t>for Identical</w:t>
            </w:r>
          </w:p>
        </w:tc>
        <w:tc>
          <w:tcPr>
            <w:tcW w:w="140" w:type="dxa"/>
            <w:vAlign w:val="bottom"/>
          </w:tcPr>
          <w:p>
            <w:pPr>
              <w:spacing w:after="0"/>
              <w:rPr>
                <w:sz w:val="15"/>
                <w:szCs w:val="15"/>
                <w:color w:val="auto"/>
              </w:rPr>
            </w:pPr>
          </w:p>
        </w:tc>
        <w:tc>
          <w:tcPr>
            <w:tcW w:w="1060" w:type="dxa"/>
            <w:vAlign w:val="bottom"/>
            <w:gridSpan w:val="2"/>
          </w:tcPr>
          <w:p>
            <w:pPr>
              <w:jc w:val="center"/>
              <w:ind w:right="13"/>
              <w:spacing w:after="0" w:line="175" w:lineRule="exact"/>
              <w:rPr>
                <w:sz w:val="20"/>
                <w:szCs w:val="20"/>
                <w:color w:val="auto"/>
              </w:rPr>
            </w:pPr>
            <w:r>
              <w:rPr>
                <w:rFonts w:ascii="Times New Roman" w:cs="Times New Roman" w:eastAsia="Times New Roman" w:hAnsi="Times New Roman"/>
                <w:sz w:val="17"/>
                <w:szCs w:val="17"/>
                <w:color w:val="231F20"/>
              </w:rPr>
              <w:t>Observable</w:t>
            </w:r>
          </w:p>
        </w:tc>
        <w:tc>
          <w:tcPr>
            <w:tcW w:w="320" w:type="dxa"/>
            <w:vAlign w:val="bottom"/>
          </w:tcPr>
          <w:p>
            <w:pPr>
              <w:spacing w:after="0"/>
              <w:rPr>
                <w:sz w:val="15"/>
                <w:szCs w:val="15"/>
                <w:color w:val="auto"/>
              </w:rPr>
            </w:pPr>
          </w:p>
        </w:tc>
        <w:tc>
          <w:tcPr>
            <w:tcW w:w="1160" w:type="dxa"/>
            <w:vAlign w:val="bottom"/>
            <w:gridSpan w:val="2"/>
          </w:tcPr>
          <w:p>
            <w:pPr>
              <w:jc w:val="center"/>
              <w:ind w:right="73"/>
              <w:spacing w:after="0" w:line="175" w:lineRule="exact"/>
              <w:rPr>
                <w:sz w:val="20"/>
                <w:szCs w:val="20"/>
                <w:color w:val="auto"/>
              </w:rPr>
            </w:pPr>
            <w:r>
              <w:rPr>
                <w:rFonts w:ascii="Times New Roman" w:cs="Times New Roman" w:eastAsia="Times New Roman" w:hAnsi="Times New Roman"/>
                <w:sz w:val="17"/>
                <w:szCs w:val="17"/>
                <w:color w:val="231F20"/>
              </w:rPr>
              <w:t>Unobservable</w:t>
            </w:r>
          </w:p>
        </w:tc>
        <w:tc>
          <w:tcPr>
            <w:tcW w:w="0" w:type="dxa"/>
            <w:vAlign w:val="bottom"/>
          </w:tcPr>
          <w:p>
            <w:pPr>
              <w:spacing w:after="0"/>
              <w:rPr>
                <w:sz w:val="1"/>
                <w:szCs w:val="1"/>
                <w:color w:val="auto"/>
              </w:rPr>
            </w:pPr>
          </w:p>
        </w:tc>
      </w:tr>
      <w:tr>
        <w:trPr>
          <w:trHeight w:val="175"/>
        </w:trPr>
        <w:tc>
          <w:tcPr>
            <w:tcW w:w="4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231F20"/>
              </w:rPr>
              <w:t>(in millions)</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restart"/>
          </w:tcPr>
          <w:p>
            <w:pPr>
              <w:jc w:val="right"/>
              <w:ind w:right="513"/>
              <w:spacing w:after="0"/>
              <w:rPr>
                <w:sz w:val="20"/>
                <w:szCs w:val="20"/>
                <w:color w:val="auto"/>
              </w:rPr>
            </w:pPr>
            <w:r>
              <w:rPr>
                <w:rFonts w:ascii="Times New Roman" w:cs="Times New Roman" w:eastAsia="Times New Roman" w:hAnsi="Times New Roman"/>
                <w:sz w:val="17"/>
                <w:szCs w:val="17"/>
                <w:color w:val="231F20"/>
              </w:rPr>
              <w:t>Total</w:t>
            </w:r>
          </w:p>
        </w:tc>
        <w:tc>
          <w:tcPr>
            <w:tcW w:w="280" w:type="dxa"/>
            <w:vAlign w:val="bottom"/>
          </w:tcPr>
          <w:p>
            <w:pPr>
              <w:spacing w:after="0"/>
              <w:rPr>
                <w:sz w:val="15"/>
                <w:szCs w:val="15"/>
                <w:color w:val="auto"/>
              </w:rPr>
            </w:pPr>
          </w:p>
        </w:tc>
        <w:tc>
          <w:tcPr>
            <w:tcW w:w="1120" w:type="dxa"/>
            <w:vAlign w:val="bottom"/>
          </w:tcPr>
          <w:p>
            <w:pPr>
              <w:jc w:val="center"/>
              <w:ind w:right="353"/>
              <w:spacing w:after="0" w:line="175" w:lineRule="exact"/>
              <w:rPr>
                <w:sz w:val="20"/>
                <w:szCs w:val="20"/>
                <w:color w:val="auto"/>
              </w:rPr>
            </w:pPr>
            <w:r>
              <w:rPr>
                <w:rFonts w:ascii="Times New Roman" w:cs="Times New Roman" w:eastAsia="Times New Roman" w:hAnsi="Times New Roman"/>
                <w:sz w:val="17"/>
                <w:szCs w:val="17"/>
                <w:color w:val="231F20"/>
                <w:w w:val="99"/>
              </w:rPr>
              <w:t>Assets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153"/>
              <w:spacing w:after="0" w:line="175" w:lineRule="exact"/>
              <w:rPr>
                <w:sz w:val="20"/>
                <w:szCs w:val="20"/>
                <w:color w:val="auto"/>
              </w:rPr>
            </w:pPr>
            <w:r>
              <w:rPr>
                <w:rFonts w:ascii="Times New Roman" w:cs="Times New Roman" w:eastAsia="Times New Roman" w:hAnsi="Times New Roman"/>
                <w:sz w:val="17"/>
                <w:szCs w:val="17"/>
                <w:color w:val="231F20"/>
              </w:rPr>
              <w:t>Inputs</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233"/>
              <w:spacing w:after="0" w:line="175" w:lineRule="exact"/>
              <w:rPr>
                <w:sz w:val="20"/>
                <w:szCs w:val="20"/>
                <w:color w:val="auto"/>
              </w:rPr>
            </w:pPr>
            <w:r>
              <w:rPr>
                <w:rFonts w:ascii="Times New Roman" w:cs="Times New Roman" w:eastAsia="Times New Roman" w:hAnsi="Times New Roman"/>
                <w:sz w:val="17"/>
                <w:szCs w:val="17"/>
                <w:color w:val="231F20"/>
              </w:rPr>
              <w:t>Inputs</w:t>
            </w:r>
          </w:p>
        </w:tc>
        <w:tc>
          <w:tcPr>
            <w:tcW w:w="0" w:type="dxa"/>
            <w:vAlign w:val="bottom"/>
          </w:tcPr>
          <w:p>
            <w:pPr>
              <w:spacing w:after="0"/>
              <w:rPr>
                <w:sz w:val="1"/>
                <w:szCs w:val="1"/>
                <w:color w:val="auto"/>
              </w:rPr>
            </w:pPr>
          </w:p>
        </w:tc>
      </w:tr>
      <w:tr>
        <w:trPr>
          <w:trHeight w:val="231"/>
        </w:trPr>
        <w:tc>
          <w:tcPr>
            <w:tcW w:w="4440" w:type="dxa"/>
            <w:vAlign w:val="bottom"/>
            <w:tcBorders>
              <w:bottom w:val="single" w:sz="8" w:color="231F20"/>
            </w:tcBorders>
            <w:vMerge w:val="continue"/>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1040" w:type="dxa"/>
            <w:vAlign w:val="bottom"/>
            <w:tcBorders>
              <w:bottom w:val="single" w:sz="8" w:color="231F20"/>
            </w:tcBorders>
            <w:vMerge w:val="continue"/>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1120" w:type="dxa"/>
            <w:vAlign w:val="bottom"/>
            <w:tcBorders>
              <w:bottom w:val="single" w:sz="8" w:color="231F20"/>
            </w:tcBorders>
          </w:tcPr>
          <w:p>
            <w:pPr>
              <w:jc w:val="center"/>
              <w:ind w:right="353"/>
              <w:spacing w:after="0"/>
              <w:rPr>
                <w:sz w:val="20"/>
                <w:szCs w:val="20"/>
                <w:color w:val="auto"/>
              </w:rPr>
            </w:pPr>
            <w:r>
              <w:rPr>
                <w:rFonts w:ascii="Times New Roman" w:cs="Times New Roman" w:eastAsia="Times New Roman" w:hAnsi="Times New Roman"/>
                <w:sz w:val="17"/>
                <w:szCs w:val="17"/>
                <w:color w:val="231F20"/>
              </w:rPr>
              <w:t>(Level 1)</w:t>
            </w:r>
          </w:p>
        </w:tc>
        <w:tc>
          <w:tcPr>
            <w:tcW w:w="140" w:type="dxa"/>
            <w:vAlign w:val="bottom"/>
            <w:tcBorders>
              <w:bottom w:val="single" w:sz="8" w:color="231F20"/>
            </w:tcBorders>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center"/>
              <w:ind w:right="153"/>
              <w:spacing w:after="0"/>
              <w:rPr>
                <w:sz w:val="20"/>
                <w:szCs w:val="20"/>
                <w:color w:val="auto"/>
              </w:rPr>
            </w:pPr>
            <w:r>
              <w:rPr>
                <w:rFonts w:ascii="Times New Roman" w:cs="Times New Roman" w:eastAsia="Times New Roman" w:hAnsi="Times New Roman"/>
                <w:sz w:val="17"/>
                <w:szCs w:val="17"/>
                <w:color w:val="231F20"/>
              </w:rPr>
              <w:t>(Level 2)</w:t>
            </w:r>
          </w:p>
        </w:tc>
        <w:tc>
          <w:tcPr>
            <w:tcW w:w="320" w:type="dxa"/>
            <w:vAlign w:val="bottom"/>
            <w:tcBorders>
              <w:bottom w:val="single" w:sz="8" w:color="231F20"/>
            </w:tcBorders>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center"/>
              <w:ind w:right="233"/>
              <w:spacing w:after="0"/>
              <w:rPr>
                <w:sz w:val="20"/>
                <w:szCs w:val="20"/>
                <w:color w:val="auto"/>
              </w:rPr>
            </w:pPr>
            <w:r>
              <w:rPr>
                <w:rFonts w:ascii="Times New Roman" w:cs="Times New Roman" w:eastAsia="Times New Roman" w:hAnsi="Times New Roman"/>
                <w:sz w:val="17"/>
                <w:szCs w:val="17"/>
                <w:color w:val="231F20"/>
              </w:rPr>
              <w:t>(Level 3)</w:t>
            </w:r>
          </w:p>
        </w:tc>
        <w:tc>
          <w:tcPr>
            <w:tcW w:w="0" w:type="dxa"/>
            <w:vAlign w:val="bottom"/>
          </w:tcPr>
          <w:p>
            <w:pPr>
              <w:spacing w:after="0"/>
              <w:rPr>
                <w:sz w:val="1"/>
                <w:szCs w:val="1"/>
                <w:color w:val="auto"/>
              </w:rPr>
            </w:pPr>
          </w:p>
        </w:tc>
      </w:tr>
      <w:tr>
        <w:trPr>
          <w:trHeight w:val="252"/>
        </w:trPr>
        <w:tc>
          <w:tcPr>
            <w:tcW w:w="444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Cash</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rPr>
              <w:t>$</w:t>
            </w:r>
          </w:p>
        </w:tc>
        <w:tc>
          <w:tcPr>
            <w:tcW w:w="220" w:type="dxa"/>
            <w:vAlign w:val="bottom"/>
          </w:tcPr>
          <w:p>
            <w:pPr>
              <w:spacing w:after="0"/>
              <w:rPr>
                <w:sz w:val="21"/>
                <w:szCs w:val="21"/>
                <w:color w:val="auto"/>
              </w:rPr>
            </w:pP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231F20"/>
              </w:rPr>
              <w:t>0.9</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231F20"/>
                <w:w w:val="93"/>
              </w:rPr>
              <w:t>$</w:t>
            </w:r>
          </w:p>
        </w:tc>
        <w:tc>
          <w:tcPr>
            <w:tcW w:w="112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231F20"/>
              </w:rPr>
              <w:t>0.9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w w:val="93"/>
              </w:rPr>
              <w:t>$</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rPr>
              <w:t>—</w:t>
            </w:r>
          </w:p>
        </w:tc>
        <w:tc>
          <w:tcPr>
            <w:tcW w:w="0" w:type="dxa"/>
            <w:vAlign w:val="bottom"/>
          </w:tcPr>
          <w:p>
            <w:pPr>
              <w:spacing w:after="0"/>
              <w:rPr>
                <w:sz w:val="1"/>
                <w:szCs w:val="1"/>
                <w:color w:val="auto"/>
              </w:rPr>
            </w:pPr>
          </w:p>
        </w:tc>
      </w:tr>
      <w:tr>
        <w:trPr>
          <w:trHeight w:val="277"/>
        </w:trPr>
        <w:tc>
          <w:tcPr>
            <w:tcW w:w="444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Insured annuities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231F20"/>
              </w:rPr>
              <w:t>9.1</w:t>
            </w:r>
          </w:p>
        </w:tc>
        <w:tc>
          <w:tcPr>
            <w:tcW w:w="280" w:type="dxa"/>
            <w:vAlign w:val="bottom"/>
          </w:tcPr>
          <w:p>
            <w:pPr>
              <w:spacing w:after="0"/>
              <w:rPr>
                <w:sz w:val="24"/>
                <w:szCs w:val="24"/>
                <w:color w:val="auto"/>
              </w:rPr>
            </w:pPr>
          </w:p>
        </w:tc>
        <w:tc>
          <w:tcPr>
            <w:tcW w:w="112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231F20"/>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rPr>
              <w:t>9.1</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rPr>
              <w:t>—</w:t>
            </w:r>
          </w:p>
        </w:tc>
        <w:tc>
          <w:tcPr>
            <w:tcW w:w="0" w:type="dxa"/>
            <w:vAlign w:val="bottom"/>
          </w:tcPr>
          <w:p>
            <w:pPr>
              <w:spacing w:after="0"/>
              <w:rPr>
                <w:sz w:val="1"/>
                <w:szCs w:val="1"/>
                <w:color w:val="auto"/>
              </w:rPr>
            </w:pPr>
          </w:p>
        </w:tc>
      </w:tr>
      <w:tr>
        <w:trPr>
          <w:trHeight w:val="277"/>
        </w:trPr>
        <w:tc>
          <w:tcPr>
            <w:tcW w:w="444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Insurance contracts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231F20"/>
              </w:rPr>
              <w:t>7.8</w:t>
            </w:r>
          </w:p>
        </w:tc>
        <w:tc>
          <w:tcPr>
            <w:tcW w:w="280" w:type="dxa"/>
            <w:vAlign w:val="bottom"/>
          </w:tcPr>
          <w:p>
            <w:pPr>
              <w:spacing w:after="0"/>
              <w:rPr>
                <w:sz w:val="24"/>
                <w:szCs w:val="24"/>
                <w:color w:val="auto"/>
              </w:rPr>
            </w:pPr>
          </w:p>
        </w:tc>
        <w:tc>
          <w:tcPr>
            <w:tcW w:w="112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231F20"/>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rPr>
              <w:t>7.8</w:t>
            </w:r>
          </w:p>
        </w:tc>
        <w:tc>
          <w:tcPr>
            <w:tcW w:w="0" w:type="dxa"/>
            <w:vAlign w:val="bottom"/>
          </w:tcPr>
          <w:p>
            <w:pPr>
              <w:spacing w:after="0"/>
              <w:rPr>
                <w:sz w:val="1"/>
                <w:szCs w:val="1"/>
                <w:color w:val="auto"/>
              </w:rPr>
            </w:pPr>
          </w:p>
        </w:tc>
      </w:tr>
      <w:tr>
        <w:trPr>
          <w:trHeight w:val="277"/>
        </w:trPr>
        <w:tc>
          <w:tcPr>
            <w:tcW w:w="444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Common and collective trusts valued at net asset value:</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44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Equity security trusts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231F20"/>
              </w:rPr>
              <w:t>31.3</w:t>
            </w:r>
          </w:p>
        </w:tc>
        <w:tc>
          <w:tcPr>
            <w:tcW w:w="280" w:type="dxa"/>
            <w:vAlign w:val="bottom"/>
          </w:tcPr>
          <w:p>
            <w:pPr>
              <w:spacing w:after="0"/>
              <w:rPr>
                <w:sz w:val="24"/>
                <w:szCs w:val="24"/>
                <w:color w:val="auto"/>
              </w:rPr>
            </w:pPr>
          </w:p>
        </w:tc>
        <w:tc>
          <w:tcPr>
            <w:tcW w:w="112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231F20"/>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rPr>
              <w:t>—</w:t>
            </w:r>
          </w:p>
        </w:tc>
        <w:tc>
          <w:tcPr>
            <w:tcW w:w="0" w:type="dxa"/>
            <w:vAlign w:val="bottom"/>
          </w:tcPr>
          <w:p>
            <w:pPr>
              <w:spacing w:after="0"/>
              <w:rPr>
                <w:sz w:val="1"/>
                <w:szCs w:val="1"/>
                <w:color w:val="auto"/>
              </w:rPr>
            </w:pPr>
          </w:p>
        </w:tc>
      </w:tr>
      <w:tr>
        <w:trPr>
          <w:trHeight w:val="281"/>
        </w:trPr>
        <w:tc>
          <w:tcPr>
            <w:tcW w:w="444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Debt security trusts</w:t>
            </w:r>
          </w:p>
        </w:tc>
        <w:tc>
          <w:tcPr>
            <w:tcW w:w="180" w:type="dxa"/>
            <w:vAlign w:val="bottom"/>
            <w:tcBorders>
              <w:bottom w:val="single" w:sz="8" w:color="231F20"/>
            </w:tcBorders>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231F20"/>
              </w:rPr>
              <w:t>63.8</w:t>
            </w:r>
          </w:p>
        </w:tc>
        <w:tc>
          <w:tcPr>
            <w:tcW w:w="28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231F20"/>
              </w:rPr>
              <w:t>—</w:t>
            </w:r>
          </w:p>
        </w:tc>
        <w:tc>
          <w:tcPr>
            <w:tcW w:w="140" w:type="dxa"/>
            <w:vAlign w:val="bottom"/>
            <w:tcBorders>
              <w:bottom w:val="single" w:sz="8" w:color="231F20"/>
            </w:tcBorders>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b w:val="1"/>
                <w:bCs w:val="1"/>
                <w:color w:val="231F20"/>
              </w:rPr>
              <w:t>—</w:t>
            </w:r>
          </w:p>
        </w:tc>
        <w:tc>
          <w:tcPr>
            <w:tcW w:w="320" w:type="dxa"/>
            <w:vAlign w:val="bottom"/>
            <w:tcBorders>
              <w:bottom w:val="single" w:sz="8" w:color="231F20"/>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b w:val="1"/>
                <w:bCs w:val="1"/>
                <w:color w:val="231F20"/>
              </w:rPr>
              <w:t>—</w:t>
            </w:r>
          </w:p>
        </w:tc>
        <w:tc>
          <w:tcPr>
            <w:tcW w:w="0" w:type="dxa"/>
            <w:vAlign w:val="bottom"/>
          </w:tcPr>
          <w:p>
            <w:pPr>
              <w:spacing w:after="0"/>
              <w:rPr>
                <w:sz w:val="1"/>
                <w:szCs w:val="1"/>
                <w:color w:val="auto"/>
              </w:rPr>
            </w:pPr>
          </w:p>
        </w:tc>
      </w:tr>
      <w:tr>
        <w:trPr>
          <w:trHeight w:val="261"/>
        </w:trPr>
        <w:tc>
          <w:tcPr>
            <w:tcW w:w="4440" w:type="dxa"/>
            <w:vAlign w:val="bottom"/>
          </w:tcPr>
          <w:p>
            <w:pPr>
              <w:ind w:left="400"/>
              <w:spacing w:after="0"/>
              <w:rPr>
                <w:sz w:val="20"/>
                <w:szCs w:val="20"/>
                <w:color w:val="auto"/>
              </w:rPr>
            </w:pPr>
            <w:r>
              <w:rPr>
                <w:rFonts w:ascii="Times New Roman" w:cs="Times New Roman" w:eastAsia="Times New Roman" w:hAnsi="Times New Roman"/>
                <w:sz w:val="17"/>
                <w:szCs w:val="17"/>
                <w:color w:val="231F20"/>
              </w:rPr>
              <w:t>Total Plan Assets</w:t>
            </w:r>
          </w:p>
        </w:tc>
        <w:tc>
          <w:tcPr>
            <w:tcW w:w="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b w:val="1"/>
                <w:bCs w:val="1"/>
                <w:color w:val="231F20"/>
              </w:rPr>
              <w:t>$</w:t>
            </w:r>
          </w:p>
        </w:tc>
        <w:tc>
          <w:tcPr>
            <w:tcW w:w="22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231F20"/>
              </w:rPr>
              <w:t>112.8</w:t>
            </w:r>
          </w:p>
        </w:tc>
        <w:tc>
          <w:tcPr>
            <w:tcW w:w="280" w:type="dxa"/>
            <w:vAlign w:val="bottom"/>
            <w:tcBorders>
              <w:bottom w:val="single" w:sz="8" w:color="231F20"/>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231F20"/>
                <w:w w:val="93"/>
              </w:rPr>
              <w:t>$</w:t>
            </w:r>
          </w:p>
        </w:tc>
        <w:tc>
          <w:tcPr>
            <w:tcW w:w="1120" w:type="dxa"/>
            <w:vAlign w:val="bottom"/>
            <w:tcBorders>
              <w:bottom w:val="single" w:sz="8" w:color="231F20"/>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231F20"/>
              </w:rPr>
              <w:t>0.9</w:t>
            </w:r>
          </w:p>
        </w:tc>
        <w:tc>
          <w:tcPr>
            <w:tcW w:w="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b w:val="1"/>
                <w:bCs w:val="1"/>
                <w:color w:val="231F20"/>
                <w:w w:val="93"/>
              </w:rPr>
              <w:t>$</w:t>
            </w:r>
          </w:p>
        </w:tc>
        <w:tc>
          <w:tcPr>
            <w:tcW w:w="14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b w:val="1"/>
                <w:bCs w:val="1"/>
                <w:color w:val="231F20"/>
              </w:rPr>
              <w:t>9.1</w:t>
            </w:r>
          </w:p>
        </w:tc>
        <w:tc>
          <w:tcPr>
            <w:tcW w:w="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b w:val="1"/>
                <w:bCs w:val="1"/>
                <w:color w:val="231F20"/>
              </w:rPr>
              <w:t>$</w:t>
            </w:r>
          </w:p>
        </w:tc>
        <w:tc>
          <w:tcPr>
            <w:tcW w:w="16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b w:val="1"/>
                <w:bCs w:val="1"/>
                <w:color w:val="231F20"/>
              </w:rPr>
              <w:t>7.8</w:t>
            </w:r>
          </w:p>
        </w:tc>
        <w:tc>
          <w:tcPr>
            <w:tcW w:w="0" w:type="dxa"/>
            <w:vAlign w:val="bottom"/>
          </w:tcPr>
          <w:p>
            <w:pPr>
              <w:spacing w:after="0"/>
              <w:rPr>
                <w:sz w:val="1"/>
                <w:szCs w:val="1"/>
                <w:color w:val="auto"/>
              </w:rPr>
            </w:pPr>
          </w:p>
        </w:tc>
      </w:tr>
      <w:tr>
        <w:trPr>
          <w:trHeight w:val="436"/>
        </w:trPr>
        <w:tc>
          <w:tcPr>
            <w:tcW w:w="4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4120" w:type="dxa"/>
            <w:vAlign w:val="bottom"/>
            <w:tcBorders>
              <w:bottom w:val="single" w:sz="8" w:color="231F20"/>
            </w:tcBorders>
            <w:gridSpan w:val="8"/>
          </w:tcPr>
          <w:p>
            <w:pPr>
              <w:jc w:val="right"/>
              <w:ind w:right="13"/>
              <w:spacing w:after="0"/>
              <w:rPr>
                <w:sz w:val="20"/>
                <w:szCs w:val="20"/>
                <w:color w:val="auto"/>
              </w:rPr>
            </w:pPr>
            <w:r>
              <w:rPr>
                <w:rFonts w:ascii="Times New Roman" w:cs="Times New Roman" w:eastAsia="Times New Roman" w:hAnsi="Times New Roman"/>
                <w:sz w:val="17"/>
                <w:szCs w:val="17"/>
                <w:color w:val="231F20"/>
              </w:rPr>
              <w:t>Fair Value Measurements at March 31, 2025</w:t>
            </w:r>
          </w:p>
        </w:tc>
        <w:tc>
          <w:tcPr>
            <w:tcW w:w="100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231F20"/>
              </w:rPr>
              <w:t>Quoted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restart"/>
          </w:tcPr>
          <w:p>
            <w:pPr>
              <w:jc w:val="center"/>
              <w:ind w:left="13"/>
              <w:spacing w:after="0"/>
              <w:rPr>
                <w:sz w:val="20"/>
                <w:szCs w:val="20"/>
                <w:color w:val="auto"/>
              </w:rPr>
            </w:pPr>
            <w:r>
              <w:rPr>
                <w:rFonts w:ascii="Times New Roman" w:cs="Times New Roman" w:eastAsia="Times New Roman" w:hAnsi="Times New Roman"/>
                <w:sz w:val="17"/>
                <w:szCs w:val="17"/>
                <w:color w:val="231F20"/>
              </w:rPr>
              <w:t>Significant</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restart"/>
          </w:tcPr>
          <w:p>
            <w:pPr>
              <w:jc w:val="center"/>
              <w:ind w:right="73"/>
              <w:spacing w:after="0"/>
              <w:rPr>
                <w:sz w:val="20"/>
                <w:szCs w:val="20"/>
                <w:color w:val="auto"/>
              </w:rPr>
            </w:pPr>
            <w:r>
              <w:rPr>
                <w:rFonts w:ascii="Times New Roman" w:cs="Times New Roman" w:eastAsia="Times New Roman" w:hAnsi="Times New Roman"/>
                <w:sz w:val="17"/>
                <w:szCs w:val="17"/>
                <w:color w:val="231F20"/>
              </w:rPr>
              <w:t>Significant</w:t>
            </w:r>
          </w:p>
        </w:tc>
        <w:tc>
          <w:tcPr>
            <w:tcW w:w="0" w:type="dxa"/>
            <w:vAlign w:val="bottom"/>
          </w:tcPr>
          <w:p>
            <w:pPr>
              <w:spacing w:after="0"/>
              <w:rPr>
                <w:sz w:val="1"/>
                <w:szCs w:val="1"/>
                <w:color w:val="auto"/>
              </w:rPr>
            </w:pPr>
          </w:p>
        </w:tc>
      </w:tr>
      <w:tr>
        <w:trPr>
          <w:trHeight w:val="175"/>
        </w:trPr>
        <w:tc>
          <w:tcPr>
            <w:tcW w:w="4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color w:val="231F20"/>
              </w:rPr>
              <w:t>Prices in</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gridSpan w:val="2"/>
          </w:tcPr>
          <w:p>
            <w:pPr>
              <w:jc w:val="center"/>
              <w:ind w:left="113"/>
              <w:spacing w:after="0" w:line="175" w:lineRule="exact"/>
              <w:rPr>
                <w:sz w:val="20"/>
                <w:szCs w:val="20"/>
                <w:color w:val="auto"/>
              </w:rPr>
            </w:pPr>
            <w:r>
              <w:rPr>
                <w:rFonts w:ascii="Times New Roman" w:cs="Times New Roman" w:eastAsia="Times New Roman" w:hAnsi="Times New Roman"/>
                <w:sz w:val="17"/>
                <w:szCs w:val="17"/>
                <w:color w:val="231F20"/>
              </w:rPr>
              <w:t>Active Markets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left="33"/>
              <w:spacing w:after="0" w:line="175" w:lineRule="exact"/>
              <w:rPr>
                <w:sz w:val="20"/>
                <w:szCs w:val="20"/>
                <w:color w:val="auto"/>
              </w:rPr>
            </w:pPr>
            <w:r>
              <w:rPr>
                <w:rFonts w:ascii="Times New Roman" w:cs="Times New Roman" w:eastAsia="Times New Roman" w:hAnsi="Times New Roman"/>
                <w:sz w:val="17"/>
                <w:szCs w:val="17"/>
                <w:color w:val="231F20"/>
              </w:rPr>
              <w:t>Other</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73"/>
              <w:spacing w:after="0" w:line="175" w:lineRule="exact"/>
              <w:rPr>
                <w:sz w:val="20"/>
                <w:szCs w:val="20"/>
                <w:color w:val="auto"/>
              </w:rPr>
            </w:pPr>
            <w:r>
              <w:rPr>
                <w:rFonts w:ascii="Times New Roman" w:cs="Times New Roman" w:eastAsia="Times New Roman" w:hAnsi="Times New Roman"/>
                <w:sz w:val="17"/>
                <w:szCs w:val="17"/>
                <w:color w:val="231F20"/>
              </w:rPr>
              <w:t>Other</w:t>
            </w:r>
          </w:p>
        </w:tc>
        <w:tc>
          <w:tcPr>
            <w:tcW w:w="0" w:type="dxa"/>
            <w:vAlign w:val="bottom"/>
          </w:tcPr>
          <w:p>
            <w:pPr>
              <w:spacing w:after="0"/>
              <w:rPr>
                <w:sz w:val="1"/>
                <w:szCs w:val="1"/>
                <w:color w:val="auto"/>
              </w:rPr>
            </w:pPr>
          </w:p>
        </w:tc>
      </w:tr>
      <w:tr>
        <w:trPr>
          <w:trHeight w:val="175"/>
        </w:trPr>
        <w:tc>
          <w:tcPr>
            <w:tcW w:w="4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center"/>
              <w:ind w:right="13"/>
              <w:spacing w:after="0" w:line="175" w:lineRule="exact"/>
              <w:rPr>
                <w:sz w:val="20"/>
                <w:szCs w:val="20"/>
                <w:color w:val="auto"/>
              </w:rPr>
            </w:pPr>
            <w:r>
              <w:rPr>
                <w:rFonts w:ascii="Times New Roman" w:cs="Times New Roman" w:eastAsia="Times New Roman" w:hAnsi="Times New Roman"/>
                <w:sz w:val="17"/>
                <w:szCs w:val="17"/>
                <w:color w:val="231F20"/>
              </w:rPr>
              <w:t>for Identical</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left="33"/>
              <w:spacing w:after="0" w:line="175" w:lineRule="exact"/>
              <w:rPr>
                <w:sz w:val="20"/>
                <w:szCs w:val="20"/>
                <w:color w:val="auto"/>
              </w:rPr>
            </w:pPr>
            <w:r>
              <w:rPr>
                <w:rFonts w:ascii="Times New Roman" w:cs="Times New Roman" w:eastAsia="Times New Roman" w:hAnsi="Times New Roman"/>
                <w:sz w:val="17"/>
                <w:szCs w:val="17"/>
                <w:color w:val="231F20"/>
              </w:rPr>
              <w:t>Observable</w:t>
            </w:r>
          </w:p>
        </w:tc>
        <w:tc>
          <w:tcPr>
            <w:tcW w:w="320" w:type="dxa"/>
            <w:vAlign w:val="bottom"/>
          </w:tcPr>
          <w:p>
            <w:pPr>
              <w:spacing w:after="0"/>
              <w:rPr>
                <w:sz w:val="15"/>
                <w:szCs w:val="15"/>
                <w:color w:val="auto"/>
              </w:rPr>
            </w:pPr>
          </w:p>
        </w:tc>
        <w:tc>
          <w:tcPr>
            <w:tcW w:w="1160" w:type="dxa"/>
            <w:vAlign w:val="bottom"/>
            <w:gridSpan w:val="2"/>
          </w:tcPr>
          <w:p>
            <w:pPr>
              <w:jc w:val="center"/>
              <w:spacing w:after="0" w:line="175" w:lineRule="exact"/>
              <w:rPr>
                <w:sz w:val="20"/>
                <w:szCs w:val="20"/>
                <w:color w:val="auto"/>
              </w:rPr>
            </w:pPr>
            <w:r>
              <w:rPr>
                <w:rFonts w:ascii="Times New Roman" w:cs="Times New Roman" w:eastAsia="Times New Roman" w:hAnsi="Times New Roman"/>
                <w:sz w:val="17"/>
                <w:szCs w:val="17"/>
                <w:color w:val="231F20"/>
              </w:rPr>
              <w:t>Unobservable</w:t>
            </w:r>
          </w:p>
        </w:tc>
        <w:tc>
          <w:tcPr>
            <w:tcW w:w="0" w:type="dxa"/>
            <w:vAlign w:val="bottom"/>
          </w:tcPr>
          <w:p>
            <w:pPr>
              <w:spacing w:after="0"/>
              <w:rPr>
                <w:sz w:val="1"/>
                <w:szCs w:val="1"/>
                <w:color w:val="auto"/>
              </w:rPr>
            </w:pPr>
          </w:p>
        </w:tc>
      </w:tr>
      <w:tr>
        <w:trPr>
          <w:trHeight w:val="175"/>
        </w:trPr>
        <w:tc>
          <w:tcPr>
            <w:tcW w:w="4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231F20"/>
              </w:rPr>
              <w:t>(in millions)</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restart"/>
          </w:tcPr>
          <w:p>
            <w:pPr>
              <w:jc w:val="right"/>
              <w:ind w:right="333"/>
              <w:spacing w:after="0"/>
              <w:rPr>
                <w:sz w:val="20"/>
                <w:szCs w:val="20"/>
                <w:color w:val="auto"/>
              </w:rPr>
            </w:pPr>
            <w:r>
              <w:rPr>
                <w:rFonts w:ascii="Times New Roman" w:cs="Times New Roman" w:eastAsia="Times New Roman" w:hAnsi="Times New Roman"/>
                <w:sz w:val="17"/>
                <w:szCs w:val="17"/>
                <w:color w:val="231F20"/>
              </w:rPr>
              <w:t>Total</w:t>
            </w:r>
          </w:p>
        </w:tc>
        <w:tc>
          <w:tcPr>
            <w:tcW w:w="280" w:type="dxa"/>
            <w:vAlign w:val="bottom"/>
          </w:tcPr>
          <w:p>
            <w:pPr>
              <w:spacing w:after="0"/>
              <w:rPr>
                <w:sz w:val="15"/>
                <w:szCs w:val="15"/>
                <w:color w:val="auto"/>
              </w:rPr>
            </w:pPr>
          </w:p>
        </w:tc>
        <w:tc>
          <w:tcPr>
            <w:tcW w:w="1120" w:type="dxa"/>
            <w:vAlign w:val="bottom"/>
          </w:tcPr>
          <w:p>
            <w:pPr>
              <w:jc w:val="center"/>
              <w:ind w:right="13"/>
              <w:spacing w:after="0" w:line="175" w:lineRule="exact"/>
              <w:rPr>
                <w:sz w:val="20"/>
                <w:szCs w:val="20"/>
                <w:color w:val="auto"/>
              </w:rPr>
            </w:pPr>
            <w:r>
              <w:rPr>
                <w:rFonts w:ascii="Times New Roman" w:cs="Times New Roman" w:eastAsia="Times New Roman" w:hAnsi="Times New Roman"/>
                <w:sz w:val="17"/>
                <w:szCs w:val="17"/>
                <w:color w:val="231F20"/>
              </w:rPr>
              <w:t>Assets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left="33"/>
              <w:spacing w:after="0" w:line="175" w:lineRule="exact"/>
              <w:rPr>
                <w:sz w:val="20"/>
                <w:szCs w:val="20"/>
                <w:color w:val="auto"/>
              </w:rPr>
            </w:pPr>
            <w:r>
              <w:rPr>
                <w:rFonts w:ascii="Times New Roman" w:cs="Times New Roman" w:eastAsia="Times New Roman" w:hAnsi="Times New Roman"/>
                <w:sz w:val="17"/>
                <w:szCs w:val="17"/>
                <w:color w:val="231F20"/>
              </w:rPr>
              <w:t>Inputs</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73"/>
              <w:spacing w:after="0" w:line="175" w:lineRule="exact"/>
              <w:rPr>
                <w:sz w:val="20"/>
                <w:szCs w:val="20"/>
                <w:color w:val="auto"/>
              </w:rPr>
            </w:pPr>
            <w:r>
              <w:rPr>
                <w:rFonts w:ascii="Times New Roman" w:cs="Times New Roman" w:eastAsia="Times New Roman" w:hAnsi="Times New Roman"/>
                <w:sz w:val="17"/>
                <w:szCs w:val="17"/>
                <w:color w:val="231F20"/>
              </w:rPr>
              <w:t>Inputs</w:t>
            </w:r>
          </w:p>
        </w:tc>
        <w:tc>
          <w:tcPr>
            <w:tcW w:w="0" w:type="dxa"/>
            <w:vAlign w:val="bottom"/>
          </w:tcPr>
          <w:p>
            <w:pPr>
              <w:spacing w:after="0"/>
              <w:rPr>
                <w:sz w:val="1"/>
                <w:szCs w:val="1"/>
                <w:color w:val="auto"/>
              </w:rPr>
            </w:pPr>
          </w:p>
        </w:tc>
      </w:tr>
      <w:tr>
        <w:trPr>
          <w:trHeight w:val="231"/>
        </w:trPr>
        <w:tc>
          <w:tcPr>
            <w:tcW w:w="4440" w:type="dxa"/>
            <w:vAlign w:val="bottom"/>
            <w:tcBorders>
              <w:bottom w:val="single" w:sz="8" w:color="231F20"/>
            </w:tcBorders>
            <w:vMerge w:val="continue"/>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1040" w:type="dxa"/>
            <w:vAlign w:val="bottom"/>
            <w:tcBorders>
              <w:bottom w:val="single" w:sz="8" w:color="231F20"/>
            </w:tcBorders>
            <w:vMerge w:val="continue"/>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11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7"/>
                <w:szCs w:val="17"/>
                <w:color w:val="231F20"/>
              </w:rPr>
              <w:t>(Level 1)</w:t>
            </w:r>
          </w:p>
        </w:tc>
        <w:tc>
          <w:tcPr>
            <w:tcW w:w="140" w:type="dxa"/>
            <w:vAlign w:val="bottom"/>
            <w:tcBorders>
              <w:bottom w:val="single" w:sz="8" w:color="231F20"/>
            </w:tcBorders>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center"/>
              <w:ind w:left="33"/>
              <w:spacing w:after="0"/>
              <w:rPr>
                <w:sz w:val="20"/>
                <w:szCs w:val="20"/>
                <w:color w:val="auto"/>
              </w:rPr>
            </w:pPr>
            <w:r>
              <w:rPr>
                <w:rFonts w:ascii="Times New Roman" w:cs="Times New Roman" w:eastAsia="Times New Roman" w:hAnsi="Times New Roman"/>
                <w:sz w:val="17"/>
                <w:szCs w:val="17"/>
                <w:color w:val="231F20"/>
              </w:rPr>
              <w:t>(Level 2)</w:t>
            </w:r>
          </w:p>
        </w:tc>
        <w:tc>
          <w:tcPr>
            <w:tcW w:w="320" w:type="dxa"/>
            <w:vAlign w:val="bottom"/>
            <w:tcBorders>
              <w:bottom w:val="single" w:sz="8" w:color="231F20"/>
            </w:tcBorders>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center"/>
              <w:ind w:right="73"/>
              <w:spacing w:after="0"/>
              <w:rPr>
                <w:sz w:val="20"/>
                <w:szCs w:val="20"/>
                <w:color w:val="auto"/>
              </w:rPr>
            </w:pPr>
            <w:r>
              <w:rPr>
                <w:rFonts w:ascii="Times New Roman" w:cs="Times New Roman" w:eastAsia="Times New Roman" w:hAnsi="Times New Roman"/>
                <w:sz w:val="17"/>
                <w:szCs w:val="17"/>
                <w:color w:val="231F20"/>
              </w:rPr>
              <w:t>(Level 3)</w:t>
            </w:r>
          </w:p>
        </w:tc>
        <w:tc>
          <w:tcPr>
            <w:tcW w:w="0" w:type="dxa"/>
            <w:vAlign w:val="bottom"/>
          </w:tcPr>
          <w:p>
            <w:pPr>
              <w:spacing w:after="0"/>
              <w:rPr>
                <w:sz w:val="1"/>
                <w:szCs w:val="1"/>
                <w:color w:val="auto"/>
              </w:rPr>
            </w:pPr>
          </w:p>
        </w:tc>
      </w:tr>
      <w:tr>
        <w:trPr>
          <w:trHeight w:val="252"/>
        </w:trPr>
        <w:tc>
          <w:tcPr>
            <w:tcW w:w="444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Cash</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0.4</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0.4</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920" w:type="dxa"/>
            <w:vAlign w:val="bottom"/>
          </w:tcPr>
          <w:p>
            <w:pPr>
              <w:spacing w:after="0"/>
              <w:rPr>
                <w:sz w:val="21"/>
                <w:szCs w:val="21"/>
                <w:color w:val="auto"/>
              </w:rPr>
            </w:pPr>
          </w:p>
        </w:tc>
        <w:tc>
          <w:tcPr>
            <w:tcW w:w="3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231F20"/>
                <w:w w:val="93"/>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0" w:type="dxa"/>
            <w:vAlign w:val="bottom"/>
          </w:tcPr>
          <w:p>
            <w:pPr>
              <w:spacing w:after="0"/>
              <w:rPr>
                <w:sz w:val="1"/>
                <w:szCs w:val="1"/>
                <w:color w:val="auto"/>
              </w:rPr>
            </w:pPr>
          </w:p>
        </w:tc>
      </w:tr>
      <w:tr>
        <w:trPr>
          <w:trHeight w:val="277"/>
        </w:trPr>
        <w:tc>
          <w:tcPr>
            <w:tcW w:w="444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Insured annuities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9.9</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231F20"/>
              </w:rPr>
              <w:t>9.9</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0" w:type="dxa"/>
            <w:vAlign w:val="bottom"/>
          </w:tcPr>
          <w:p>
            <w:pPr>
              <w:spacing w:after="0"/>
              <w:rPr>
                <w:sz w:val="1"/>
                <w:szCs w:val="1"/>
                <w:color w:val="auto"/>
              </w:rPr>
            </w:pPr>
          </w:p>
        </w:tc>
      </w:tr>
      <w:tr>
        <w:trPr>
          <w:trHeight w:val="277"/>
        </w:trPr>
        <w:tc>
          <w:tcPr>
            <w:tcW w:w="444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Insurance contracts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6.9</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231F20"/>
                <w:w w:val="93"/>
              </w:rPr>
              <w:t>—</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6.9</w:t>
            </w:r>
          </w:p>
        </w:tc>
        <w:tc>
          <w:tcPr>
            <w:tcW w:w="0" w:type="dxa"/>
            <w:vAlign w:val="bottom"/>
          </w:tcPr>
          <w:p>
            <w:pPr>
              <w:spacing w:after="0"/>
              <w:rPr>
                <w:sz w:val="1"/>
                <w:szCs w:val="1"/>
                <w:color w:val="auto"/>
              </w:rPr>
            </w:pPr>
          </w:p>
        </w:tc>
      </w:tr>
      <w:tr>
        <w:trPr>
          <w:trHeight w:val="277"/>
        </w:trPr>
        <w:tc>
          <w:tcPr>
            <w:tcW w:w="444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Common and collective trusts valued at net asset value:</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44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Equity security trusts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39.8</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231F20"/>
                <w:w w:val="93"/>
              </w:rPr>
              <w:t>—</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0" w:type="dxa"/>
            <w:vAlign w:val="bottom"/>
          </w:tcPr>
          <w:p>
            <w:pPr>
              <w:spacing w:after="0"/>
              <w:rPr>
                <w:sz w:val="1"/>
                <w:szCs w:val="1"/>
                <w:color w:val="auto"/>
              </w:rPr>
            </w:pPr>
          </w:p>
        </w:tc>
      </w:tr>
      <w:tr>
        <w:trPr>
          <w:trHeight w:val="281"/>
        </w:trPr>
        <w:tc>
          <w:tcPr>
            <w:tcW w:w="444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Debt security trusts</w:t>
            </w:r>
          </w:p>
        </w:tc>
        <w:tc>
          <w:tcPr>
            <w:tcW w:w="180" w:type="dxa"/>
            <w:vAlign w:val="bottom"/>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52.3</w:t>
            </w:r>
          </w:p>
        </w:tc>
        <w:tc>
          <w:tcPr>
            <w:tcW w:w="28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140" w:type="dxa"/>
            <w:vAlign w:val="bottom"/>
            <w:tcBorders>
              <w:bottom w:val="single" w:sz="8" w:color="231F20"/>
            </w:tcBorders>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spacing w:after="0"/>
              <w:rPr>
                <w:sz w:val="24"/>
                <w:szCs w:val="24"/>
                <w:color w:val="auto"/>
              </w:rPr>
            </w:pPr>
          </w:p>
        </w:tc>
        <w:tc>
          <w:tcPr>
            <w:tcW w:w="320" w:type="dxa"/>
            <w:vAlign w:val="bottom"/>
            <w:tcBorders>
              <w:bottom w:val="single" w:sz="8" w:color="231F20"/>
            </w:tcBorders>
          </w:tcPr>
          <w:p>
            <w:pPr>
              <w:jc w:val="right"/>
              <w:ind w:right="53"/>
              <w:spacing w:after="0"/>
              <w:rPr>
                <w:sz w:val="20"/>
                <w:szCs w:val="20"/>
                <w:color w:val="auto"/>
              </w:rPr>
            </w:pPr>
            <w:r>
              <w:rPr>
                <w:rFonts w:ascii="Times New Roman" w:cs="Times New Roman" w:eastAsia="Times New Roman" w:hAnsi="Times New Roman"/>
                <w:sz w:val="17"/>
                <w:szCs w:val="17"/>
                <w:color w:val="231F20"/>
                <w:w w:val="93"/>
              </w:rPr>
              <w:t>—</w:t>
            </w:r>
          </w:p>
        </w:tc>
        <w:tc>
          <w:tcPr>
            <w:tcW w:w="16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0" w:type="dxa"/>
            <w:vAlign w:val="bottom"/>
          </w:tcPr>
          <w:p>
            <w:pPr>
              <w:spacing w:after="0"/>
              <w:rPr>
                <w:sz w:val="1"/>
                <w:szCs w:val="1"/>
                <w:color w:val="auto"/>
              </w:rPr>
            </w:pPr>
          </w:p>
        </w:tc>
      </w:tr>
      <w:tr>
        <w:trPr>
          <w:trHeight w:val="261"/>
        </w:trPr>
        <w:tc>
          <w:tcPr>
            <w:tcW w:w="4440" w:type="dxa"/>
            <w:vAlign w:val="bottom"/>
          </w:tcPr>
          <w:p>
            <w:pPr>
              <w:ind w:left="400"/>
              <w:spacing w:after="0"/>
              <w:rPr>
                <w:sz w:val="20"/>
                <w:szCs w:val="20"/>
                <w:color w:val="auto"/>
              </w:rPr>
            </w:pPr>
            <w:r>
              <w:rPr>
                <w:rFonts w:ascii="Times New Roman" w:cs="Times New Roman" w:eastAsia="Times New Roman" w:hAnsi="Times New Roman"/>
                <w:sz w:val="17"/>
                <w:szCs w:val="17"/>
                <w:color w:val="231F20"/>
              </w:rPr>
              <w:t>Total Plan Assets</w:t>
            </w:r>
          </w:p>
        </w:tc>
        <w:tc>
          <w:tcPr>
            <w:tcW w:w="180" w:type="dxa"/>
            <w:vAlign w:val="bottom"/>
          </w:tcPr>
          <w:p>
            <w:pPr>
              <w:spacing w:after="0"/>
              <w:rPr>
                <w:sz w:val="22"/>
                <w:szCs w:val="22"/>
                <w:color w:val="auto"/>
              </w:rPr>
            </w:pPr>
          </w:p>
        </w:tc>
        <w:tc>
          <w:tcPr>
            <w:tcW w:w="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109.3</w:t>
            </w:r>
          </w:p>
        </w:tc>
        <w:tc>
          <w:tcPr>
            <w:tcW w:w="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0.4</w:t>
            </w:r>
          </w:p>
        </w:tc>
        <w:tc>
          <w:tcPr>
            <w:tcW w:w="140" w:type="dxa"/>
            <w:vAlign w:val="bottom"/>
            <w:tcBorders>
              <w:bottom w:val="single" w:sz="8" w:color="231F20"/>
            </w:tcBorders>
          </w:tcPr>
          <w:p>
            <w:pPr>
              <w:spacing w:after="0"/>
              <w:rPr>
                <w:sz w:val="22"/>
                <w:szCs w:val="22"/>
                <w:color w:val="auto"/>
              </w:rPr>
            </w:pPr>
          </w:p>
        </w:tc>
        <w:tc>
          <w:tcPr>
            <w:tcW w:w="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1240" w:type="dxa"/>
            <w:vAlign w:val="bottom"/>
            <w:tcBorders>
              <w:bottom w:val="single" w:sz="8" w:color="231F20"/>
            </w:tcBorders>
            <w:gridSpan w:val="2"/>
          </w:tcPr>
          <w:p>
            <w:pPr>
              <w:jc w:val="right"/>
              <w:ind w:right="53"/>
              <w:spacing w:after="0"/>
              <w:rPr>
                <w:sz w:val="20"/>
                <w:szCs w:val="20"/>
                <w:color w:val="auto"/>
              </w:rPr>
            </w:pPr>
            <w:r>
              <w:rPr>
                <w:rFonts w:ascii="Times New Roman" w:cs="Times New Roman" w:eastAsia="Times New Roman" w:hAnsi="Times New Roman"/>
                <w:sz w:val="17"/>
                <w:szCs w:val="17"/>
                <w:color w:val="231F20"/>
              </w:rPr>
              <w:t>9.9</w:t>
            </w:r>
          </w:p>
        </w:tc>
        <w:tc>
          <w:tcPr>
            <w:tcW w:w="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6.9</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firstLine="349"/>
        <w:spacing w:after="0" w:line="274" w:lineRule="auto"/>
        <w:rPr>
          <w:sz w:val="20"/>
          <w:szCs w:val="20"/>
          <w:color w:val="auto"/>
        </w:rPr>
      </w:pPr>
      <w:r>
        <w:rPr>
          <w:rFonts w:ascii="Times New Roman" w:cs="Times New Roman" w:eastAsia="Times New Roman" w:hAnsi="Times New Roman"/>
          <w:sz w:val="19"/>
          <w:szCs w:val="19"/>
          <w:color w:val="231F20"/>
        </w:rPr>
        <w:t>Collective investment trusts are measured at fair value using the net asset value per share practical expedient. These trusts have not been categorized in the fair value hierarchy and are being presented in the tables above to permit a reconciliation of the fair value hierarchy to the total plan assets.</w:t>
      </w:r>
    </w:p>
    <w:p>
      <w:pPr>
        <w:sectPr>
          <w:pgSz w:w="11880" w:h="15480" w:orient="portrait"/>
          <w:cols w:equalWidth="0" w:num="1">
            <w:col w:w="9960"/>
          </w:cols>
          <w:pgMar w:left="960" w:top="25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86</w:t>
      </w:r>
    </w:p>
    <w:p>
      <w:pPr>
        <w:sectPr>
          <w:pgSz w:w="11880" w:h="15480" w:orient="portrait"/>
          <w:cols w:equalWidth="0" w:num="1">
            <w:col w:w="9960"/>
          </w:cols>
          <w:pgMar w:left="960" w:top="250" w:right="960" w:bottom="0" w:gutter="0" w:footer="0" w:header="0"/>
          <w:type w:val="continuous"/>
        </w:sectPr>
      </w:pPr>
    </w:p>
    <w:bookmarkStart w:id="87" w:name="page88"/>
    <w:bookmarkEnd w:id="87"/>
    <w:p>
      <w:pPr>
        <w:jc w:val="center"/>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00" w:firstLine="349"/>
        <w:spacing w:after="0" w:line="293" w:lineRule="auto"/>
        <w:rPr>
          <w:sz w:val="20"/>
          <w:szCs w:val="20"/>
          <w:color w:val="auto"/>
        </w:rPr>
      </w:pPr>
      <w:r>
        <w:rPr>
          <w:rFonts w:ascii="Times New Roman" w:cs="Times New Roman" w:eastAsia="Times New Roman" w:hAnsi="Times New Roman"/>
          <w:sz w:val="19"/>
          <w:szCs w:val="19"/>
          <w:color w:val="231F20"/>
        </w:rPr>
        <w:t>The fair value measurement of plan assets using significant unobservable inputs (Level 3) changed during fiscal year 2026 due to the following:</w:t>
      </w:r>
    </w:p>
    <w:p>
      <w:pPr>
        <w:spacing w:after="0" w:line="7"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1600" w:type="dxa"/>
            <w:vAlign w:val="bottom"/>
            <w:vMerge w:val="restart"/>
          </w:tcPr>
          <w:p>
            <w:pPr>
              <w:jc w:val="right"/>
              <w:ind w:right="552"/>
              <w:spacing w:after="0"/>
              <w:rPr>
                <w:sz w:val="20"/>
                <w:szCs w:val="20"/>
                <w:color w:val="auto"/>
              </w:rPr>
            </w:pPr>
            <w:r>
              <w:rPr>
                <w:rFonts w:ascii="Times New Roman" w:cs="Times New Roman" w:eastAsia="Times New Roman" w:hAnsi="Times New Roman"/>
                <w:sz w:val="19"/>
                <w:szCs w:val="19"/>
                <w:color w:val="231F20"/>
                <w:w w:val="99"/>
              </w:rPr>
              <w:t>(in millions)</w:t>
            </w:r>
          </w:p>
        </w:tc>
        <w:tc>
          <w:tcPr>
            <w:tcW w:w="7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231F20"/>
              </w:rPr>
              <w:t>Insurance</w:t>
            </w:r>
          </w:p>
        </w:tc>
        <w:tc>
          <w:tcPr>
            <w:tcW w:w="0" w:type="dxa"/>
            <w:vAlign w:val="bottom"/>
          </w:tcPr>
          <w:p>
            <w:pPr>
              <w:spacing w:after="0"/>
              <w:rPr>
                <w:sz w:val="1"/>
                <w:szCs w:val="1"/>
                <w:color w:val="auto"/>
              </w:rPr>
            </w:pPr>
          </w:p>
        </w:tc>
      </w:tr>
      <w:tr>
        <w:trPr>
          <w:trHeight w:val="231"/>
        </w:trPr>
        <w:tc>
          <w:tcPr>
            <w:tcW w:w="1600" w:type="dxa"/>
            <w:vAlign w:val="bottom"/>
            <w:vMerge w:val="continue"/>
          </w:tcPr>
          <w:p>
            <w:pPr>
              <w:spacing w:after="0"/>
              <w:rPr>
                <w:sz w:val="20"/>
                <w:szCs w:val="20"/>
                <w:color w:val="auto"/>
              </w:rPr>
            </w:pPr>
          </w:p>
        </w:tc>
        <w:tc>
          <w:tcPr>
            <w:tcW w:w="706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1040" w:type="dxa"/>
            <w:vAlign w:val="bottom"/>
            <w:tcBorders>
              <w:bottom w:val="single" w:sz="8" w:color="231F20"/>
            </w:tcBorders>
          </w:tcPr>
          <w:p>
            <w:pPr>
              <w:jc w:val="right"/>
              <w:ind w:right="213"/>
              <w:spacing w:after="0"/>
              <w:rPr>
                <w:sz w:val="20"/>
                <w:szCs w:val="20"/>
                <w:color w:val="auto"/>
              </w:rPr>
            </w:pPr>
            <w:r>
              <w:rPr>
                <w:rFonts w:ascii="Times New Roman" w:cs="Times New Roman" w:eastAsia="Times New Roman" w:hAnsi="Times New Roman"/>
                <w:sz w:val="17"/>
                <w:szCs w:val="17"/>
                <w:color w:val="231F20"/>
              </w:rPr>
              <w:t>contracts</w:t>
            </w:r>
          </w:p>
        </w:tc>
        <w:tc>
          <w:tcPr>
            <w:tcW w:w="0" w:type="dxa"/>
            <w:vAlign w:val="bottom"/>
          </w:tcPr>
          <w:p>
            <w:pPr>
              <w:spacing w:after="0"/>
              <w:rPr>
                <w:sz w:val="1"/>
                <w:szCs w:val="1"/>
                <w:color w:val="auto"/>
              </w:rPr>
            </w:pPr>
          </w:p>
        </w:tc>
      </w:tr>
      <w:tr>
        <w:trPr>
          <w:trHeight w:val="252"/>
        </w:trPr>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rPr>
              <w:t>Balance at March 31,</w:t>
            </w:r>
          </w:p>
        </w:tc>
        <w:tc>
          <w:tcPr>
            <w:tcW w:w="7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231F20"/>
              </w:rPr>
              <w:t>2024</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6.1</w:t>
            </w:r>
          </w:p>
        </w:tc>
        <w:tc>
          <w:tcPr>
            <w:tcW w:w="0" w:type="dxa"/>
            <w:vAlign w:val="bottom"/>
          </w:tcPr>
          <w:p>
            <w:pPr>
              <w:spacing w:after="0"/>
              <w:rPr>
                <w:sz w:val="1"/>
                <w:szCs w:val="1"/>
                <w:color w:val="auto"/>
              </w:rPr>
            </w:pPr>
          </w:p>
        </w:tc>
      </w:tr>
      <w:tr>
        <w:trPr>
          <w:trHeight w:val="277"/>
        </w:trPr>
        <w:tc>
          <w:tcPr>
            <w:tcW w:w="86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231F20"/>
              </w:rPr>
              <w:t>Gains (losses) related to assets still held at year-end</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0.1</w:t>
            </w:r>
          </w:p>
        </w:tc>
        <w:tc>
          <w:tcPr>
            <w:tcW w:w="0" w:type="dxa"/>
            <w:vAlign w:val="bottom"/>
          </w:tcPr>
          <w:p>
            <w:pPr>
              <w:spacing w:after="0"/>
              <w:rPr>
                <w:sz w:val="1"/>
                <w:szCs w:val="1"/>
                <w:color w:val="auto"/>
              </w:rPr>
            </w:pPr>
          </w:p>
        </w:tc>
      </w:tr>
      <w:tr>
        <w:trPr>
          <w:trHeight w:val="277"/>
        </w:trPr>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Transfers into Level</w:t>
            </w:r>
          </w:p>
        </w:tc>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231F20"/>
              </w:rPr>
              <w:t>3</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0.6</w:t>
            </w:r>
          </w:p>
        </w:tc>
        <w:tc>
          <w:tcPr>
            <w:tcW w:w="0" w:type="dxa"/>
            <w:vAlign w:val="bottom"/>
          </w:tcPr>
          <w:p>
            <w:pPr>
              <w:spacing w:after="0"/>
              <w:rPr>
                <w:sz w:val="1"/>
                <w:szCs w:val="1"/>
                <w:color w:val="auto"/>
              </w:rPr>
            </w:pPr>
          </w:p>
        </w:tc>
      </w:tr>
      <w:tr>
        <w:trPr>
          <w:trHeight w:val="281"/>
        </w:trPr>
        <w:tc>
          <w:tcPr>
            <w:tcW w:w="1600" w:type="dxa"/>
            <w:vAlign w:val="bottom"/>
          </w:tcPr>
          <w:p>
            <w:pPr>
              <w:ind w:left="160"/>
              <w:spacing w:after="0"/>
              <w:rPr>
                <w:sz w:val="20"/>
                <w:szCs w:val="20"/>
                <w:color w:val="auto"/>
              </w:rPr>
            </w:pPr>
            <w:r>
              <w:rPr>
                <w:rFonts w:ascii="Times New Roman" w:cs="Times New Roman" w:eastAsia="Times New Roman" w:hAnsi="Times New Roman"/>
                <w:sz w:val="17"/>
                <w:szCs w:val="17"/>
                <w:color w:val="231F20"/>
              </w:rPr>
              <w:t>Foreign currency</w:t>
            </w:r>
          </w:p>
        </w:tc>
        <w:tc>
          <w:tcPr>
            <w:tcW w:w="706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0.1</w:t>
            </w:r>
          </w:p>
        </w:tc>
        <w:tc>
          <w:tcPr>
            <w:tcW w:w="0" w:type="dxa"/>
            <w:vAlign w:val="bottom"/>
          </w:tcPr>
          <w:p>
            <w:pPr>
              <w:spacing w:after="0"/>
              <w:rPr>
                <w:sz w:val="1"/>
                <w:szCs w:val="1"/>
                <w:color w:val="auto"/>
              </w:rPr>
            </w:pPr>
          </w:p>
        </w:tc>
      </w:tr>
      <w:tr>
        <w:trPr>
          <w:trHeight w:val="252"/>
        </w:trPr>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rPr>
              <w:t>Balance at March 31,</w:t>
            </w:r>
          </w:p>
        </w:tc>
        <w:tc>
          <w:tcPr>
            <w:tcW w:w="7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231F20"/>
              </w:rPr>
              <w:t>2025</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6.9</w:t>
            </w:r>
          </w:p>
        </w:tc>
        <w:tc>
          <w:tcPr>
            <w:tcW w:w="0" w:type="dxa"/>
            <w:vAlign w:val="bottom"/>
          </w:tcPr>
          <w:p>
            <w:pPr>
              <w:spacing w:after="0"/>
              <w:rPr>
                <w:sz w:val="1"/>
                <w:szCs w:val="1"/>
                <w:color w:val="auto"/>
              </w:rPr>
            </w:pPr>
          </w:p>
        </w:tc>
      </w:tr>
      <w:tr>
        <w:trPr>
          <w:trHeight w:val="291"/>
        </w:trPr>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Transfers into Level</w:t>
            </w:r>
          </w:p>
        </w:tc>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231F20"/>
              </w:rPr>
              <w:t>3</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rPr>
              <w:t>0.2</w:t>
            </w:r>
          </w:p>
        </w:tc>
        <w:tc>
          <w:tcPr>
            <w:tcW w:w="0" w:type="dxa"/>
            <w:vAlign w:val="bottom"/>
          </w:tcPr>
          <w:p>
            <w:pPr>
              <w:spacing w:after="0"/>
              <w:rPr>
                <w:sz w:val="1"/>
                <w:szCs w:val="1"/>
                <w:color w:val="auto"/>
              </w:rPr>
            </w:pPr>
          </w:p>
        </w:tc>
      </w:tr>
      <w:tr>
        <w:trPr>
          <w:trHeight w:val="295"/>
        </w:trPr>
        <w:tc>
          <w:tcPr>
            <w:tcW w:w="1600" w:type="dxa"/>
            <w:vAlign w:val="bottom"/>
          </w:tcPr>
          <w:p>
            <w:pPr>
              <w:ind w:left="160"/>
              <w:spacing w:after="0"/>
              <w:rPr>
                <w:sz w:val="20"/>
                <w:szCs w:val="20"/>
                <w:color w:val="auto"/>
              </w:rPr>
            </w:pPr>
            <w:r>
              <w:rPr>
                <w:rFonts w:ascii="Times New Roman" w:cs="Times New Roman" w:eastAsia="Times New Roman" w:hAnsi="Times New Roman"/>
                <w:sz w:val="17"/>
                <w:szCs w:val="17"/>
                <w:color w:val="231F20"/>
              </w:rPr>
              <w:t>Foreign currency</w:t>
            </w:r>
          </w:p>
        </w:tc>
        <w:tc>
          <w:tcPr>
            <w:tcW w:w="706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b w:val="1"/>
                <w:bCs w:val="1"/>
                <w:color w:val="231F20"/>
              </w:rPr>
              <w:t>0.7</w:t>
            </w:r>
          </w:p>
        </w:tc>
        <w:tc>
          <w:tcPr>
            <w:tcW w:w="0" w:type="dxa"/>
            <w:vAlign w:val="bottom"/>
          </w:tcPr>
          <w:p>
            <w:pPr>
              <w:spacing w:after="0"/>
              <w:rPr>
                <w:sz w:val="1"/>
                <w:szCs w:val="1"/>
                <w:color w:val="auto"/>
              </w:rPr>
            </w:pPr>
          </w:p>
        </w:tc>
      </w:tr>
      <w:tr>
        <w:trPr>
          <w:trHeight w:val="276"/>
        </w:trPr>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rPr>
              <w:t>Balance at March 31,</w:t>
            </w:r>
          </w:p>
        </w:tc>
        <w:tc>
          <w:tcPr>
            <w:tcW w:w="7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231F20"/>
              </w:rPr>
              <w:t>2026</w:t>
            </w:r>
          </w:p>
        </w:tc>
        <w:tc>
          <w:tcPr>
            <w:tcW w:w="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b w:val="1"/>
                <w:bCs w:val="1"/>
                <w:color w:val="231F20"/>
              </w:rPr>
              <w:t>$</w:t>
            </w: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b w:val="1"/>
                <w:bCs w:val="1"/>
                <w:color w:val="231F20"/>
              </w:rPr>
              <w:t>7.8</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9"/>
          <w:szCs w:val="19"/>
          <w:b w:val="1"/>
          <w:bCs w:val="1"/>
          <w:color w:val="231F20"/>
        </w:rPr>
        <w:t xml:space="preserve">Cash Flows. </w:t>
      </w:r>
      <w:r>
        <w:rPr>
          <w:rFonts w:ascii="Times New Roman" w:cs="Times New Roman" w:eastAsia="Times New Roman" w:hAnsi="Times New Roman"/>
          <w:sz w:val="19"/>
          <w:szCs w:val="19"/>
          <w:color w:val="231F20"/>
        </w:rPr>
        <w:t>We contribute amounts to our defined benefit pension plans at least equal to the minimum amounts required by</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applicable employee benefit laws and local tax laws. We anticipate fiscal 2027 contributions to approximate those of fiscal 2026.</w:t>
      </w:r>
    </w:p>
    <w:p>
      <w:pPr>
        <w:spacing w:after="0" w:line="65" w:lineRule="exact"/>
        <w:rPr>
          <w:sz w:val="20"/>
          <w:szCs w:val="20"/>
          <w:color w:val="auto"/>
        </w:rPr>
      </w:pPr>
    </w:p>
    <w:p>
      <w:pPr>
        <w:ind w:right="200" w:firstLine="349"/>
        <w:spacing w:after="0" w:line="275" w:lineRule="auto"/>
        <w:rPr>
          <w:sz w:val="20"/>
          <w:szCs w:val="20"/>
          <w:color w:val="auto"/>
        </w:rPr>
      </w:pPr>
      <w:r>
        <w:rPr>
          <w:rFonts w:ascii="Times New Roman" w:cs="Times New Roman" w:eastAsia="Times New Roman" w:hAnsi="Times New Roman"/>
          <w:sz w:val="19"/>
          <w:szCs w:val="19"/>
          <w:color w:val="231F20"/>
        </w:rPr>
        <w:t>Based upon the actuarial assumptions utilized to develop our benefit obligations at March 31, 2026, the following benefit payments are expected to be made to plan participants:</w:t>
      </w:r>
    </w:p>
    <w:tbl>
      <w:tblPr>
        <w:tblLayout w:type="fixed"/>
        <w:tblInd w:w="0" w:type="dxa"/>
        <w:tblCellMar>
          <w:top w:w="0" w:type="dxa"/>
          <w:left w:w="0" w:type="dxa"/>
          <w:bottom w:w="0" w:type="dxa"/>
          <w:right w:w="0" w:type="dxa"/>
        </w:tblCellMar>
      </w:tblPr>
      <w:tr>
        <w:trPr>
          <w:trHeight w:val="177"/>
        </w:trPr>
        <w:tc>
          <w:tcPr>
            <w:tcW w:w="43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180" w:type="dxa"/>
            <w:vAlign w:val="bottom"/>
          </w:tcPr>
          <w:p>
            <w:pPr>
              <w:jc w:val="center"/>
              <w:ind w:right="73"/>
              <w:spacing w:after="0" w:line="177" w:lineRule="exact"/>
              <w:rPr>
                <w:sz w:val="20"/>
                <w:szCs w:val="20"/>
                <w:color w:val="auto"/>
              </w:rPr>
            </w:pPr>
            <w:r>
              <w:rPr>
                <w:rFonts w:ascii="Times New Roman" w:cs="Times New Roman" w:eastAsia="Times New Roman" w:hAnsi="Times New Roman"/>
                <w:sz w:val="17"/>
                <w:szCs w:val="17"/>
                <w:color w:val="231F20"/>
              </w:rPr>
              <w:t>Other Defined</w:t>
            </w:r>
          </w:p>
        </w:tc>
        <w:tc>
          <w:tcPr>
            <w:tcW w:w="200" w:type="dxa"/>
            <w:vAlign w:val="bottom"/>
          </w:tcPr>
          <w:p>
            <w:pPr>
              <w:spacing w:after="0"/>
              <w:rPr>
                <w:sz w:val="15"/>
                <w:szCs w:val="15"/>
                <w:color w:val="auto"/>
              </w:rPr>
            </w:pPr>
          </w:p>
        </w:tc>
        <w:tc>
          <w:tcPr>
            <w:tcW w:w="1120" w:type="dxa"/>
            <w:vAlign w:val="bottom"/>
          </w:tcPr>
          <w:p>
            <w:pPr>
              <w:jc w:val="center"/>
              <w:ind w:right="73"/>
              <w:spacing w:after="0" w:line="177" w:lineRule="exact"/>
              <w:rPr>
                <w:sz w:val="20"/>
                <w:szCs w:val="20"/>
                <w:color w:val="auto"/>
              </w:rPr>
            </w:pPr>
            <w:r>
              <w:rPr>
                <w:rFonts w:ascii="Times New Roman" w:cs="Times New Roman" w:eastAsia="Times New Roman" w:hAnsi="Times New Roman"/>
                <w:sz w:val="17"/>
                <w:szCs w:val="17"/>
                <w:color w:val="231F20"/>
              </w:rPr>
              <w:t>Other Post-</w:t>
            </w:r>
          </w:p>
        </w:tc>
        <w:tc>
          <w:tcPr>
            <w:tcW w:w="0" w:type="dxa"/>
            <w:vAlign w:val="bottom"/>
          </w:tcPr>
          <w:p>
            <w:pPr>
              <w:spacing w:after="0"/>
              <w:rPr>
                <w:sz w:val="1"/>
                <w:szCs w:val="1"/>
                <w:color w:val="auto"/>
              </w:rPr>
            </w:pPr>
          </w:p>
        </w:tc>
      </w:tr>
      <w:tr>
        <w:trPr>
          <w:trHeight w:val="175"/>
        </w:trPr>
        <w:tc>
          <w:tcPr>
            <w:tcW w:w="4380" w:type="dxa"/>
            <w:vAlign w:val="bottom"/>
            <w:vMerge w:val="restart"/>
          </w:tcPr>
          <w:p>
            <w:pPr>
              <w:ind w:left="60"/>
              <w:spacing w:after="0"/>
              <w:rPr>
                <w:sz w:val="20"/>
                <w:szCs w:val="20"/>
                <w:color w:val="auto"/>
              </w:rPr>
            </w:pPr>
            <w:r>
              <w:rPr>
                <w:rFonts w:ascii="Times New Roman" w:cs="Times New Roman" w:eastAsia="Times New Roman" w:hAnsi="Times New Roman"/>
                <w:sz w:val="19"/>
                <w:szCs w:val="19"/>
                <w:color w:val="231F20"/>
              </w:rPr>
              <w:t>(in millions)</w:t>
            </w:r>
          </w:p>
        </w:tc>
        <w:tc>
          <w:tcPr>
            <w:tcW w:w="4240" w:type="dxa"/>
            <w:vAlign w:val="bottom"/>
            <w:gridSpan w:val="2"/>
          </w:tcPr>
          <w:p>
            <w:pPr>
              <w:jc w:val="center"/>
              <w:ind w:left="2813"/>
              <w:spacing w:after="0" w:line="175" w:lineRule="exact"/>
              <w:rPr>
                <w:sz w:val="20"/>
                <w:szCs w:val="20"/>
                <w:color w:val="auto"/>
              </w:rPr>
            </w:pPr>
            <w:r>
              <w:rPr>
                <w:rFonts w:ascii="Times New Roman" w:cs="Times New Roman" w:eastAsia="Times New Roman" w:hAnsi="Times New Roman"/>
                <w:sz w:val="17"/>
                <w:szCs w:val="17"/>
                <w:color w:val="231F20"/>
              </w:rPr>
              <w:t>Benefit Pension</w:t>
            </w:r>
          </w:p>
        </w:tc>
        <w:tc>
          <w:tcPr>
            <w:tcW w:w="200" w:type="dxa"/>
            <w:vAlign w:val="bottom"/>
          </w:tcPr>
          <w:p>
            <w:pPr>
              <w:spacing w:after="0"/>
              <w:rPr>
                <w:sz w:val="15"/>
                <w:szCs w:val="15"/>
                <w:color w:val="auto"/>
              </w:rPr>
            </w:pPr>
          </w:p>
        </w:tc>
        <w:tc>
          <w:tcPr>
            <w:tcW w:w="1120" w:type="dxa"/>
            <w:vAlign w:val="bottom"/>
          </w:tcPr>
          <w:p>
            <w:pPr>
              <w:jc w:val="center"/>
              <w:ind w:right="53"/>
              <w:spacing w:after="0" w:line="175" w:lineRule="exact"/>
              <w:rPr>
                <w:sz w:val="20"/>
                <w:szCs w:val="20"/>
                <w:color w:val="auto"/>
              </w:rPr>
            </w:pPr>
            <w:r>
              <w:rPr>
                <w:rFonts w:ascii="Times New Roman" w:cs="Times New Roman" w:eastAsia="Times New Roman" w:hAnsi="Times New Roman"/>
                <w:sz w:val="17"/>
                <w:szCs w:val="17"/>
                <w:color w:val="231F20"/>
              </w:rPr>
              <w:t>Retirement</w:t>
            </w:r>
          </w:p>
        </w:tc>
        <w:tc>
          <w:tcPr>
            <w:tcW w:w="0" w:type="dxa"/>
            <w:vAlign w:val="bottom"/>
          </w:tcPr>
          <w:p>
            <w:pPr>
              <w:spacing w:after="0"/>
              <w:rPr>
                <w:sz w:val="1"/>
                <w:szCs w:val="1"/>
                <w:color w:val="auto"/>
              </w:rPr>
            </w:pPr>
          </w:p>
        </w:tc>
      </w:tr>
      <w:tr>
        <w:trPr>
          <w:trHeight w:val="231"/>
        </w:trPr>
        <w:tc>
          <w:tcPr>
            <w:tcW w:w="4380" w:type="dxa"/>
            <w:vAlign w:val="bottom"/>
            <w:tcBorders>
              <w:bottom w:val="single" w:sz="8" w:color="231F20"/>
            </w:tcBorders>
            <w:vMerge w:val="continue"/>
          </w:tcPr>
          <w:p>
            <w:pPr>
              <w:spacing w:after="0"/>
              <w:rPr>
                <w:sz w:val="20"/>
                <w:szCs w:val="20"/>
                <w:color w:val="auto"/>
              </w:rPr>
            </w:pPr>
          </w:p>
        </w:tc>
        <w:tc>
          <w:tcPr>
            <w:tcW w:w="3060" w:type="dxa"/>
            <w:vAlign w:val="bottom"/>
            <w:tcBorders>
              <w:bottom w:val="single" w:sz="8" w:color="231F20"/>
            </w:tcBorders>
          </w:tcPr>
          <w:p>
            <w:pPr>
              <w:spacing w:after="0"/>
              <w:rPr>
                <w:sz w:val="20"/>
                <w:szCs w:val="20"/>
                <w:color w:val="auto"/>
              </w:rPr>
            </w:pPr>
          </w:p>
        </w:tc>
        <w:tc>
          <w:tcPr>
            <w:tcW w:w="1180" w:type="dxa"/>
            <w:vAlign w:val="bottom"/>
            <w:tcBorders>
              <w:bottom w:val="single" w:sz="8" w:color="231F20"/>
            </w:tcBorders>
          </w:tcPr>
          <w:p>
            <w:pPr>
              <w:jc w:val="center"/>
              <w:ind w:right="73"/>
              <w:spacing w:after="0"/>
              <w:rPr>
                <w:sz w:val="20"/>
                <w:szCs w:val="20"/>
                <w:color w:val="auto"/>
              </w:rPr>
            </w:pPr>
            <w:r>
              <w:rPr>
                <w:rFonts w:ascii="Times New Roman" w:cs="Times New Roman" w:eastAsia="Times New Roman" w:hAnsi="Times New Roman"/>
                <w:sz w:val="17"/>
                <w:szCs w:val="17"/>
                <w:color w:val="231F20"/>
              </w:rPr>
              <w:t>Plans</w:t>
            </w:r>
          </w:p>
        </w:tc>
        <w:tc>
          <w:tcPr>
            <w:tcW w:w="200" w:type="dxa"/>
            <w:vAlign w:val="bottom"/>
            <w:tcBorders>
              <w:bottom w:val="single" w:sz="8" w:color="231F20"/>
            </w:tcBorders>
          </w:tcPr>
          <w:p>
            <w:pPr>
              <w:spacing w:after="0"/>
              <w:rPr>
                <w:sz w:val="20"/>
                <w:szCs w:val="20"/>
                <w:color w:val="auto"/>
              </w:rPr>
            </w:pPr>
          </w:p>
        </w:tc>
        <w:tc>
          <w:tcPr>
            <w:tcW w:w="1120" w:type="dxa"/>
            <w:vAlign w:val="bottom"/>
            <w:tcBorders>
              <w:bottom w:val="single" w:sz="8" w:color="231F20"/>
            </w:tcBorders>
          </w:tcPr>
          <w:p>
            <w:pPr>
              <w:jc w:val="center"/>
              <w:ind w:right="53"/>
              <w:spacing w:after="0"/>
              <w:rPr>
                <w:sz w:val="20"/>
                <w:szCs w:val="20"/>
                <w:color w:val="auto"/>
              </w:rPr>
            </w:pPr>
            <w:r>
              <w:rPr>
                <w:rFonts w:ascii="Times New Roman" w:cs="Times New Roman" w:eastAsia="Times New Roman" w:hAnsi="Times New Roman"/>
                <w:sz w:val="17"/>
                <w:szCs w:val="17"/>
                <w:color w:val="231F20"/>
              </w:rPr>
              <w:t>Benefits Plan</w:t>
            </w:r>
          </w:p>
        </w:tc>
        <w:tc>
          <w:tcPr>
            <w:tcW w:w="0" w:type="dxa"/>
            <w:vAlign w:val="bottom"/>
          </w:tcPr>
          <w:p>
            <w:pPr>
              <w:spacing w:after="0"/>
              <w:rPr>
                <w:sz w:val="1"/>
                <w:szCs w:val="1"/>
                <w:color w:val="auto"/>
              </w:rPr>
            </w:pPr>
          </w:p>
        </w:tc>
      </w:tr>
      <w:tr>
        <w:trPr>
          <w:trHeight w:val="267"/>
        </w:trPr>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2027</w:t>
            </w:r>
          </w:p>
        </w:tc>
        <w:tc>
          <w:tcPr>
            <w:tcW w:w="30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231F20"/>
              </w:rPr>
              <w:t>6.0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0.9</w:t>
            </w:r>
          </w:p>
        </w:tc>
        <w:tc>
          <w:tcPr>
            <w:tcW w:w="0" w:type="dxa"/>
            <w:vAlign w:val="bottom"/>
          </w:tcPr>
          <w:p>
            <w:pPr>
              <w:spacing w:after="0"/>
              <w:rPr>
                <w:sz w:val="1"/>
                <w:szCs w:val="1"/>
                <w:color w:val="auto"/>
              </w:rPr>
            </w:pPr>
          </w:p>
        </w:tc>
      </w:tr>
      <w:tr>
        <w:trPr>
          <w:trHeight w:val="291"/>
        </w:trPr>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2028</w:t>
            </w:r>
          </w:p>
        </w:tc>
        <w:tc>
          <w:tcPr>
            <w:tcW w:w="3060" w:type="dxa"/>
            <w:vAlign w:val="bottom"/>
          </w:tcPr>
          <w:p>
            <w:pPr>
              <w:spacing w:after="0"/>
              <w:rPr>
                <w:sz w:val="24"/>
                <w:szCs w:val="24"/>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231F20"/>
              </w:rPr>
              <w:t>6.1</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0.8</w:t>
            </w:r>
          </w:p>
        </w:tc>
        <w:tc>
          <w:tcPr>
            <w:tcW w:w="0" w:type="dxa"/>
            <w:vAlign w:val="bottom"/>
          </w:tcPr>
          <w:p>
            <w:pPr>
              <w:spacing w:after="0"/>
              <w:rPr>
                <w:sz w:val="1"/>
                <w:szCs w:val="1"/>
                <w:color w:val="auto"/>
              </w:rPr>
            </w:pPr>
          </w:p>
        </w:tc>
      </w:tr>
      <w:tr>
        <w:trPr>
          <w:trHeight w:val="291"/>
        </w:trPr>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2029</w:t>
            </w:r>
          </w:p>
        </w:tc>
        <w:tc>
          <w:tcPr>
            <w:tcW w:w="3060" w:type="dxa"/>
            <w:vAlign w:val="bottom"/>
          </w:tcPr>
          <w:p>
            <w:pPr>
              <w:spacing w:after="0"/>
              <w:rPr>
                <w:sz w:val="24"/>
                <w:szCs w:val="24"/>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231F20"/>
              </w:rPr>
              <w:t>6.3</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0.7</w:t>
            </w:r>
          </w:p>
        </w:tc>
        <w:tc>
          <w:tcPr>
            <w:tcW w:w="0" w:type="dxa"/>
            <w:vAlign w:val="bottom"/>
          </w:tcPr>
          <w:p>
            <w:pPr>
              <w:spacing w:after="0"/>
              <w:rPr>
                <w:sz w:val="1"/>
                <w:szCs w:val="1"/>
                <w:color w:val="auto"/>
              </w:rPr>
            </w:pPr>
          </w:p>
        </w:tc>
      </w:tr>
      <w:tr>
        <w:trPr>
          <w:trHeight w:val="291"/>
        </w:trPr>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2030</w:t>
            </w:r>
          </w:p>
        </w:tc>
        <w:tc>
          <w:tcPr>
            <w:tcW w:w="3060" w:type="dxa"/>
            <w:vAlign w:val="bottom"/>
          </w:tcPr>
          <w:p>
            <w:pPr>
              <w:spacing w:after="0"/>
              <w:rPr>
                <w:sz w:val="24"/>
                <w:szCs w:val="24"/>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231F20"/>
              </w:rPr>
              <w:t>6.6</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0.6</w:t>
            </w:r>
          </w:p>
        </w:tc>
        <w:tc>
          <w:tcPr>
            <w:tcW w:w="0" w:type="dxa"/>
            <w:vAlign w:val="bottom"/>
          </w:tcPr>
          <w:p>
            <w:pPr>
              <w:spacing w:after="0"/>
              <w:rPr>
                <w:sz w:val="1"/>
                <w:szCs w:val="1"/>
                <w:color w:val="auto"/>
              </w:rPr>
            </w:pPr>
          </w:p>
        </w:tc>
      </w:tr>
      <w:tr>
        <w:trPr>
          <w:trHeight w:val="291"/>
        </w:trPr>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2031</w:t>
            </w:r>
          </w:p>
        </w:tc>
        <w:tc>
          <w:tcPr>
            <w:tcW w:w="3060" w:type="dxa"/>
            <w:vAlign w:val="bottom"/>
          </w:tcPr>
          <w:p>
            <w:pPr>
              <w:spacing w:after="0"/>
              <w:rPr>
                <w:sz w:val="24"/>
                <w:szCs w:val="24"/>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231F20"/>
              </w:rPr>
              <w:t>6.7</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0.6</w:t>
            </w:r>
          </w:p>
        </w:tc>
        <w:tc>
          <w:tcPr>
            <w:tcW w:w="0" w:type="dxa"/>
            <w:vAlign w:val="bottom"/>
          </w:tcPr>
          <w:p>
            <w:pPr>
              <w:spacing w:after="0"/>
              <w:rPr>
                <w:sz w:val="1"/>
                <w:szCs w:val="1"/>
                <w:color w:val="auto"/>
              </w:rPr>
            </w:pPr>
          </w:p>
        </w:tc>
      </w:tr>
      <w:tr>
        <w:trPr>
          <w:trHeight w:val="291"/>
        </w:trPr>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2032 and thereafter</w:t>
            </w:r>
          </w:p>
        </w:tc>
        <w:tc>
          <w:tcPr>
            <w:tcW w:w="3060" w:type="dxa"/>
            <w:vAlign w:val="bottom"/>
          </w:tcPr>
          <w:p>
            <w:pPr>
              <w:spacing w:after="0"/>
              <w:rPr>
                <w:sz w:val="24"/>
                <w:szCs w:val="24"/>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231F20"/>
              </w:rPr>
              <w:t>36.4</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1.9</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231F20"/>
        </w:rPr>
        <w:t>The Medicare Prescription Drug, Improvement and Modernization Act of 2003 (the “Act”) provides a prescription drug benefit for Medicare beneficiaries, a benefit we provide to Medicare eligible retirees covered by our post-retirement benefits plan. We have concluded that the prescription drug benefit provided in our post-retirement benefit plan is considered to be actuarially equivalent to the benefit provided under the Act and thus qualifies for the subsidy under the Act. Benefits are subject to a per capita per month cost cap and any costs above the cap become the responsibility of the retiree. Under the plan, the subsidy is applied to reduce the retiree responsibility. As a result, the expected future subsidy no longer reduces our accumulated post-retirement benefit obligation and net periodic benefit cost. We collected subsidies totaling approximately $0.2 million and $0.3 million, during fiscal 2026 and fiscal 2025, respectively, which reduced the retiree responsibility for costs in excess of the caps established in the post-retirement benefit plan.</w:t>
      </w:r>
    </w:p>
    <w:p>
      <w:pPr>
        <w:spacing w:after="0" w:line="78" w:lineRule="exact"/>
        <w:rPr>
          <w:sz w:val="20"/>
          <w:szCs w:val="20"/>
          <w:color w:val="auto"/>
        </w:rPr>
      </w:pPr>
    </w:p>
    <w:p>
      <w:pPr>
        <w:ind w:right="20" w:firstLine="349"/>
        <w:spacing w:after="0" w:line="261" w:lineRule="auto"/>
        <w:rPr>
          <w:sz w:val="20"/>
          <w:szCs w:val="20"/>
          <w:color w:val="auto"/>
        </w:rPr>
      </w:pPr>
      <w:r>
        <w:rPr>
          <w:rFonts w:ascii="Times New Roman" w:cs="Times New Roman" w:eastAsia="Times New Roman" w:hAnsi="Times New Roman"/>
          <w:sz w:val="19"/>
          <w:szCs w:val="19"/>
          <w:b w:val="1"/>
          <w:bCs w:val="1"/>
          <w:color w:val="231F20"/>
        </w:rPr>
        <w:t xml:space="preserve">Defined Contribution Plans. </w:t>
      </w:r>
      <w:r>
        <w:rPr>
          <w:rFonts w:ascii="Times New Roman" w:cs="Times New Roman" w:eastAsia="Times New Roman" w:hAnsi="Times New Roman"/>
          <w:sz w:val="19"/>
          <w:szCs w:val="19"/>
          <w:color w:val="231F20"/>
        </w:rPr>
        <w:t>We maintain 401(k) defined contribution plans for eligible U.S. employees, a 401(k) defined</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contribution plan for eligible Puerto Rico employees and similar savings plans for certain employees in Canada, United Kingdom, Ireland, and Finland. We provide a match on a specified portion of an employee’s contribution. The U.S. plan assets are held in trust and invested as directed by the plan participants. The Canadian plan assets are held by insurance companies. The aggregate fair value of the U.S. plan assets was $1,608.0 million at March 31, 2026. At March 31, 2026, the U.S. plan held 0.3 million STERIS ordinary shares with a fair value of $74.1 million. We paid dividends of $0.8 million, $0.9 million, and $0.9 million to the plan and participants on STERIS shares held by the plan for the years ended March 31, 2026, 2025, and 2024, respectively. We contributed approximately $50.2 million, $44.7 million, and $39.6 million, to the defined contribution plans for the years ended March 31, 2026, 2025, and 2024, respectively.</w:t>
      </w:r>
    </w:p>
    <w:p>
      <w:pPr>
        <w:sectPr>
          <w:pgSz w:w="11880" w:h="15480" w:orient="portrait"/>
          <w:cols w:equalWidth="0" w:num="1">
            <w:col w:w="9960"/>
          </w:cols>
          <w:pgMar w:left="960" w:top="25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87</w:t>
      </w:r>
    </w:p>
    <w:p>
      <w:pPr>
        <w:sectPr>
          <w:pgSz w:w="11880" w:h="15480" w:orient="portrait"/>
          <w:cols w:equalWidth="0" w:num="1">
            <w:col w:w="9960"/>
          </w:cols>
          <w:pgMar w:left="960" w:top="250" w:right="960" w:bottom="0" w:gutter="0" w:footer="0" w:header="0"/>
          <w:type w:val="continuous"/>
        </w:sectPr>
      </w:pPr>
    </w:p>
    <w:bookmarkStart w:id="88" w:name="page89"/>
    <w:bookmarkEnd w:id="88"/>
    <w:p>
      <w:pPr>
        <w:jc w:val="center"/>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60" w:firstLine="349"/>
        <w:spacing w:after="0" w:line="259" w:lineRule="auto"/>
        <w:rPr>
          <w:sz w:val="20"/>
          <w:szCs w:val="20"/>
          <w:color w:val="auto"/>
        </w:rPr>
      </w:pPr>
      <w:r>
        <w:rPr>
          <w:rFonts w:ascii="Times New Roman" w:cs="Times New Roman" w:eastAsia="Times New Roman" w:hAnsi="Times New Roman"/>
          <w:sz w:val="19"/>
          <w:szCs w:val="19"/>
          <w:color w:val="231F20"/>
        </w:rPr>
        <w:t>We also maintain a domestic non-qualified deferred compensation plan covering certain employees, which formerly allowed for the deferral of compensation for an employee-specified term or until retirement or termination. There have been no employee contributions made to this plan since fiscal 2012. The Plan was amended in fiscal 2012 to disallow deferrals of salary payable in 2012 and subsequent calendar years and of commissions and other incentive compensation payable in respect of the 2013 and subsequent fiscal years. We hold investments in mutual funds to satisfy future obligations of the plan. We account for these assets as available-for-sale securities and they are included in “Other assets” on our accompanying Consolidated Balance Sheets, with a corresponding liability for the plan’s obligation recorded in Accrued expenses and other. The aggregate value of the assets was $1.3 million and $1.1 million at March 31, 2026 and March 31, 2025, respectively. Realized gains and losses on these investments are recorded in Other expense (income) within Non-operating expenses, net on our accompanying Consolidated Statements of Income. Changes in the fair value of the assets are recorded in Accumulated other comprehensive income (loss) on our accompanying Consolidated Balance Sheets.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12. COMMITMENTS AND CONTINGENCIES</w:t>
      </w:r>
    </w:p>
    <w:p>
      <w:pPr>
        <w:spacing w:after="0" w:line="138" w:lineRule="exact"/>
        <w:rPr>
          <w:sz w:val="20"/>
          <w:szCs w:val="20"/>
          <w:color w:val="auto"/>
        </w:rPr>
      </w:pPr>
    </w:p>
    <w:p>
      <w:pPr>
        <w:ind w:right="60" w:firstLine="349"/>
        <w:spacing w:after="0" w:line="260" w:lineRule="auto"/>
        <w:rPr>
          <w:sz w:val="20"/>
          <w:szCs w:val="20"/>
          <w:color w:val="auto"/>
        </w:rPr>
      </w:pPr>
      <w:r>
        <w:rPr>
          <w:rFonts w:ascii="Times New Roman" w:cs="Times New Roman" w:eastAsia="Times New Roman" w:hAnsi="Times New Roman"/>
          <w:sz w:val="19"/>
          <w:szCs w:val="19"/>
          <w:color w:val="231F20"/>
        </w:rPr>
        <w:t>We are, and will likely continue to be, involved in a number of legal proceedings, government investigations, and claims, which we believe generally arise in the course of our business, given our size, history, complexity, and the nature of our business, products, Customers, regulatory environment, and industries in which we participate. These legal proceedings, investigations and claims generally involve a variety of legal theories and allegations, including, without limitation, personal injury (e.g., slip and falls, burns, vehicle accidents), product liability or regulation (e.g., based on product operation or claimed malfunction, failure to warn, failure to meet specification, or failure to comply with regulatory requirements), product exposure (e.g., claimed exposure to chemicals, gases, asbestos, contaminants, radiation), property damage (e.g., claimed damage due to leaking equipment, fire, vehicles, chemicals), commercial claims (e.g., breach of contract, economic loss, warranty, misrepresentation), financial (e.g., taxes, reporting), employment (e.g., wrongful termination, discrimination, benefits matters), and other claims for damage and relief.</w:t>
      </w:r>
    </w:p>
    <w:p>
      <w:pPr>
        <w:spacing w:after="0" w:line="78" w:lineRule="exact"/>
        <w:rPr>
          <w:sz w:val="20"/>
          <w:szCs w:val="20"/>
          <w:color w:val="auto"/>
        </w:rPr>
      </w:pPr>
    </w:p>
    <w:p>
      <w:pPr>
        <w:ind w:firstLine="349"/>
        <w:spacing w:after="0" w:line="258" w:lineRule="auto"/>
        <w:rPr>
          <w:sz w:val="20"/>
          <w:szCs w:val="20"/>
          <w:color w:val="auto"/>
        </w:rPr>
      </w:pPr>
      <w:r>
        <w:rPr>
          <w:rFonts w:ascii="Times New Roman" w:cs="Times New Roman" w:eastAsia="Times New Roman" w:hAnsi="Times New Roman"/>
          <w:sz w:val="19"/>
          <w:szCs w:val="19"/>
          <w:color w:val="231F20"/>
        </w:rPr>
        <w:t>We record a liability for such contingencies to the extent we conclude that their occurrence is both probable and estimable and believe we have adequately reserved for our current litigation and claims that are probable and estimable. In the event that the estimate of a probable loss is a range and no amount within the range is more likely, we accrue the minimum amount of the range. We consider many factors in making these assessments, including the professional judgment of experienced members of management and our legal counsel. We have made estimates as to the likelihood of unfavorable outcomes and the amounts of such potential losses. Further, we believe that the ultimate outcome of pending lawsuits and claims will not have a material adverse effect on our consolidated financial position or results of operations taken as a whole. Due to their inherent uncertainty, however, there can be no assurance of the ultimate outcome or effect of current or future litigation, investigations, claims or other proceedings. For certain types of claims, we presently maintain insurance coverage for bodily injury and third party property damage and other liability coverages in amounts and with retentions and deductibles that we believe are prudent, and we may also have contractual indemnification rights against certain liabilities, but there can be no assurance that either will be applicable or adequate to cover adverse outcomes of claims or legal proceedings against us. We record expected recoveries under applicable contracts when we are assured of recovery.</w:t>
      </w:r>
    </w:p>
    <w:p>
      <w:pPr>
        <w:spacing w:after="0" w:line="90" w:lineRule="exact"/>
        <w:rPr>
          <w:sz w:val="20"/>
          <w:szCs w:val="20"/>
          <w:color w:val="auto"/>
        </w:rPr>
      </w:pPr>
    </w:p>
    <w:p>
      <w:pPr>
        <w:ind w:right="80" w:firstLine="349"/>
        <w:spacing w:after="0" w:line="263" w:lineRule="auto"/>
        <w:rPr>
          <w:sz w:val="20"/>
          <w:szCs w:val="20"/>
          <w:color w:val="auto"/>
        </w:rPr>
      </w:pPr>
      <w:r>
        <w:rPr>
          <w:rFonts w:ascii="Times New Roman" w:cs="Times New Roman" w:eastAsia="Times New Roman" w:hAnsi="Times New Roman"/>
          <w:sz w:val="19"/>
          <w:szCs w:val="19"/>
          <w:color w:val="231F20"/>
        </w:rPr>
        <w:t>Civil, criminal, regulatory or other proceedings involving our products or services, including the matters discussed herein, could possibly result in judgments, settlements or administrative or judicial decrees requiring us, among other actions, to pay damages or fines or effect recalls, or be subject to other governmental, Customer or other third party claims or remedies, which could materially affect our business, performance, prospects, value, financial condition, and results of operations. Further, the Company may incur material defense costs as a result of such proceedings, which may also divert management attention from other priorities.</w:t>
      </w:r>
    </w:p>
    <w:p>
      <w:pPr>
        <w:spacing w:after="0" w:line="77" w:lineRule="exact"/>
        <w:rPr>
          <w:sz w:val="20"/>
          <w:szCs w:val="20"/>
          <w:color w:val="auto"/>
        </w:rPr>
      </w:pPr>
    </w:p>
    <w:p>
      <w:pPr>
        <w:ind w:right="320" w:firstLine="349"/>
        <w:spacing w:after="0" w:line="293" w:lineRule="auto"/>
        <w:rPr>
          <w:sz w:val="20"/>
          <w:szCs w:val="20"/>
          <w:color w:val="auto"/>
        </w:rPr>
      </w:pPr>
      <w:r>
        <w:rPr>
          <w:rFonts w:ascii="Times New Roman" w:cs="Times New Roman" w:eastAsia="Times New Roman" w:hAnsi="Times New Roman"/>
          <w:sz w:val="19"/>
          <w:szCs w:val="19"/>
          <w:color w:val="231F20"/>
        </w:rPr>
        <w:t>From time to time, STERIS is also involved in legal proceedings as a plaintiff involving contract, patent protection, and other claims asserted by us. Gains, if any, from these proceedings are recognized when they are realized.</w:t>
      </w:r>
    </w:p>
    <w:p>
      <w:pPr>
        <w:spacing w:after="0" w:line="49" w:lineRule="exact"/>
        <w:rPr>
          <w:sz w:val="20"/>
          <w:szCs w:val="20"/>
          <w:color w:val="auto"/>
        </w:rPr>
      </w:pPr>
    </w:p>
    <w:p>
      <w:pPr>
        <w:jc w:val="both"/>
        <w:ind w:right="120" w:firstLine="349"/>
        <w:spacing w:after="0" w:line="265" w:lineRule="auto"/>
        <w:rPr>
          <w:sz w:val="20"/>
          <w:szCs w:val="20"/>
          <w:color w:val="auto"/>
        </w:rPr>
      </w:pPr>
      <w:r>
        <w:rPr>
          <w:rFonts w:ascii="Times New Roman" w:cs="Times New Roman" w:eastAsia="Times New Roman" w:hAnsi="Times New Roman"/>
          <w:sz w:val="19"/>
          <w:szCs w:val="19"/>
          <w:color w:val="231F20"/>
        </w:rPr>
        <w:t>In addition, the Company may pursue opportunities to recover amounts previously paid in connection with certain legal or regulatory matters, tariffs or similar governmental charges, including the approximately $28 million of net replacement tariffs we paid pursuant to the International Economic Emergency Powers Act ("IEEPA"). Any such matters are subject to applicable processes and uncertainty, including timing of resolution, and we have not recorded a receivable related to these amounts as of March 31, 2026.</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Illinois EO Litigation Settlement</w:t>
      </w:r>
    </w:p>
    <w:p>
      <w:pPr>
        <w:spacing w:after="0" w:line="138" w:lineRule="exact"/>
        <w:rPr>
          <w:sz w:val="20"/>
          <w:szCs w:val="20"/>
          <w:color w:val="auto"/>
        </w:rPr>
      </w:pPr>
    </w:p>
    <w:p>
      <w:pPr>
        <w:ind w:right="60" w:firstLine="349"/>
        <w:spacing w:after="0" w:line="293" w:lineRule="auto"/>
        <w:rPr>
          <w:sz w:val="20"/>
          <w:szCs w:val="20"/>
          <w:color w:val="auto"/>
        </w:rPr>
      </w:pPr>
      <w:r>
        <w:rPr>
          <w:rFonts w:ascii="Times New Roman" w:cs="Times New Roman" w:eastAsia="Times New Roman" w:hAnsi="Times New Roman"/>
          <w:sz w:val="19"/>
          <w:szCs w:val="19"/>
          <w:color w:val="231F20"/>
        </w:rPr>
        <w:t>A subsidiary of the Company was sued in Illinois state court by individual plaintiffs who worked or resided near a facility in Lake County, Illinois, where the subsidiary provided sterilization services using ethylene oxide (“EO”) from January 2005 to</w:t>
      </w:r>
    </w:p>
    <w:p>
      <w:pPr>
        <w:sectPr>
          <w:pgSz w:w="11880" w:h="15480" w:orient="portrait"/>
          <w:cols w:equalWidth="0" w:num="1">
            <w:col w:w="9960"/>
          </w:cols>
          <w:pgMar w:left="960" w:top="250" w:right="960" w:bottom="0" w:gutter="0" w:footer="0" w:header="0"/>
        </w:sect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88</w:t>
      </w:r>
    </w:p>
    <w:p>
      <w:pPr>
        <w:sectPr>
          <w:pgSz w:w="11880" w:h="15480" w:orient="portrait"/>
          <w:cols w:equalWidth="0" w:num="1">
            <w:col w:w="9960"/>
          </w:cols>
          <w:pgMar w:left="960" w:top="250" w:right="960" w:bottom="0" w:gutter="0" w:footer="0" w:header="0"/>
          <w:type w:val="continuous"/>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00"/>
        <w:spacing w:after="0" w:line="293" w:lineRule="auto"/>
        <w:rPr>
          <w:sz w:val="20"/>
          <w:szCs w:val="20"/>
          <w:color w:val="auto"/>
        </w:rPr>
      </w:pPr>
      <w:r>
        <w:rPr>
          <w:rFonts w:ascii="Times New Roman" w:cs="Times New Roman" w:eastAsia="Times New Roman" w:hAnsi="Times New Roman"/>
          <w:sz w:val="19"/>
          <w:szCs w:val="19"/>
          <w:color w:val="231F20"/>
        </w:rPr>
        <w:t>September 2008. The plaintiffs filed separate suits in which each alleges that they have been diagnosed with one or more types of cancer, allegedly resulting from exposure to EO emissions from the facility into the ambient air.</w:t>
      </w:r>
    </w:p>
    <w:p>
      <w:pPr>
        <w:spacing w:after="0" w:line="49" w:lineRule="exact"/>
        <w:rPr>
          <w:sz w:val="20"/>
          <w:szCs w:val="20"/>
          <w:color w:val="auto"/>
        </w:rPr>
      </w:pPr>
    </w:p>
    <w:p>
      <w:pPr>
        <w:ind w:right="100" w:firstLine="349"/>
        <w:spacing w:after="0" w:line="263" w:lineRule="auto"/>
        <w:rPr>
          <w:sz w:val="20"/>
          <w:szCs w:val="20"/>
          <w:color w:val="auto"/>
        </w:rPr>
      </w:pPr>
      <w:r>
        <w:rPr>
          <w:rFonts w:ascii="Times New Roman" w:cs="Times New Roman" w:eastAsia="Times New Roman" w:hAnsi="Times New Roman"/>
          <w:sz w:val="19"/>
          <w:szCs w:val="19"/>
          <w:color w:val="231F20"/>
        </w:rPr>
        <w:t>On March 3, 2025, the Company entered into binding confidential term sheets ("Term Sheets") with plaintiffs’ counsel, as well as settlement agreements with several plaintiffs in cases which were at the time scheduled for trial in fiscal 2026. On October 29, 2025, the Company entered into binding confidential settlement agreements ("Settlement Agreements") with plaintiffs' counsel, containing terms and provisions consistent with the Term Sheets. The Settlement Agreements are expected to lead to resolution of substantially all of the claims for personal injury related to EO that are currently pending in the Circuit Court of Cook County, Illinois.</w:t>
      </w:r>
    </w:p>
    <w:p>
      <w:pPr>
        <w:spacing w:after="0" w:line="77" w:lineRule="exact"/>
        <w:rPr>
          <w:sz w:val="20"/>
          <w:szCs w:val="20"/>
          <w:color w:val="auto"/>
        </w:rPr>
      </w:pPr>
    </w:p>
    <w:p>
      <w:pPr>
        <w:ind w:right="80" w:firstLine="349"/>
        <w:spacing w:after="0" w:line="262" w:lineRule="auto"/>
        <w:rPr>
          <w:sz w:val="20"/>
          <w:szCs w:val="20"/>
          <w:color w:val="auto"/>
        </w:rPr>
      </w:pPr>
      <w:r>
        <w:rPr>
          <w:rFonts w:ascii="Times New Roman" w:cs="Times New Roman" w:eastAsia="Times New Roman" w:hAnsi="Times New Roman"/>
          <w:sz w:val="19"/>
          <w:szCs w:val="19"/>
          <w:color w:val="231F20"/>
        </w:rPr>
        <w:t>Pursuant to the Settlement Agreements, the Company agreed to pay up to $48.2 million to settle claims. We recorded a charge for this amount in fiscal 2025, and the remaining liability is included in the "Accrued expenses and other" line within our Consolidated Balance Sheets. None of the Settlement Agreements are an admission of liability or that emissions from the Waukegan, Illinois facility ever posed a safety hazard to the people who live or work in the surrounding areas. The Settlement Agreements establish a claims administration process that includes guidelines and procedures for administering individual settlements, which process has continued into fiscal 2027. The Company anticipates dismissal of all pending EO related claims brought by the covered plaintiffs upon completion of the claims administration process and approval by the court.</w:t>
      </w:r>
    </w:p>
    <w:p>
      <w:pPr>
        <w:spacing w:after="0" w:line="77" w:lineRule="exact"/>
        <w:rPr>
          <w:sz w:val="20"/>
          <w:szCs w:val="20"/>
          <w:color w:val="auto"/>
        </w:rPr>
      </w:pPr>
    </w:p>
    <w:p>
      <w:pPr>
        <w:ind w:right="260" w:firstLine="349"/>
        <w:spacing w:after="0" w:line="265" w:lineRule="auto"/>
        <w:rPr>
          <w:sz w:val="20"/>
          <w:szCs w:val="20"/>
          <w:color w:val="auto"/>
        </w:rPr>
      </w:pPr>
      <w:r>
        <w:rPr>
          <w:rFonts w:ascii="Times New Roman" w:cs="Times New Roman" w:eastAsia="Times New Roman" w:hAnsi="Times New Roman"/>
          <w:sz w:val="19"/>
          <w:szCs w:val="19"/>
          <w:color w:val="231F20"/>
        </w:rPr>
        <w:t>The Company may exercise walkaway rights with respect to the claims covered by the Settlement Agreements if certain agreed terms are not fulfilled, including if a substantial number of plaintiffs in such cases do not agree to settle or are disqualified under the applicable terms or the resulting settlements are ultimately not approved by the court. In the event it exercises its walkaway rights, the Company is prepared to continue to defend itself in the litigation and reserves all legal and factual defenses against such claims.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Additional Information</w:t>
      </w:r>
    </w:p>
    <w:p>
      <w:pPr>
        <w:spacing w:after="0" w:line="138" w:lineRule="exact"/>
        <w:rPr>
          <w:sz w:val="20"/>
          <w:szCs w:val="20"/>
          <w:color w:val="auto"/>
        </w:rPr>
      </w:pPr>
    </w:p>
    <w:p>
      <w:pPr>
        <w:jc w:val="both"/>
        <w:ind w:right="200" w:firstLine="349"/>
        <w:spacing w:after="0" w:line="293" w:lineRule="auto"/>
        <w:rPr>
          <w:sz w:val="20"/>
          <w:szCs w:val="20"/>
          <w:color w:val="auto"/>
        </w:rPr>
      </w:pPr>
      <w:r>
        <w:rPr>
          <w:rFonts w:ascii="Times New Roman" w:cs="Times New Roman" w:eastAsia="Times New Roman" w:hAnsi="Times New Roman"/>
          <w:sz w:val="19"/>
          <w:szCs w:val="19"/>
          <w:color w:val="231F20"/>
        </w:rPr>
        <w:t>For additional information regarding these matters, see the risks and uncertainties described under the titles "product and service related regulations and claims" and "business and operational risks" in Item 1A. of this Annual Report on Form 10-K.</w:t>
      </w:r>
    </w:p>
    <w:p>
      <w:pPr>
        <w:spacing w:after="0" w:line="49" w:lineRule="exact"/>
        <w:rPr>
          <w:sz w:val="20"/>
          <w:szCs w:val="20"/>
          <w:color w:val="auto"/>
        </w:rPr>
      </w:pPr>
    </w:p>
    <w:p>
      <w:pPr>
        <w:ind w:firstLine="349"/>
        <w:spacing w:after="0" w:line="268" w:lineRule="auto"/>
        <w:rPr>
          <w:sz w:val="20"/>
          <w:szCs w:val="20"/>
          <w:color w:val="auto"/>
        </w:rPr>
      </w:pPr>
      <w:r>
        <w:rPr>
          <w:rFonts w:ascii="Times New Roman" w:cs="Times New Roman" w:eastAsia="Times New Roman" w:hAnsi="Times New Roman"/>
          <w:sz w:val="19"/>
          <w:szCs w:val="19"/>
          <w:color w:val="231F20"/>
        </w:rPr>
        <w:t>We are subject to taxation from United States federal, state and local, and foreign jurisdictions. Tax positions are settled primarily through the completion of audits within each individual jurisdiction or the closing of statutes of limitation. Changes in applicable tax law or other events may also require us to revise past estimates. We describe income taxes further in Note 10 to our consolidated financial statements titled, “Income Taxes” in this Annual Report on Form 10-K.</w:t>
      </w:r>
    </w:p>
    <w:p>
      <w:pPr>
        <w:spacing w:after="0" w:line="72" w:lineRule="exact"/>
        <w:rPr>
          <w:sz w:val="20"/>
          <w:szCs w:val="20"/>
          <w:color w:val="auto"/>
        </w:rPr>
      </w:pPr>
    </w:p>
    <w:p>
      <w:pPr>
        <w:ind w:right="220" w:firstLine="349"/>
        <w:spacing w:after="0" w:line="265" w:lineRule="auto"/>
        <w:rPr>
          <w:sz w:val="20"/>
          <w:szCs w:val="20"/>
          <w:color w:val="auto"/>
        </w:rPr>
      </w:pPr>
      <w:r>
        <w:rPr>
          <w:rFonts w:ascii="Times New Roman" w:cs="Times New Roman" w:eastAsia="Times New Roman" w:hAnsi="Times New Roman"/>
          <w:sz w:val="19"/>
          <w:szCs w:val="19"/>
          <w:color w:val="231F20"/>
        </w:rPr>
        <w:t>As of March 31, 2026 and 2025, our commercial commitments totaled $161.3 million and $127.4 million, respectively. Commercial commitments include standby letters of credit, letters of credit required as security under our self-insured risk retention policies, and other potential cash outflows resulting from an event that requires payment by us. Approximately $3.1 million and $10.9 million of the March 31, 2026 and 2025 totals, respectively, relate to letters of credit required as security under our self-insured risk retention policies.</w:t>
      </w:r>
    </w:p>
    <w:p>
      <w:pPr>
        <w:spacing w:after="0" w:line="75" w:lineRule="exact"/>
        <w:rPr>
          <w:sz w:val="20"/>
          <w:szCs w:val="20"/>
          <w:color w:val="auto"/>
        </w:rPr>
      </w:pPr>
    </w:p>
    <w:p>
      <w:pPr>
        <w:ind w:right="200" w:firstLine="349"/>
        <w:spacing w:after="0" w:line="293" w:lineRule="auto"/>
        <w:rPr>
          <w:sz w:val="20"/>
          <w:szCs w:val="20"/>
          <w:color w:val="auto"/>
        </w:rPr>
      </w:pPr>
      <w:r>
        <w:rPr>
          <w:rFonts w:ascii="Times New Roman" w:cs="Times New Roman" w:eastAsia="Times New Roman" w:hAnsi="Times New Roman"/>
          <w:sz w:val="19"/>
          <w:szCs w:val="19"/>
          <w:color w:val="231F20"/>
        </w:rPr>
        <w:t>As of March 31, 2026, we had minimum purchase commitments with suppliers for raw material purchases totaling $64.2 million. As of March 31, 2026, we also had commitments of $71.5 million for long term construction contracts.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Leases</w:t>
      </w:r>
    </w:p>
    <w:p>
      <w:pPr>
        <w:spacing w:after="0" w:line="138" w:lineRule="exact"/>
        <w:rPr>
          <w:sz w:val="20"/>
          <w:szCs w:val="20"/>
          <w:color w:val="auto"/>
        </w:rPr>
      </w:pPr>
    </w:p>
    <w:p>
      <w:pPr>
        <w:ind w:right="160" w:firstLine="349"/>
        <w:spacing w:after="0" w:line="268" w:lineRule="auto"/>
        <w:rPr>
          <w:sz w:val="20"/>
          <w:szCs w:val="20"/>
          <w:color w:val="auto"/>
        </w:rPr>
      </w:pPr>
      <w:r>
        <w:rPr>
          <w:rFonts w:ascii="Times New Roman" w:cs="Times New Roman" w:eastAsia="Times New Roman" w:hAnsi="Times New Roman"/>
          <w:sz w:val="19"/>
          <w:szCs w:val="19"/>
          <w:color w:val="231F20"/>
        </w:rPr>
        <w:t>We lease manufacturing, warehouse and office space, service facilities, vehicles, equipment and communication systems. Certain leases contain options that provide us with the ability to extend the lease term. Such options are included in the lease term when it is reasonably certain that the option will be exercised. We made an accounting policy election to not recognize lease assets or lease liabilities for leases with a lease term of twelve months or less.</w:t>
      </w:r>
    </w:p>
    <w:p>
      <w:pPr>
        <w:spacing w:after="0" w:line="72" w:lineRule="exact"/>
        <w:rPr>
          <w:sz w:val="20"/>
          <w:szCs w:val="20"/>
          <w:color w:val="auto"/>
        </w:rPr>
      </w:pPr>
    </w:p>
    <w:p>
      <w:pPr>
        <w:jc w:val="both"/>
        <w:ind w:right="180" w:firstLine="349"/>
        <w:spacing w:after="0" w:line="263" w:lineRule="auto"/>
        <w:rPr>
          <w:sz w:val="20"/>
          <w:szCs w:val="20"/>
          <w:color w:val="auto"/>
        </w:rPr>
      </w:pPr>
      <w:r>
        <w:rPr>
          <w:rFonts w:ascii="Times New Roman" w:cs="Times New Roman" w:eastAsia="Times New Roman" w:hAnsi="Times New Roman"/>
          <w:sz w:val="19"/>
          <w:szCs w:val="19"/>
          <w:color w:val="231F20"/>
        </w:rPr>
        <w:t>We determine if an agreement contains a lease and classify our leases as operating or finance at the lease commencement date. Finance leases are generally those leases for which we will pay substantially all the underlying asset’s fair value or will use the asset for all or a major part of its economic life, including circumstances in which we will ultimately own the asset.</w:t>
      </w:r>
    </w:p>
    <w:p>
      <w:pPr>
        <w:ind w:right="240"/>
        <w:spacing w:after="0" w:line="261" w:lineRule="auto"/>
        <w:rPr>
          <w:sz w:val="20"/>
          <w:szCs w:val="20"/>
          <w:color w:val="auto"/>
        </w:rPr>
      </w:pPr>
      <w:r>
        <w:rPr>
          <w:rFonts w:ascii="Times New Roman" w:cs="Times New Roman" w:eastAsia="Times New Roman" w:hAnsi="Times New Roman"/>
          <w:sz w:val="19"/>
          <w:szCs w:val="19"/>
          <w:color w:val="231F20"/>
        </w:rPr>
        <w:t>Lease assets arising from finance leases are included in Property, plant, and equipment, net and the liabilities are included in Other liabilities. For finance leases, we recognize interest expense using the effective interest method, and we recognize amortization expense on the lease asset over the shorter of the lease term or the useful life of the asset. Our finance leases are not material as of March 31, 2026 and for the twelve-month period then ended.</w:t>
      </w:r>
    </w:p>
    <w:p>
      <w:pPr>
        <w:spacing w:after="0" w:line="77" w:lineRule="exact"/>
        <w:rPr>
          <w:sz w:val="20"/>
          <w:szCs w:val="20"/>
          <w:color w:val="auto"/>
        </w:rPr>
      </w:pPr>
    </w:p>
    <w:p>
      <w:pPr>
        <w:ind w:right="240" w:firstLine="349"/>
        <w:spacing w:after="0" w:line="274" w:lineRule="auto"/>
        <w:rPr>
          <w:sz w:val="20"/>
          <w:szCs w:val="20"/>
          <w:color w:val="auto"/>
        </w:rPr>
      </w:pPr>
      <w:r>
        <w:rPr>
          <w:rFonts w:ascii="Times New Roman" w:cs="Times New Roman" w:eastAsia="Times New Roman" w:hAnsi="Times New Roman"/>
          <w:sz w:val="19"/>
          <w:szCs w:val="19"/>
          <w:color w:val="231F20"/>
        </w:rPr>
        <w:t>Operating lease assets and liabilities are recognized at the commencement date of the lease based on the present value of lease payments over the lease term. Lease assets represent the right to use an underlying asset for the lease term and lease liabilities represent the obligation to make lease payments arising from the lease. As most leases do not provide an implicit</w:t>
      </w:r>
    </w:p>
    <w:p>
      <w:pPr>
        <w:sectPr>
          <w:pgSz w:w="11880" w:h="15480" w:orient="portrait"/>
          <w:cols w:equalWidth="0" w:num="1">
            <w:col w:w="9940"/>
          </w:cols>
          <w:pgMar w:left="960" w:top="250" w:right="980" w:bottom="0" w:gutter="0" w:footer="0" w:header="0"/>
        </w:sect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89</w:t>
      </w:r>
    </w:p>
    <w:p>
      <w:pPr>
        <w:sectPr>
          <w:pgSz w:w="11880" w:h="15480" w:orient="portrait"/>
          <w:cols w:equalWidth="0" w:num="1">
            <w:col w:w="9940"/>
          </w:cols>
          <w:pgMar w:left="960" w:top="250" w:right="980" w:bottom="0" w:gutter="0" w:footer="0" w:header="0"/>
          <w:type w:val="continuous"/>
        </w:sectPr>
      </w:pPr>
    </w:p>
    <w:bookmarkStart w:id="90" w:name="page91"/>
    <w:bookmarkEnd w:id="90"/>
    <w:p>
      <w:pPr>
        <w:jc w:val="center"/>
        <w:ind w:right="20"/>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7"/>
          <w:szCs w:val="27"/>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9"/>
          <w:szCs w:val="19"/>
          <w:color w:val="231F20"/>
        </w:rPr>
        <w:t>interest rate, we estimate an incremental borrowing rate to determine the present value of lease payments. Our estimated incremental borrowing rate reflects a secured rate based on recent debt issuances, our estimated credit rating, lease term, as well as publicly available data for instruments with similar characteristics. For operating leases, we recognize lease cost on a straight-line basis over the term of the lease. When accounting for leases, we combine payments for leased assets, related services and other components of a lease.</w:t>
      </w:r>
    </w:p>
    <w:p>
      <w:pPr>
        <w:spacing w:after="0" w:line="16" w:lineRule="exact"/>
        <w:rPr>
          <w:sz w:val="20"/>
          <w:szCs w:val="20"/>
          <w:color w:val="auto"/>
        </w:rPr>
      </w:pPr>
    </w:p>
    <w:p>
      <w:pPr>
        <w:ind w:right="860" w:firstLine="349"/>
        <w:spacing w:after="0" w:line="283" w:lineRule="auto"/>
        <w:rPr>
          <w:sz w:val="20"/>
          <w:szCs w:val="20"/>
          <w:color w:val="auto"/>
        </w:rPr>
      </w:pPr>
      <w:r>
        <w:rPr>
          <w:rFonts w:ascii="Times New Roman" w:cs="Times New Roman" w:eastAsia="Times New Roman" w:hAnsi="Times New Roman"/>
          <w:sz w:val="19"/>
          <w:szCs w:val="19"/>
          <w:color w:val="231F20"/>
        </w:rPr>
        <w:t>The components of operating lease expense recognized in income from continuing operations in the consolidated statements of income are as follows:</w:t>
      </w:r>
    </w:p>
    <w:p>
      <w:pPr>
        <w:sectPr>
          <w:pgSz w:w="11880" w:h="15480" w:orient="portrait"/>
          <w:cols w:equalWidth="0" w:num="1">
            <w:col w:w="9980"/>
          </w:cols>
          <w:pgMar w:left="960" w:top="250" w:right="940" w:bottom="0" w:gutter="0" w:footer="0" w:header="0"/>
        </w:sectPr>
      </w:pP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53"/>
        </w:trPr>
        <w:tc>
          <w:tcPr>
            <w:tcW w:w="5820" w:type="dxa"/>
            <w:vAlign w:val="bottom"/>
          </w:tcPr>
          <w:p>
            <w:pPr>
              <w:spacing w:after="0"/>
              <w:rPr>
                <w:sz w:val="20"/>
                <w:szCs w:val="20"/>
                <w:color w:val="auto"/>
              </w:rPr>
            </w:pPr>
            <w:r>
              <w:rPr>
                <w:rFonts w:ascii="Times New Roman" w:cs="Times New Roman" w:eastAsia="Times New Roman" w:hAnsi="Times New Roman"/>
                <w:sz w:val="19"/>
                <w:szCs w:val="19"/>
                <w:color w:val="231F20"/>
              </w:rPr>
              <w:t>(in millions)</w:t>
            </w:r>
          </w:p>
        </w:tc>
        <w:tc>
          <w:tcPr>
            <w:tcW w:w="200" w:type="dxa"/>
            <w:vAlign w:val="bottom"/>
          </w:tcPr>
          <w:p>
            <w:pPr>
              <w:spacing w:after="0"/>
              <w:rPr>
                <w:sz w:val="21"/>
                <w:szCs w:val="21"/>
                <w:color w:val="auto"/>
              </w:rPr>
            </w:pPr>
          </w:p>
        </w:tc>
        <w:tc>
          <w:tcPr>
            <w:tcW w:w="1140" w:type="dxa"/>
            <w:vAlign w:val="bottom"/>
          </w:tcPr>
          <w:p>
            <w:pPr>
              <w:jc w:val="right"/>
              <w:ind w:right="167"/>
              <w:spacing w:after="0"/>
              <w:rPr>
                <w:sz w:val="20"/>
                <w:szCs w:val="20"/>
                <w:color w:val="auto"/>
              </w:rPr>
            </w:pPr>
            <w:r>
              <w:rPr>
                <w:rFonts w:ascii="Times New Roman" w:cs="Times New Roman" w:eastAsia="Times New Roman" w:hAnsi="Times New Roman"/>
                <w:sz w:val="17"/>
                <w:szCs w:val="17"/>
                <w:color w:val="231F20"/>
              </w:rPr>
              <w:t>Year Ended</w:t>
            </w:r>
          </w:p>
        </w:tc>
        <w:tc>
          <w:tcPr>
            <w:tcW w:w="240" w:type="dxa"/>
            <w:vAlign w:val="bottom"/>
          </w:tcPr>
          <w:p>
            <w:pPr>
              <w:spacing w:after="0"/>
              <w:rPr>
                <w:sz w:val="21"/>
                <w:szCs w:val="21"/>
                <w:color w:val="auto"/>
              </w:rPr>
            </w:pPr>
          </w:p>
        </w:tc>
        <w:tc>
          <w:tcPr>
            <w:tcW w:w="1120" w:type="dxa"/>
            <w:vAlign w:val="bottom"/>
          </w:tcPr>
          <w:p>
            <w:pPr>
              <w:jc w:val="right"/>
              <w:ind w:right="147"/>
              <w:spacing w:after="0"/>
              <w:rPr>
                <w:sz w:val="20"/>
                <w:szCs w:val="20"/>
                <w:color w:val="auto"/>
              </w:rPr>
            </w:pPr>
            <w:r>
              <w:rPr>
                <w:rFonts w:ascii="Times New Roman" w:cs="Times New Roman" w:eastAsia="Times New Roman" w:hAnsi="Times New Roman"/>
                <w:sz w:val="17"/>
                <w:szCs w:val="17"/>
                <w:color w:val="231F20"/>
              </w:rPr>
              <w:t>Year Ended</w:t>
            </w:r>
          </w:p>
        </w:tc>
      </w:tr>
      <w:tr>
        <w:trPr>
          <w:trHeight w:val="241"/>
        </w:trPr>
        <w:tc>
          <w:tcPr>
            <w:tcW w:w="5820" w:type="dxa"/>
            <w:vAlign w:val="bottom"/>
          </w:tcPr>
          <w:p>
            <w:pPr>
              <w:spacing w:after="0"/>
              <w:rPr>
                <w:sz w:val="20"/>
                <w:szCs w:val="20"/>
                <w:color w:val="auto"/>
              </w:rPr>
            </w:pPr>
          </w:p>
        </w:tc>
        <w:tc>
          <w:tcPr>
            <w:tcW w:w="1340" w:type="dxa"/>
            <w:vAlign w:val="bottom"/>
            <w:tcBorders>
              <w:bottom w:val="single" w:sz="8" w:color="231F20"/>
            </w:tcBorders>
            <w:gridSpan w:val="2"/>
          </w:tcPr>
          <w:p>
            <w:pPr>
              <w:jc w:val="right"/>
              <w:ind w:right="27"/>
              <w:spacing w:after="0"/>
              <w:rPr>
                <w:sz w:val="20"/>
                <w:szCs w:val="20"/>
                <w:color w:val="auto"/>
              </w:rPr>
            </w:pPr>
            <w:r>
              <w:rPr>
                <w:rFonts w:ascii="Times New Roman" w:cs="Times New Roman" w:eastAsia="Times New Roman" w:hAnsi="Times New Roman"/>
                <w:sz w:val="17"/>
                <w:szCs w:val="17"/>
                <w:color w:val="231F20"/>
              </w:rPr>
              <w:t>March 31, 2026</w:t>
            </w:r>
          </w:p>
        </w:tc>
        <w:tc>
          <w:tcPr>
            <w:tcW w:w="1360" w:type="dxa"/>
            <w:vAlign w:val="bottom"/>
            <w:tcBorders>
              <w:bottom w:val="single" w:sz="8" w:color="231F20"/>
            </w:tcBorders>
            <w:gridSpan w:val="2"/>
          </w:tcPr>
          <w:p>
            <w:pPr>
              <w:jc w:val="right"/>
              <w:ind w:right="7"/>
              <w:spacing w:after="0"/>
              <w:rPr>
                <w:sz w:val="20"/>
                <w:szCs w:val="20"/>
                <w:color w:val="auto"/>
              </w:rPr>
            </w:pPr>
            <w:r>
              <w:rPr>
                <w:rFonts w:ascii="Times New Roman" w:cs="Times New Roman" w:eastAsia="Times New Roman" w:hAnsi="Times New Roman"/>
                <w:sz w:val="17"/>
                <w:szCs w:val="17"/>
                <w:color w:val="231F20"/>
              </w:rPr>
              <w:t>March 31, 2025</w:t>
            </w:r>
          </w:p>
        </w:tc>
      </w:tr>
      <w:tr>
        <w:trPr>
          <w:trHeight w:val="257"/>
        </w:trPr>
        <w:tc>
          <w:tcPr>
            <w:tcW w:w="5820" w:type="dxa"/>
            <w:vAlign w:val="bottom"/>
          </w:tcPr>
          <w:p>
            <w:pPr>
              <w:spacing w:after="0"/>
              <w:rPr>
                <w:sz w:val="20"/>
                <w:szCs w:val="20"/>
                <w:color w:val="auto"/>
              </w:rPr>
            </w:pPr>
            <w:r>
              <w:rPr>
                <w:rFonts w:ascii="Times New Roman" w:cs="Times New Roman" w:eastAsia="Times New Roman" w:hAnsi="Times New Roman"/>
                <w:sz w:val="19"/>
                <w:szCs w:val="19"/>
                <w:color w:val="231F20"/>
              </w:rPr>
              <w:t>Fixed operating lease expense</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19"/>
                <w:szCs w:val="19"/>
                <w:b w:val="1"/>
                <w:bCs w:val="1"/>
                <w:color w:val="231F20"/>
              </w:rPr>
              <w:t>45.2</w:t>
            </w: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46.5</w:t>
            </w:r>
          </w:p>
        </w:tc>
      </w:tr>
      <w:tr>
        <w:trPr>
          <w:trHeight w:val="276"/>
        </w:trPr>
        <w:tc>
          <w:tcPr>
            <w:tcW w:w="5820" w:type="dxa"/>
            <w:vAlign w:val="bottom"/>
          </w:tcPr>
          <w:p>
            <w:pPr>
              <w:spacing w:after="0"/>
              <w:rPr>
                <w:sz w:val="20"/>
                <w:szCs w:val="20"/>
                <w:color w:val="auto"/>
              </w:rPr>
            </w:pPr>
            <w:r>
              <w:rPr>
                <w:rFonts w:ascii="Times New Roman" w:cs="Times New Roman" w:eastAsia="Times New Roman" w:hAnsi="Times New Roman"/>
                <w:sz w:val="19"/>
                <w:szCs w:val="19"/>
                <w:color w:val="231F20"/>
              </w:rPr>
              <w:t>Variable operating lease expense</w:t>
            </w:r>
          </w:p>
        </w:tc>
        <w:tc>
          <w:tcPr>
            <w:tcW w:w="200" w:type="dxa"/>
            <w:vAlign w:val="bottom"/>
            <w:tcBorders>
              <w:bottom w:val="single" w:sz="8" w:color="231F20"/>
            </w:tcBorders>
          </w:tcPr>
          <w:p>
            <w:pPr>
              <w:spacing w:after="0"/>
              <w:rPr>
                <w:sz w:val="24"/>
                <w:szCs w:val="24"/>
                <w:color w:val="auto"/>
              </w:rPr>
            </w:pPr>
          </w:p>
        </w:tc>
        <w:tc>
          <w:tcPr>
            <w:tcW w:w="1140" w:type="dxa"/>
            <w:vAlign w:val="bottom"/>
            <w:tcBorders>
              <w:bottom w:val="single" w:sz="8" w:color="231F20"/>
            </w:tcBorders>
          </w:tcPr>
          <w:p>
            <w:pPr>
              <w:jc w:val="right"/>
              <w:ind w:right="7"/>
              <w:spacing w:after="0"/>
              <w:rPr>
                <w:sz w:val="20"/>
                <w:szCs w:val="20"/>
                <w:color w:val="auto"/>
              </w:rPr>
            </w:pPr>
            <w:r>
              <w:rPr>
                <w:rFonts w:ascii="Times New Roman" w:cs="Times New Roman" w:eastAsia="Times New Roman" w:hAnsi="Times New Roman"/>
                <w:sz w:val="19"/>
                <w:szCs w:val="19"/>
                <w:b w:val="1"/>
                <w:bCs w:val="1"/>
                <w:color w:val="231F20"/>
              </w:rPr>
              <w:t>32.6</w:t>
            </w:r>
          </w:p>
        </w:tc>
        <w:tc>
          <w:tcPr>
            <w:tcW w:w="24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21.3</w:t>
            </w:r>
          </w:p>
        </w:tc>
      </w:tr>
      <w:tr>
        <w:trPr>
          <w:trHeight w:val="261"/>
        </w:trPr>
        <w:tc>
          <w:tcPr>
            <w:tcW w:w="5820" w:type="dxa"/>
            <w:vAlign w:val="bottom"/>
          </w:tcPr>
          <w:p>
            <w:pPr>
              <w:spacing w:after="0"/>
              <w:rPr>
                <w:sz w:val="20"/>
                <w:szCs w:val="20"/>
                <w:color w:val="auto"/>
              </w:rPr>
            </w:pPr>
            <w:r>
              <w:rPr>
                <w:rFonts w:ascii="Times New Roman" w:cs="Times New Roman" w:eastAsia="Times New Roman" w:hAnsi="Times New Roman"/>
                <w:sz w:val="19"/>
                <w:szCs w:val="19"/>
                <w:color w:val="231F20"/>
              </w:rPr>
              <w:t>Total operating lease expense</w:t>
            </w:r>
          </w:p>
        </w:tc>
        <w:tc>
          <w:tcPr>
            <w:tcW w:w="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1140" w:type="dxa"/>
            <w:vAlign w:val="bottom"/>
            <w:tcBorders>
              <w:bottom w:val="single" w:sz="8" w:color="231F20"/>
            </w:tcBorders>
          </w:tcPr>
          <w:p>
            <w:pPr>
              <w:jc w:val="right"/>
              <w:ind w:right="7"/>
              <w:spacing w:after="0"/>
              <w:rPr>
                <w:sz w:val="20"/>
                <w:szCs w:val="20"/>
                <w:color w:val="auto"/>
              </w:rPr>
            </w:pPr>
            <w:r>
              <w:rPr>
                <w:rFonts w:ascii="Times New Roman" w:cs="Times New Roman" w:eastAsia="Times New Roman" w:hAnsi="Times New Roman"/>
                <w:sz w:val="19"/>
                <w:szCs w:val="19"/>
                <w:b w:val="1"/>
                <w:bCs w:val="1"/>
                <w:color w:val="231F20"/>
              </w:rPr>
              <w:t>77.8</w:t>
            </w:r>
          </w:p>
        </w:tc>
        <w:tc>
          <w:tcPr>
            <w:tcW w:w="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67.8</w:t>
            </w:r>
          </w:p>
        </w:tc>
      </w:tr>
      <w:tr>
        <w:trPr>
          <w:trHeight w:val="508"/>
        </w:trPr>
        <w:tc>
          <w:tcPr>
            <w:tcW w:w="7160" w:type="dxa"/>
            <w:vAlign w:val="bottom"/>
            <w:gridSpan w:val="3"/>
          </w:tcPr>
          <w:p>
            <w:pPr>
              <w:jc w:val="right"/>
              <w:ind w:right="807"/>
              <w:spacing w:after="0"/>
              <w:rPr>
                <w:sz w:val="20"/>
                <w:szCs w:val="20"/>
                <w:color w:val="auto"/>
              </w:rPr>
            </w:pPr>
            <w:r>
              <w:rPr>
                <w:rFonts w:ascii="Times New Roman" w:cs="Times New Roman" w:eastAsia="Times New Roman" w:hAnsi="Times New Roman"/>
                <w:sz w:val="19"/>
                <w:szCs w:val="19"/>
                <w:color w:val="231F20"/>
              </w:rPr>
              <w:t>Supplemental cash flow information related to operating leases is as follows: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4"/>
        </w:trPr>
        <w:tc>
          <w:tcPr>
            <w:tcW w:w="5820" w:type="dxa"/>
            <w:vAlign w:val="bottom"/>
          </w:tcPr>
          <w:p>
            <w:pPr>
              <w:spacing w:after="0"/>
              <w:rPr>
                <w:sz w:val="20"/>
                <w:szCs w:val="20"/>
                <w:color w:val="auto"/>
              </w:rPr>
            </w:pPr>
            <w:r>
              <w:rPr>
                <w:rFonts w:ascii="Times New Roman" w:cs="Times New Roman" w:eastAsia="Times New Roman" w:hAnsi="Times New Roman"/>
                <w:sz w:val="19"/>
                <w:szCs w:val="19"/>
                <w:color w:val="231F20"/>
              </w:rPr>
              <w:t>(in millions)</w:t>
            </w:r>
          </w:p>
        </w:tc>
        <w:tc>
          <w:tcPr>
            <w:tcW w:w="200" w:type="dxa"/>
            <w:vAlign w:val="bottom"/>
          </w:tcPr>
          <w:p>
            <w:pPr>
              <w:spacing w:after="0"/>
              <w:rPr>
                <w:sz w:val="24"/>
                <w:szCs w:val="24"/>
                <w:color w:val="auto"/>
              </w:rPr>
            </w:pPr>
          </w:p>
        </w:tc>
        <w:tc>
          <w:tcPr>
            <w:tcW w:w="1140" w:type="dxa"/>
            <w:vAlign w:val="bottom"/>
          </w:tcPr>
          <w:p>
            <w:pPr>
              <w:jc w:val="right"/>
              <w:ind w:right="167"/>
              <w:spacing w:after="0"/>
              <w:rPr>
                <w:sz w:val="20"/>
                <w:szCs w:val="20"/>
                <w:color w:val="auto"/>
              </w:rPr>
            </w:pPr>
            <w:r>
              <w:rPr>
                <w:rFonts w:ascii="Times New Roman" w:cs="Times New Roman" w:eastAsia="Times New Roman" w:hAnsi="Times New Roman"/>
                <w:sz w:val="17"/>
                <w:szCs w:val="17"/>
                <w:color w:val="231F20"/>
              </w:rPr>
              <w:t>Year Ended</w:t>
            </w:r>
          </w:p>
        </w:tc>
        <w:tc>
          <w:tcPr>
            <w:tcW w:w="240" w:type="dxa"/>
            <w:vAlign w:val="bottom"/>
          </w:tcPr>
          <w:p>
            <w:pPr>
              <w:spacing w:after="0"/>
              <w:rPr>
                <w:sz w:val="24"/>
                <w:szCs w:val="24"/>
                <w:color w:val="auto"/>
              </w:rPr>
            </w:pPr>
          </w:p>
        </w:tc>
        <w:tc>
          <w:tcPr>
            <w:tcW w:w="1120" w:type="dxa"/>
            <w:vAlign w:val="bottom"/>
          </w:tcPr>
          <w:p>
            <w:pPr>
              <w:jc w:val="right"/>
              <w:ind w:right="147"/>
              <w:spacing w:after="0"/>
              <w:rPr>
                <w:sz w:val="20"/>
                <w:szCs w:val="20"/>
                <w:color w:val="auto"/>
              </w:rPr>
            </w:pPr>
            <w:r>
              <w:rPr>
                <w:rFonts w:ascii="Times New Roman" w:cs="Times New Roman" w:eastAsia="Times New Roman" w:hAnsi="Times New Roman"/>
                <w:sz w:val="17"/>
                <w:szCs w:val="17"/>
                <w:color w:val="231F20"/>
              </w:rPr>
              <w:t>Year Ended</w:t>
            </w:r>
          </w:p>
        </w:tc>
      </w:tr>
    </w:tbl>
    <w:p>
      <w:pPr>
        <w:spacing w:after="0" w:line="20" w:lineRule="exact"/>
        <w:rPr>
          <w:sz w:val="20"/>
          <w:szCs w:val="20"/>
          <w:color w:val="auto"/>
        </w:rPr>
      </w:pPr>
      <w:r>
        <w:rPr>
          <w:sz w:val="20"/>
          <w:szCs w:val="20"/>
          <w:color w:val="auto"/>
        </w:rPr>
        <w:br w:type="column"/>
      </w:r>
    </w:p>
    <w:p>
      <w:pPr>
        <w:jc w:val="center"/>
        <w:ind w:left="-19" w:right="40"/>
        <w:spacing w:after="0" w:line="307" w:lineRule="auto"/>
        <w:rPr>
          <w:sz w:val="20"/>
          <w:szCs w:val="20"/>
          <w:color w:val="auto"/>
        </w:rPr>
      </w:pPr>
      <w:r>
        <w:rPr>
          <w:rFonts w:ascii="Times New Roman" w:cs="Times New Roman" w:eastAsia="Times New Roman" w:hAnsi="Times New Roman"/>
          <w:sz w:val="17"/>
          <w:szCs w:val="17"/>
          <w:color w:val="231F20"/>
        </w:rPr>
        <w:t>Year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-12065</wp:posOffset>
            </wp:positionV>
            <wp:extent cx="840740" cy="120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5">
                      <a:extLst>
                        <a:ext uri="{28A0092B-C50C-407E-A947-70E740481C1C}"/>
                      </a:extLst>
                    </a:blip>
                    <a:srcRect/>
                    <a:stretch>
                      <a:fillRect/>
                    </a:stretch>
                  </pic:blipFill>
                  <pic:spPr bwMode="auto">
                    <a:xfrm>
                      <a:off x="0" y="0"/>
                      <a:ext cx="840740" cy="12065"/>
                    </a:xfrm>
                    <a:prstGeom prst="rect">
                      <a:avLst/>
                    </a:prstGeom>
                    <a:noFill/>
                  </pic:spPr>
                </pic:pic>
              </a:graphicData>
            </a:graphic>
          </wp:anchor>
        </w:drawing>
      </w:r>
    </w:p>
    <w:p>
      <w:pPr>
        <w:jc w:val="both"/>
        <w:ind w:left="860" w:right="80" w:hanging="859"/>
        <w:spacing w:after="0" w:line="303" w:lineRule="auto"/>
        <w:tabs>
          <w:tab w:leader="none" w:pos="840" w:val="left"/>
        </w:tabs>
        <w:rPr>
          <w:sz w:val="20"/>
          <w:szCs w:val="20"/>
          <w:color w:val="auto"/>
        </w:rPr>
      </w:pPr>
      <w:r>
        <w:rPr>
          <w:rFonts w:ascii="Times New Roman" w:cs="Times New Roman" w:eastAsia="Times New Roman" w:hAnsi="Times New Roman"/>
          <w:sz w:val="19"/>
          <w:szCs w:val="19"/>
          <w:color w:val="231F20"/>
        </w:rPr>
        <w:t>$</w:t>
      </w:r>
      <w:r>
        <w:rPr>
          <w:sz w:val="20"/>
          <w:szCs w:val="20"/>
          <w:color w:val="auto"/>
        </w:rPr>
        <w:tab/>
      </w:r>
      <w:r>
        <w:rPr>
          <w:rFonts w:ascii="Times New Roman" w:cs="Times New Roman" w:eastAsia="Times New Roman" w:hAnsi="Times New Roman"/>
          <w:sz w:val="19"/>
          <w:szCs w:val="19"/>
          <w:color w:val="231F20"/>
        </w:rPr>
        <w:t>41.3 24.4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-11430</wp:posOffset>
            </wp:positionV>
            <wp:extent cx="840740" cy="120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6">
                      <a:extLst>
                        <a:ext uri="{28A0092B-C50C-407E-A947-70E740481C1C}"/>
                      </a:extLst>
                    </a:blip>
                    <a:srcRect/>
                    <a:stretch>
                      <a:fillRect/>
                    </a:stretch>
                  </pic:blipFill>
                  <pic:spPr bwMode="auto">
                    <a:xfrm>
                      <a:off x="0" y="0"/>
                      <a:ext cx="840740" cy="12065"/>
                    </a:xfrm>
                    <a:prstGeom prst="rect">
                      <a:avLst/>
                    </a:prstGeom>
                    <a:noFill/>
                  </pic:spPr>
                </pic:pic>
              </a:graphicData>
            </a:graphic>
          </wp:anchor>
        </w:drawing>
      </w:r>
    </w:p>
    <w:p>
      <w:pPr>
        <w:spacing w:after="0"/>
        <w:tabs>
          <w:tab w:leader="none" w:pos="840" w:val="left"/>
        </w:tabs>
        <w:rPr>
          <w:sz w:val="20"/>
          <w:szCs w:val="20"/>
          <w:color w:val="auto"/>
        </w:rPr>
      </w:pPr>
      <w:r>
        <w:rPr>
          <w:rFonts w:ascii="Times New Roman" w:cs="Times New Roman" w:eastAsia="Times New Roman" w:hAnsi="Times New Roman"/>
          <w:sz w:val="19"/>
          <w:szCs w:val="19"/>
          <w:color w:val="231F20"/>
        </w:rPr>
        <w:t>$</w:t>
      </w:r>
      <w:r>
        <w:rPr>
          <w:sz w:val="20"/>
          <w:szCs w:val="20"/>
          <w:color w:val="auto"/>
        </w:rPr>
        <w:tab/>
      </w:r>
      <w:r>
        <w:rPr>
          <w:rFonts w:ascii="Times New Roman" w:cs="Times New Roman" w:eastAsia="Times New Roman" w:hAnsi="Times New Roman"/>
          <w:sz w:val="19"/>
          <w:szCs w:val="19"/>
          <w:color w:val="231F20"/>
        </w:rPr>
        <w:t>65.8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20955</wp:posOffset>
            </wp:positionV>
            <wp:extent cx="840740" cy="18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7">
                      <a:extLst>
                        <a:ext uri="{28A0092B-C50C-407E-A947-70E740481C1C}"/>
                      </a:extLst>
                    </a:blip>
                    <a:srcRect/>
                    <a:stretch>
                      <a:fillRect/>
                    </a:stretch>
                  </pic:blipFill>
                  <pic:spPr bwMode="auto">
                    <a:xfrm>
                      <a:off x="0" y="0"/>
                      <a:ext cx="840740" cy="1841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231F20"/>
        </w:rPr>
        <w:t>Year Ended</w:t>
      </w:r>
    </w:p>
    <w:p>
      <w:pPr>
        <w:spacing w:after="0" w:line="51" w:lineRule="exact"/>
        <w:rPr>
          <w:sz w:val="20"/>
          <w:szCs w:val="20"/>
          <w:color w:val="auto"/>
        </w:rPr>
      </w:pPr>
    </w:p>
    <w:p>
      <w:pPr>
        <w:sectPr>
          <w:pgSz w:w="11880" w:h="15480" w:orient="portrait"/>
          <w:cols w:equalWidth="0" w:num="2">
            <w:col w:w="8580" w:space="120"/>
            <w:col w:w="1280"/>
          </w:cols>
          <w:pgMar w:left="960" w:top="250" w:right="940" w:bottom="0" w:gutter="0" w:footer="0" w:header="0"/>
          <w:type w:val="continuous"/>
        </w:sectPr>
      </w:pPr>
    </w:p>
    <w:tbl>
      <w:tblPr>
        <w:tblLayout w:type="fixed"/>
        <w:tblInd w:w="60" w:type="dxa"/>
        <w:tblCellMar>
          <w:top w:w="0" w:type="dxa"/>
          <w:left w:w="0" w:type="dxa"/>
          <w:bottom w:w="0" w:type="dxa"/>
          <w:right w:w="0" w:type="dxa"/>
        </w:tblCellMar>
      </w:tblPr>
      <w:tr>
        <w:trPr>
          <w:trHeight w:val="232"/>
        </w:trPr>
        <w:tc>
          <w:tcPr>
            <w:tcW w:w="5820" w:type="dxa"/>
            <w:vAlign w:val="bottom"/>
          </w:tcPr>
          <w:p>
            <w:pPr>
              <w:spacing w:after="0"/>
              <w:rPr>
                <w:sz w:val="20"/>
                <w:szCs w:val="20"/>
                <w:color w:val="auto"/>
              </w:rPr>
            </w:pPr>
          </w:p>
        </w:tc>
        <w:tc>
          <w:tcPr>
            <w:tcW w:w="1340" w:type="dxa"/>
            <w:vAlign w:val="bottom"/>
            <w:tcBorders>
              <w:bottom w:val="single" w:sz="8" w:color="231F20"/>
            </w:tcBorders>
            <w:gridSpan w:val="2"/>
          </w:tcPr>
          <w:p>
            <w:pPr>
              <w:jc w:val="right"/>
              <w:ind w:right="23"/>
              <w:spacing w:after="0"/>
              <w:rPr>
                <w:sz w:val="20"/>
                <w:szCs w:val="20"/>
                <w:color w:val="auto"/>
              </w:rPr>
            </w:pPr>
            <w:r>
              <w:rPr>
                <w:rFonts w:ascii="Times New Roman" w:cs="Times New Roman" w:eastAsia="Times New Roman" w:hAnsi="Times New Roman"/>
                <w:sz w:val="17"/>
                <w:szCs w:val="17"/>
                <w:color w:val="231F20"/>
              </w:rPr>
              <w:t>March 31, 2026</w:t>
            </w:r>
          </w:p>
        </w:tc>
        <w:tc>
          <w:tcPr>
            <w:tcW w:w="1360" w:type="dxa"/>
            <w:vAlign w:val="bottom"/>
            <w:tcBorders>
              <w:bottom w:val="single" w:sz="8" w:color="231F20"/>
            </w:tcBorders>
            <w:gridSpan w:val="3"/>
          </w:tcPr>
          <w:p>
            <w:pPr>
              <w:ind w:left="160"/>
              <w:spacing w:after="0"/>
              <w:rPr>
                <w:sz w:val="20"/>
                <w:szCs w:val="20"/>
                <w:color w:val="auto"/>
              </w:rPr>
            </w:pPr>
            <w:r>
              <w:rPr>
                <w:rFonts w:ascii="Times New Roman" w:cs="Times New Roman" w:eastAsia="Times New Roman" w:hAnsi="Times New Roman"/>
                <w:sz w:val="17"/>
                <w:szCs w:val="17"/>
                <w:color w:val="231F20"/>
              </w:rPr>
              <w:t>March 31, 2025</w:t>
            </w:r>
          </w:p>
        </w:tc>
        <w:tc>
          <w:tcPr>
            <w:tcW w:w="60" w:type="dxa"/>
            <w:vAlign w:val="bottom"/>
          </w:tcPr>
          <w:p>
            <w:pPr>
              <w:spacing w:after="0"/>
              <w:rPr>
                <w:sz w:val="20"/>
                <w:szCs w:val="20"/>
                <w:color w:val="auto"/>
              </w:rPr>
            </w:pPr>
          </w:p>
        </w:tc>
        <w:tc>
          <w:tcPr>
            <w:tcW w:w="1340" w:type="dxa"/>
            <w:vAlign w:val="bottom"/>
            <w:tcBorders>
              <w:bottom w:val="single" w:sz="8" w:color="231F20"/>
            </w:tcBorders>
            <w:gridSpan w:val="3"/>
          </w:tcPr>
          <w:p>
            <w:pPr>
              <w:ind w:left="120"/>
              <w:spacing w:after="0"/>
              <w:rPr>
                <w:sz w:val="20"/>
                <w:szCs w:val="20"/>
                <w:color w:val="auto"/>
              </w:rPr>
            </w:pPr>
            <w:r>
              <w:rPr>
                <w:rFonts w:ascii="Times New Roman" w:cs="Times New Roman" w:eastAsia="Times New Roman" w:hAnsi="Times New Roman"/>
                <w:sz w:val="17"/>
                <w:szCs w:val="17"/>
                <w:color w:val="231F20"/>
              </w:rPr>
              <w:t>March 31, 2024</w:t>
            </w:r>
          </w:p>
        </w:tc>
        <w:tc>
          <w:tcPr>
            <w:tcW w:w="0" w:type="dxa"/>
            <w:vAlign w:val="bottom"/>
          </w:tcPr>
          <w:p>
            <w:pPr>
              <w:spacing w:after="0"/>
              <w:rPr>
                <w:sz w:val="1"/>
                <w:szCs w:val="1"/>
                <w:color w:val="auto"/>
              </w:rPr>
            </w:pPr>
          </w:p>
        </w:tc>
      </w:tr>
      <w:tr>
        <w:trPr>
          <w:trHeight w:val="176"/>
        </w:trPr>
        <w:tc>
          <w:tcPr>
            <w:tcW w:w="5820" w:type="dxa"/>
            <w:vAlign w:val="bottom"/>
          </w:tcPr>
          <w:p>
            <w:pPr>
              <w:spacing w:after="0" w:line="176" w:lineRule="exact"/>
              <w:rPr>
                <w:sz w:val="20"/>
                <w:szCs w:val="20"/>
                <w:color w:val="auto"/>
              </w:rPr>
            </w:pPr>
            <w:r>
              <w:rPr>
                <w:rFonts w:ascii="Times New Roman" w:cs="Times New Roman" w:eastAsia="Times New Roman" w:hAnsi="Times New Roman"/>
                <w:sz w:val="19"/>
                <w:szCs w:val="19"/>
                <w:color w:val="231F20"/>
              </w:rPr>
              <w:t>Cash paid for amounts included in the measurement of operating lease</w:t>
            </w:r>
          </w:p>
        </w:tc>
        <w:tc>
          <w:tcPr>
            <w:tcW w:w="520" w:type="dxa"/>
            <w:vAlign w:val="bottom"/>
            <w:vMerge w:val="restart"/>
          </w:tcPr>
          <w:p>
            <w:pPr>
              <w:jc w:val="right"/>
              <w:ind w:right="266"/>
              <w:spacing w:after="0"/>
              <w:rPr>
                <w:sz w:val="20"/>
                <w:szCs w:val="20"/>
                <w:color w:val="auto"/>
              </w:rPr>
            </w:pPr>
            <w:r>
              <w:rPr>
                <w:rFonts w:ascii="Times New Roman" w:cs="Times New Roman" w:eastAsia="Times New Roman" w:hAnsi="Times New Roman"/>
                <w:sz w:val="19"/>
                <w:szCs w:val="19"/>
                <w:b w:val="1"/>
                <w:bCs w:val="1"/>
                <w:color w:val="231F20"/>
              </w:rPr>
              <w:t>$</w:t>
            </w:r>
          </w:p>
        </w:tc>
        <w:tc>
          <w:tcPr>
            <w:tcW w:w="820" w:type="dxa"/>
            <w:vAlign w:val="bottom"/>
            <w:vMerge w:val="restart"/>
          </w:tcPr>
          <w:p>
            <w:pPr>
              <w:jc w:val="right"/>
              <w:ind w:right="3"/>
              <w:spacing w:after="0"/>
              <w:rPr>
                <w:sz w:val="20"/>
                <w:szCs w:val="20"/>
                <w:color w:val="auto"/>
              </w:rPr>
            </w:pPr>
            <w:r>
              <w:rPr>
                <w:rFonts w:ascii="Times New Roman" w:cs="Times New Roman" w:eastAsia="Times New Roman" w:hAnsi="Times New Roman"/>
                <w:sz w:val="19"/>
                <w:szCs w:val="19"/>
                <w:b w:val="1"/>
                <w:bCs w:val="1"/>
                <w:color w:val="231F20"/>
              </w:rPr>
              <w:t>45.2</w:t>
            </w:r>
          </w:p>
        </w:tc>
        <w:tc>
          <w:tcPr>
            <w:tcW w:w="580" w:type="dxa"/>
            <w:vAlign w:val="bottom"/>
            <w:vMerge w:val="restart"/>
          </w:tcPr>
          <w:p>
            <w:pPr>
              <w:jc w:val="right"/>
              <w:ind w:right="286"/>
              <w:spacing w:after="0"/>
              <w:rPr>
                <w:sz w:val="20"/>
                <w:szCs w:val="20"/>
                <w:color w:val="auto"/>
              </w:rPr>
            </w:pPr>
            <w:r>
              <w:rPr>
                <w:rFonts w:ascii="Times New Roman" w:cs="Times New Roman" w:eastAsia="Times New Roman" w:hAnsi="Times New Roman"/>
                <w:sz w:val="19"/>
                <w:szCs w:val="19"/>
                <w:color w:val="231F20"/>
              </w:rPr>
              <w:t>$</w:t>
            </w:r>
          </w:p>
        </w:tc>
        <w:tc>
          <w:tcPr>
            <w:tcW w:w="780" w:type="dxa"/>
            <w:vAlign w:val="bottom"/>
            <w:gridSpan w:val="2"/>
            <w:vMerge w:val="restart"/>
          </w:tcPr>
          <w:p>
            <w:pPr>
              <w:jc w:val="center"/>
              <w:ind w:left="223"/>
              <w:spacing w:after="0"/>
              <w:rPr>
                <w:sz w:val="20"/>
                <w:szCs w:val="20"/>
                <w:color w:val="auto"/>
              </w:rPr>
            </w:pPr>
            <w:r>
              <w:rPr>
                <w:rFonts w:ascii="Times New Roman" w:cs="Times New Roman" w:eastAsia="Times New Roman" w:hAnsi="Times New Roman"/>
                <w:sz w:val="19"/>
                <w:szCs w:val="19"/>
                <w:color w:val="231F20"/>
              </w:rPr>
              <w:t>46.5</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46.9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5820" w:type="dxa"/>
            <w:vAlign w:val="bottom"/>
          </w:tcPr>
          <w:p>
            <w:pPr>
              <w:spacing w:after="0"/>
              <w:rPr>
                <w:sz w:val="20"/>
                <w:szCs w:val="20"/>
                <w:color w:val="auto"/>
              </w:rPr>
            </w:pPr>
            <w:r>
              <w:rPr>
                <w:rFonts w:ascii="Times New Roman" w:cs="Times New Roman" w:eastAsia="Times New Roman" w:hAnsi="Times New Roman"/>
                <w:sz w:val="19"/>
                <w:szCs w:val="19"/>
                <w:color w:val="231F20"/>
              </w:rPr>
              <w:t>liabilities</w:t>
            </w:r>
          </w:p>
        </w:tc>
        <w:tc>
          <w:tcPr>
            <w:tcW w:w="52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580" w:type="dxa"/>
            <w:vAlign w:val="bottom"/>
            <w:vMerge w:val="continue"/>
          </w:tcPr>
          <w:p>
            <w:pPr>
              <w:spacing w:after="0"/>
              <w:rPr>
                <w:sz w:val="21"/>
                <w:szCs w:val="21"/>
                <w:color w:val="auto"/>
              </w:rPr>
            </w:pPr>
          </w:p>
        </w:tc>
        <w:tc>
          <w:tcPr>
            <w:tcW w:w="780" w:type="dxa"/>
            <w:vAlign w:val="bottom"/>
            <w:gridSpan w:val="2"/>
            <w:vMerge w:val="continue"/>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5820" w:type="dxa"/>
            <w:vAlign w:val="bottom"/>
          </w:tcPr>
          <w:p>
            <w:pPr>
              <w:spacing w:after="0" w:line="199" w:lineRule="exact"/>
              <w:rPr>
                <w:sz w:val="20"/>
                <w:szCs w:val="20"/>
                <w:color w:val="auto"/>
              </w:rPr>
            </w:pPr>
            <w:r>
              <w:rPr>
                <w:rFonts w:ascii="Times New Roman" w:cs="Times New Roman" w:eastAsia="Times New Roman" w:hAnsi="Times New Roman"/>
                <w:sz w:val="19"/>
                <w:szCs w:val="19"/>
                <w:color w:val="231F20"/>
              </w:rPr>
              <w:t>Right-of-use assets obtained in exchange for operating lease obligations,</w:t>
            </w:r>
          </w:p>
        </w:tc>
        <w:tc>
          <w:tcPr>
            <w:tcW w:w="520" w:type="dxa"/>
            <w:vAlign w:val="bottom"/>
            <w:vMerge w:val="restart"/>
          </w:tcPr>
          <w:p>
            <w:pPr>
              <w:jc w:val="right"/>
              <w:ind w:right="266"/>
              <w:spacing w:after="0"/>
              <w:rPr>
                <w:sz w:val="20"/>
                <w:szCs w:val="20"/>
                <w:color w:val="auto"/>
              </w:rPr>
            </w:pPr>
            <w:r>
              <w:rPr>
                <w:rFonts w:ascii="Times New Roman" w:cs="Times New Roman" w:eastAsia="Times New Roman" w:hAnsi="Times New Roman"/>
                <w:sz w:val="19"/>
                <w:szCs w:val="19"/>
                <w:b w:val="1"/>
                <w:bCs w:val="1"/>
                <w:color w:val="231F20"/>
              </w:rPr>
              <w:t>$</w:t>
            </w:r>
          </w:p>
        </w:tc>
        <w:tc>
          <w:tcPr>
            <w:tcW w:w="820" w:type="dxa"/>
            <w:vAlign w:val="bottom"/>
            <w:vMerge w:val="restart"/>
          </w:tcPr>
          <w:p>
            <w:pPr>
              <w:jc w:val="right"/>
              <w:ind w:right="3"/>
              <w:spacing w:after="0"/>
              <w:rPr>
                <w:sz w:val="20"/>
                <w:szCs w:val="20"/>
                <w:color w:val="auto"/>
              </w:rPr>
            </w:pPr>
            <w:r>
              <w:rPr>
                <w:rFonts w:ascii="Times New Roman" w:cs="Times New Roman" w:eastAsia="Times New Roman" w:hAnsi="Times New Roman"/>
                <w:sz w:val="19"/>
                <w:szCs w:val="19"/>
                <w:b w:val="1"/>
                <w:bCs w:val="1"/>
                <w:color w:val="231F20"/>
              </w:rPr>
              <w:t>17.1</w:t>
            </w:r>
          </w:p>
        </w:tc>
        <w:tc>
          <w:tcPr>
            <w:tcW w:w="580" w:type="dxa"/>
            <w:vAlign w:val="bottom"/>
            <w:vMerge w:val="restart"/>
          </w:tcPr>
          <w:p>
            <w:pPr>
              <w:jc w:val="right"/>
              <w:ind w:right="286"/>
              <w:spacing w:after="0"/>
              <w:rPr>
                <w:sz w:val="20"/>
                <w:szCs w:val="20"/>
                <w:color w:val="auto"/>
              </w:rPr>
            </w:pPr>
            <w:r>
              <w:rPr>
                <w:rFonts w:ascii="Times New Roman" w:cs="Times New Roman" w:eastAsia="Times New Roman" w:hAnsi="Times New Roman"/>
                <w:sz w:val="19"/>
                <w:szCs w:val="19"/>
                <w:color w:val="231F20"/>
              </w:rPr>
              <w:t>$</w:t>
            </w:r>
          </w:p>
        </w:tc>
        <w:tc>
          <w:tcPr>
            <w:tcW w:w="780" w:type="dxa"/>
            <w:vAlign w:val="bottom"/>
            <w:gridSpan w:val="2"/>
            <w:vMerge w:val="restart"/>
          </w:tcPr>
          <w:p>
            <w:pPr>
              <w:jc w:val="center"/>
              <w:ind w:left="223"/>
              <w:spacing w:after="0"/>
              <w:rPr>
                <w:sz w:val="20"/>
                <w:szCs w:val="20"/>
                <w:color w:val="auto"/>
              </w:rPr>
            </w:pPr>
            <w:r>
              <w:rPr>
                <w:rFonts w:ascii="Times New Roman" w:cs="Times New Roman" w:eastAsia="Times New Roman" w:hAnsi="Times New Roman"/>
                <w:sz w:val="19"/>
                <w:szCs w:val="19"/>
                <w:color w:val="231F20"/>
              </w:rPr>
              <w:t>29.8</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24.7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5820" w:type="dxa"/>
            <w:vAlign w:val="bottom"/>
          </w:tcPr>
          <w:p>
            <w:pPr>
              <w:spacing w:after="0"/>
              <w:rPr>
                <w:sz w:val="20"/>
                <w:szCs w:val="20"/>
                <w:color w:val="auto"/>
              </w:rPr>
            </w:pPr>
            <w:r>
              <w:rPr>
                <w:rFonts w:ascii="Times New Roman" w:cs="Times New Roman" w:eastAsia="Times New Roman" w:hAnsi="Times New Roman"/>
                <w:sz w:val="19"/>
                <w:szCs w:val="19"/>
                <w:color w:val="231F20"/>
              </w:rPr>
              <w:t>net</w:t>
            </w:r>
          </w:p>
        </w:tc>
        <w:tc>
          <w:tcPr>
            <w:tcW w:w="52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580" w:type="dxa"/>
            <w:vAlign w:val="bottom"/>
            <w:vMerge w:val="continue"/>
          </w:tcPr>
          <w:p>
            <w:pPr>
              <w:spacing w:after="0"/>
              <w:rPr>
                <w:sz w:val="21"/>
                <w:szCs w:val="21"/>
                <w:color w:val="auto"/>
              </w:rPr>
            </w:pPr>
          </w:p>
        </w:tc>
        <w:tc>
          <w:tcPr>
            <w:tcW w:w="780" w:type="dxa"/>
            <w:vAlign w:val="bottom"/>
            <w:gridSpan w:val="2"/>
            <w:vMerge w:val="continue"/>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4"/>
        </w:trPr>
        <w:tc>
          <w:tcPr>
            <w:tcW w:w="5820" w:type="dxa"/>
            <w:vAlign w:val="bottom"/>
          </w:tcPr>
          <w:p>
            <w:pPr>
              <w:ind w:left="300"/>
              <w:spacing w:after="0"/>
              <w:rPr>
                <w:sz w:val="20"/>
                <w:szCs w:val="20"/>
                <w:color w:val="auto"/>
              </w:rPr>
            </w:pPr>
            <w:r>
              <w:rPr>
                <w:rFonts w:ascii="Times New Roman" w:cs="Times New Roman" w:eastAsia="Times New Roman" w:hAnsi="Times New Roman"/>
                <w:sz w:val="19"/>
                <w:szCs w:val="19"/>
                <w:color w:val="231F20"/>
              </w:rPr>
              <w:t>Maturities of lease liabilities at March 31, 2026 are as follows</w:t>
            </w:r>
            <w:r>
              <w:rPr>
                <w:rFonts w:ascii="Times New Roman" w:cs="Times New Roman" w:eastAsia="Times New Roman" w:hAnsi="Times New Roman"/>
                <w:sz w:val="21"/>
                <w:szCs w:val="21"/>
                <w:color w:val="231F20"/>
              </w:rPr>
              <w:t>:</w:t>
            </w: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5820" w:type="dxa"/>
            <w:vAlign w:val="bottom"/>
            <w:vMerge w:val="restart"/>
          </w:tcPr>
          <w:p>
            <w:pPr>
              <w:spacing w:after="0"/>
              <w:rPr>
                <w:sz w:val="20"/>
                <w:szCs w:val="20"/>
                <w:color w:val="auto"/>
              </w:rPr>
            </w:pPr>
            <w:r>
              <w:rPr>
                <w:rFonts w:ascii="Times New Roman" w:cs="Times New Roman" w:eastAsia="Times New Roman" w:hAnsi="Times New Roman"/>
                <w:sz w:val="19"/>
                <w:szCs w:val="19"/>
                <w:color w:val="231F20"/>
              </w:rPr>
              <w:t>(in millions)</w:t>
            </w: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231F20"/>
              </w:rPr>
              <w:t>March 31,</w:t>
            </w:r>
          </w:p>
        </w:tc>
        <w:tc>
          <w:tcPr>
            <w:tcW w:w="0" w:type="dxa"/>
            <w:vAlign w:val="bottom"/>
          </w:tcPr>
          <w:p>
            <w:pPr>
              <w:spacing w:after="0"/>
              <w:rPr>
                <w:sz w:val="1"/>
                <w:szCs w:val="1"/>
                <w:color w:val="auto"/>
              </w:rPr>
            </w:pPr>
          </w:p>
        </w:tc>
      </w:tr>
      <w:tr>
        <w:trPr>
          <w:trHeight w:val="231"/>
        </w:trPr>
        <w:tc>
          <w:tcPr>
            <w:tcW w:w="582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1100" w:type="dxa"/>
            <w:vAlign w:val="bottom"/>
            <w:tcBorders>
              <w:bottom w:val="single" w:sz="8" w:color="231F20"/>
            </w:tcBorders>
          </w:tcPr>
          <w:p>
            <w:pPr>
              <w:jc w:val="right"/>
              <w:ind w:right="584"/>
              <w:spacing w:after="0"/>
              <w:rPr>
                <w:sz w:val="20"/>
                <w:szCs w:val="20"/>
                <w:color w:val="auto"/>
              </w:rPr>
            </w:pPr>
            <w:r>
              <w:rPr>
                <w:rFonts w:ascii="Times New Roman" w:cs="Times New Roman" w:eastAsia="Times New Roman" w:hAnsi="Times New Roman"/>
                <w:sz w:val="17"/>
                <w:szCs w:val="17"/>
                <w:color w:val="231F20"/>
              </w:rPr>
              <w:t>2026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820" w:type="dxa"/>
            <w:vAlign w:val="bottom"/>
          </w:tcPr>
          <w:p>
            <w:pPr>
              <w:spacing w:after="0"/>
              <w:rPr>
                <w:sz w:val="20"/>
                <w:szCs w:val="20"/>
                <w:color w:val="auto"/>
              </w:rPr>
            </w:pPr>
            <w:r>
              <w:rPr>
                <w:rFonts w:ascii="Times New Roman" w:cs="Times New Roman" w:eastAsia="Times New Roman" w:hAnsi="Times New Roman"/>
                <w:sz w:val="19"/>
                <w:szCs w:val="19"/>
                <w:color w:val="231F20"/>
              </w:rPr>
              <w:t>2027</w:t>
            </w:r>
          </w:p>
        </w:tc>
        <w:tc>
          <w:tcPr>
            <w:tcW w:w="5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jc w:val="center"/>
              <w:ind w:right="43"/>
              <w:spacing w:after="0"/>
              <w:rPr>
                <w:sz w:val="20"/>
                <w:szCs w:val="20"/>
                <w:color w:val="auto"/>
              </w:rPr>
            </w:pPr>
            <w:r>
              <w:rPr>
                <w:rFonts w:ascii="Times New Roman" w:cs="Times New Roman" w:eastAsia="Times New Roman" w:hAnsi="Times New Roman"/>
                <w:sz w:val="19"/>
                <w:szCs w:val="19"/>
                <w:b w:val="1"/>
                <w:bCs w:val="1"/>
                <w:color w:val="231F20"/>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42.1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5820" w:type="dxa"/>
            <w:vAlign w:val="bottom"/>
          </w:tcPr>
          <w:p>
            <w:pPr>
              <w:spacing w:after="0"/>
              <w:rPr>
                <w:sz w:val="20"/>
                <w:szCs w:val="20"/>
                <w:color w:val="auto"/>
              </w:rPr>
            </w:pPr>
            <w:r>
              <w:rPr>
                <w:rFonts w:ascii="Times New Roman" w:cs="Times New Roman" w:eastAsia="Times New Roman" w:hAnsi="Times New Roman"/>
                <w:sz w:val="19"/>
                <w:szCs w:val="19"/>
                <w:color w:val="231F20"/>
              </w:rPr>
              <w:t>2028</w:t>
            </w: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31.1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19"/>
                <w:szCs w:val="19"/>
                <w:color w:val="231F20"/>
              </w:rPr>
              <w:t>2029</w:t>
            </w: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22.1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19"/>
                <w:szCs w:val="19"/>
                <w:color w:val="231F20"/>
              </w:rPr>
              <w:t>2030</w:t>
            </w: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5820" w:type="dxa"/>
            <w:vAlign w:val="bottom"/>
          </w:tcPr>
          <w:p>
            <w:pPr>
              <w:spacing w:after="0"/>
              <w:rPr>
                <w:sz w:val="20"/>
                <w:szCs w:val="20"/>
                <w:color w:val="auto"/>
              </w:rPr>
            </w:pPr>
            <w:r>
              <w:rPr>
                <w:rFonts w:ascii="Times New Roman" w:cs="Times New Roman" w:eastAsia="Times New Roman" w:hAnsi="Times New Roman"/>
                <w:sz w:val="19"/>
                <w:szCs w:val="19"/>
                <w:color w:val="231F20"/>
              </w:rPr>
              <w:t>2031 and thereafter</w:t>
            </w: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77.8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820" w:type="dxa"/>
            <w:vAlign w:val="bottom"/>
          </w:tcPr>
          <w:p>
            <w:pPr>
              <w:spacing w:after="0"/>
              <w:rPr>
                <w:sz w:val="20"/>
                <w:szCs w:val="20"/>
                <w:color w:val="auto"/>
              </w:rPr>
            </w:pPr>
            <w:r>
              <w:rPr>
                <w:rFonts w:ascii="Times New Roman" w:cs="Times New Roman" w:eastAsia="Times New Roman" w:hAnsi="Times New Roman"/>
                <w:sz w:val="19"/>
                <w:szCs w:val="19"/>
                <w:color w:val="231F20"/>
              </w:rPr>
              <w:t>Total operating lease payments</w:t>
            </w:r>
          </w:p>
        </w:tc>
        <w:tc>
          <w:tcPr>
            <w:tcW w:w="5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jc w:val="center"/>
              <w:ind w:right="43"/>
              <w:spacing w:after="0"/>
              <w:rPr>
                <w:sz w:val="20"/>
                <w:szCs w:val="20"/>
                <w:color w:val="auto"/>
              </w:rPr>
            </w:pPr>
            <w:r>
              <w:rPr>
                <w:rFonts w:ascii="Times New Roman" w:cs="Times New Roman" w:eastAsia="Times New Roman" w:hAnsi="Times New Roman"/>
                <w:sz w:val="19"/>
                <w:szCs w:val="19"/>
                <w:b w:val="1"/>
                <w:bCs w:val="1"/>
                <w:color w:val="231F20"/>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188.1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820" w:type="dxa"/>
            <w:vAlign w:val="bottom"/>
          </w:tcPr>
          <w:p>
            <w:pPr>
              <w:spacing w:after="0"/>
              <w:rPr>
                <w:sz w:val="20"/>
                <w:szCs w:val="20"/>
                <w:color w:val="auto"/>
              </w:rPr>
            </w:pPr>
            <w:r>
              <w:rPr>
                <w:rFonts w:ascii="Times New Roman" w:cs="Times New Roman" w:eastAsia="Times New Roman" w:hAnsi="Times New Roman"/>
                <w:sz w:val="19"/>
                <w:szCs w:val="19"/>
                <w:color w:val="231F20"/>
              </w:rPr>
              <w:t>Less imputed interest</w:t>
            </w: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32.7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5820" w:type="dxa"/>
            <w:vAlign w:val="bottom"/>
          </w:tcPr>
          <w:p>
            <w:pPr>
              <w:spacing w:after="0"/>
              <w:rPr>
                <w:sz w:val="20"/>
                <w:szCs w:val="20"/>
                <w:color w:val="auto"/>
              </w:rPr>
            </w:pPr>
            <w:r>
              <w:rPr>
                <w:rFonts w:ascii="Times New Roman" w:cs="Times New Roman" w:eastAsia="Times New Roman" w:hAnsi="Times New Roman"/>
                <w:sz w:val="19"/>
                <w:szCs w:val="19"/>
                <w:b w:val="1"/>
                <w:bCs w:val="1"/>
                <w:color w:val="231F20"/>
              </w:rPr>
              <w:t>Total operating lease liabilities</w:t>
            </w:r>
          </w:p>
        </w:tc>
        <w:tc>
          <w:tcPr>
            <w:tcW w:w="5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Borders>
              <w:bottom w:val="single" w:sz="8" w:color="231F20"/>
            </w:tcBorders>
          </w:tcPr>
          <w:p>
            <w:pPr>
              <w:jc w:val="center"/>
              <w:ind w:right="43"/>
              <w:spacing w:after="0"/>
              <w:rPr>
                <w:sz w:val="20"/>
                <w:szCs w:val="20"/>
                <w:color w:val="auto"/>
              </w:rPr>
            </w:pPr>
            <w:r>
              <w:rPr>
                <w:rFonts w:ascii="Times New Roman" w:cs="Times New Roman" w:eastAsia="Times New Roman" w:hAnsi="Times New Roman"/>
                <w:sz w:val="19"/>
                <w:szCs w:val="19"/>
                <w:b w:val="1"/>
                <w:bCs w:val="1"/>
                <w:color w:val="231F20"/>
              </w:rPr>
              <w:t>$</w:t>
            </w:r>
          </w:p>
        </w:tc>
        <w:tc>
          <w:tcPr>
            <w:tcW w:w="60" w:type="dxa"/>
            <w:vAlign w:val="bottom"/>
            <w:tcBorders>
              <w:bottom w:val="single" w:sz="8" w:color="231F20"/>
            </w:tcBorders>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155.4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jc w:val="both"/>
        <w:ind w:right="500" w:firstLine="349"/>
        <w:spacing w:after="0" w:line="293" w:lineRule="auto"/>
        <w:rPr>
          <w:sz w:val="20"/>
          <w:szCs w:val="20"/>
          <w:color w:val="auto"/>
        </w:rPr>
      </w:pPr>
      <w:r>
        <w:rPr>
          <w:rFonts w:ascii="Times New Roman" w:cs="Times New Roman" w:eastAsia="Times New Roman" w:hAnsi="Times New Roman"/>
          <w:sz w:val="19"/>
          <w:szCs w:val="19"/>
          <w:color w:val="231F20"/>
        </w:rPr>
        <w:t>In the preceding table, the future minimum annual rentals payable under noncancelable leases denominated in foreign currencies have been calculated using March 31, 2026 foreign currency exchange rates.</w:t>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Supplemental information related to operating leases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60" w:type="dxa"/>
            <w:vAlign w:val="bottom"/>
          </w:tcPr>
          <w:p>
            <w:pPr>
              <w:spacing w:after="0"/>
              <w:rPr>
                <w:sz w:val="19"/>
                <w:szCs w:val="19"/>
                <w:color w:val="auto"/>
              </w:rPr>
            </w:pPr>
          </w:p>
        </w:tc>
        <w:tc>
          <w:tcPr>
            <w:tcW w:w="2240" w:type="dxa"/>
            <w:vAlign w:val="bottom"/>
          </w:tcPr>
          <w:p>
            <w:pPr>
              <w:jc w:val="center"/>
              <w:ind w:right="228"/>
              <w:spacing w:after="0"/>
              <w:rPr>
                <w:sz w:val="20"/>
                <w:szCs w:val="20"/>
                <w:color w:val="auto"/>
              </w:rPr>
            </w:pPr>
            <w:r>
              <w:rPr>
                <w:rFonts w:ascii="Times New Roman" w:cs="Times New Roman" w:eastAsia="Times New Roman" w:hAnsi="Times New Roman"/>
                <w:sz w:val="17"/>
                <w:szCs w:val="17"/>
                <w:color w:val="231F20"/>
              </w:rPr>
              <w:t>March 31,</w:t>
            </w:r>
          </w:p>
        </w:tc>
        <w:tc>
          <w:tcPr>
            <w:tcW w:w="1660" w:type="dxa"/>
            <w:vAlign w:val="bottom"/>
          </w:tcPr>
          <w:p>
            <w:pPr>
              <w:jc w:val="center"/>
              <w:ind w:right="168"/>
              <w:spacing w:after="0"/>
              <w:rPr>
                <w:sz w:val="20"/>
                <w:szCs w:val="20"/>
                <w:color w:val="auto"/>
              </w:rPr>
            </w:pPr>
            <w:r>
              <w:rPr>
                <w:rFonts w:ascii="Times New Roman" w:cs="Times New Roman" w:eastAsia="Times New Roman" w:hAnsi="Times New Roman"/>
                <w:sz w:val="17"/>
                <w:szCs w:val="17"/>
                <w:color w:val="231F20"/>
              </w:rPr>
              <w:t>March 31,</w:t>
            </w:r>
          </w:p>
        </w:tc>
      </w:tr>
      <w:tr>
        <w:trPr>
          <w:trHeight w:val="237"/>
        </w:trPr>
        <w:tc>
          <w:tcPr>
            <w:tcW w:w="6060" w:type="dxa"/>
            <w:vAlign w:val="bottom"/>
          </w:tcPr>
          <w:p>
            <w:pPr>
              <w:spacing w:after="0"/>
              <w:rPr>
                <w:sz w:val="20"/>
                <w:szCs w:val="20"/>
                <w:color w:val="auto"/>
              </w:rPr>
            </w:pPr>
          </w:p>
        </w:tc>
        <w:tc>
          <w:tcPr>
            <w:tcW w:w="2240" w:type="dxa"/>
            <w:vAlign w:val="bottom"/>
            <w:tcBorders>
              <w:bottom w:val="single" w:sz="8" w:color="231F20"/>
            </w:tcBorders>
          </w:tcPr>
          <w:p>
            <w:pPr>
              <w:jc w:val="right"/>
              <w:ind w:right="1008"/>
              <w:spacing w:after="0"/>
              <w:rPr>
                <w:sz w:val="20"/>
                <w:szCs w:val="20"/>
                <w:color w:val="auto"/>
              </w:rPr>
            </w:pPr>
            <w:r>
              <w:rPr>
                <w:rFonts w:ascii="Times New Roman" w:cs="Times New Roman" w:eastAsia="Times New Roman" w:hAnsi="Times New Roman"/>
                <w:sz w:val="17"/>
                <w:szCs w:val="17"/>
                <w:color w:val="231F20"/>
              </w:rPr>
              <w:t>2026</w:t>
            </w:r>
          </w:p>
        </w:tc>
        <w:tc>
          <w:tcPr>
            <w:tcW w:w="1660" w:type="dxa"/>
            <w:vAlign w:val="bottom"/>
            <w:tcBorders>
              <w:bottom w:val="single" w:sz="8" w:color="231F20"/>
            </w:tcBorders>
          </w:tcPr>
          <w:p>
            <w:pPr>
              <w:jc w:val="right"/>
              <w:ind w:right="688"/>
              <w:spacing w:after="0"/>
              <w:rPr>
                <w:sz w:val="20"/>
                <w:szCs w:val="20"/>
                <w:color w:val="auto"/>
              </w:rPr>
            </w:pPr>
            <w:r>
              <w:rPr>
                <w:rFonts w:ascii="Times New Roman" w:cs="Times New Roman" w:eastAsia="Times New Roman" w:hAnsi="Times New Roman"/>
                <w:sz w:val="17"/>
                <w:szCs w:val="17"/>
                <w:color w:val="231F20"/>
              </w:rPr>
              <w:t>2025</w:t>
            </w:r>
          </w:p>
        </w:tc>
      </w:tr>
      <w:tr>
        <w:trPr>
          <w:trHeight w:val="257"/>
        </w:trPr>
        <w:tc>
          <w:tcPr>
            <w:tcW w:w="60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Weighted-average remaining lease term of operating leases</w:t>
            </w:r>
          </w:p>
        </w:tc>
        <w:tc>
          <w:tcPr>
            <w:tcW w:w="2240" w:type="dxa"/>
            <w:vAlign w:val="bottom"/>
          </w:tcPr>
          <w:p>
            <w:pPr>
              <w:jc w:val="right"/>
              <w:ind w:right="288"/>
              <w:spacing w:after="0"/>
              <w:rPr>
                <w:sz w:val="20"/>
                <w:szCs w:val="20"/>
                <w:color w:val="auto"/>
              </w:rPr>
            </w:pPr>
            <w:r>
              <w:rPr>
                <w:rFonts w:ascii="Times New Roman" w:cs="Times New Roman" w:eastAsia="Times New Roman" w:hAnsi="Times New Roman"/>
                <w:sz w:val="19"/>
                <w:szCs w:val="19"/>
                <w:b w:val="1"/>
                <w:bCs w:val="1"/>
                <w:color w:val="231F20"/>
              </w:rPr>
              <w:t>8.8 years</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9.1 years</w:t>
            </w:r>
          </w:p>
        </w:tc>
      </w:tr>
      <w:tr>
        <w:trPr>
          <w:trHeight w:val="274"/>
        </w:trPr>
        <w:tc>
          <w:tcPr>
            <w:tcW w:w="60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Weighted-average discount rate of operating leases</w:t>
            </w:r>
          </w:p>
        </w:tc>
        <w:tc>
          <w:tcPr>
            <w:tcW w:w="2240" w:type="dxa"/>
            <w:vAlign w:val="bottom"/>
          </w:tcPr>
          <w:p>
            <w:pPr>
              <w:jc w:val="right"/>
              <w:ind w:right="248"/>
              <w:spacing w:after="0"/>
              <w:rPr>
                <w:sz w:val="20"/>
                <w:szCs w:val="20"/>
                <w:color w:val="auto"/>
              </w:rPr>
            </w:pPr>
            <w:r>
              <w:rPr>
                <w:rFonts w:ascii="Times New Roman" w:cs="Times New Roman" w:eastAsia="Times New Roman" w:hAnsi="Times New Roman"/>
                <w:sz w:val="19"/>
                <w:szCs w:val="19"/>
                <w:b w:val="1"/>
                <w:bCs w:val="1"/>
                <w:color w:val="231F20"/>
              </w:rPr>
              <w:t>4.6 %</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4.5 %</w:t>
            </w:r>
          </w:p>
        </w:tc>
      </w:tr>
      <w:tr>
        <w:trPr>
          <w:trHeight w:val="416"/>
        </w:trPr>
        <w:tc>
          <w:tcPr>
            <w:tcW w:w="6060" w:type="dxa"/>
            <w:vAlign w:val="bottom"/>
          </w:tcPr>
          <w:p>
            <w:pPr>
              <w:spacing w:after="0"/>
              <w:rPr>
                <w:sz w:val="20"/>
                <w:szCs w:val="20"/>
                <w:color w:val="auto"/>
              </w:rPr>
            </w:pPr>
            <w:r>
              <w:rPr>
                <w:rFonts w:ascii="Times New Roman" w:cs="Times New Roman" w:eastAsia="Times New Roman" w:hAnsi="Times New Roman"/>
                <w:sz w:val="19"/>
                <w:szCs w:val="19"/>
                <w:b w:val="1"/>
                <w:bCs w:val="1"/>
                <w:color w:val="231F20"/>
              </w:rPr>
              <w:t>13. BUSINESS SEGMENT INFORMATION</w:t>
            </w:r>
          </w:p>
        </w:tc>
        <w:tc>
          <w:tcPr>
            <w:tcW w:w="224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pacing w:after="0" w:line="113" w:lineRule="exact"/>
        <w:rPr>
          <w:sz w:val="20"/>
          <w:szCs w:val="20"/>
          <w:color w:val="auto"/>
        </w:rPr>
      </w:pPr>
    </w:p>
    <w:p>
      <w:pPr>
        <w:jc w:val="both"/>
        <w:ind w:right="60" w:firstLine="306"/>
        <w:spacing w:after="0" w:line="264" w:lineRule="auto"/>
        <w:rPr>
          <w:sz w:val="20"/>
          <w:szCs w:val="20"/>
          <w:color w:val="auto"/>
        </w:rPr>
      </w:pPr>
      <w:r>
        <w:rPr>
          <w:rFonts w:ascii="Times New Roman" w:cs="Times New Roman" w:eastAsia="Times New Roman" w:hAnsi="Times New Roman"/>
          <w:sz w:val="19"/>
          <w:szCs w:val="19"/>
          <w:color w:val="231F20"/>
        </w:rPr>
        <w:t>We operate and report our financial information in three reportable business segments: Healthcare, AST, and Life Sciences. Previously, we had four reportable business segments, however, as a result of the fiscal 2025 divestiture of our Dental segment, Dental is presented as discontinued operations. The Dental segment previously met the criteria for a reportable segment and has been removed from segment disclosures for all periods presented following its classification as discontinued operations.</w:t>
      </w:r>
    </w:p>
    <w:p>
      <w:pPr>
        <w:ind w:right="240"/>
        <w:spacing w:after="0" w:line="263" w:lineRule="auto"/>
        <w:rPr>
          <w:sz w:val="20"/>
          <w:szCs w:val="20"/>
          <w:color w:val="auto"/>
        </w:rPr>
      </w:pPr>
      <w:r>
        <w:rPr>
          <w:rFonts w:ascii="Times New Roman" w:cs="Times New Roman" w:eastAsia="Times New Roman" w:hAnsi="Times New Roman"/>
          <w:sz w:val="19"/>
          <w:szCs w:val="19"/>
          <w:color w:val="231F20"/>
        </w:rPr>
        <w:t>Historical information has been retrospectively adjusted to reflect these changes for comparability, as required. For more information, refer to Note 4 titled, "Discontinued Operations." Non-allocated operating costs that support the entire Company and items not indicative of operating trends are excluded from segment operating income. These costs include expenses</w:t>
      </w:r>
    </w:p>
    <w:p>
      <w:pPr>
        <w:sectPr>
          <w:pgSz w:w="11880" w:h="15480" w:orient="portrait"/>
          <w:cols w:equalWidth="0" w:num="1">
            <w:col w:w="9980"/>
          </w:cols>
          <w:pgMar w:left="960" w:top="250" w:right="940" w:bottom="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231F20"/>
        </w:rPr>
        <w:t>90</w:t>
      </w:r>
    </w:p>
    <w:p>
      <w:pPr>
        <w:sectPr>
          <w:pgSz w:w="11880" w:h="15480" w:orient="portrait"/>
          <w:cols w:equalWidth="0" w:num="1">
            <w:col w:w="9980"/>
          </w:cols>
          <w:pgMar w:left="960" w:top="250" w:right="940" w:bottom="0" w:gutter="0" w:footer="0" w:header="0"/>
          <w:type w:val="continuous"/>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9"/>
          <w:szCs w:val="19"/>
          <w:color w:val="231F20"/>
        </w:rPr>
        <w:t>primarily include executive management costs, certain centralized finance, legal, human resources, information technology functions, global systems costs, and other corporate</w:t>
      </w:r>
      <w:r>
        <w:rPr>
          <w:rFonts w:ascii="Arial" w:cs="Arial" w:eastAsia="Arial" w:hAnsi="Arial"/>
          <w:sz w:val="19"/>
          <w:szCs w:val="19"/>
          <w:color w:val="231F20"/>
        </w:rPr>
        <w:t>-</w:t>
      </w:r>
      <w:r>
        <w:rPr>
          <w:rFonts w:ascii="Times New Roman" w:cs="Times New Roman" w:eastAsia="Times New Roman" w:hAnsi="Times New Roman"/>
          <w:sz w:val="19"/>
          <w:szCs w:val="19"/>
          <w:color w:val="231F20"/>
        </w:rPr>
        <w:t>level activities that are not directly attributable to the reportable segments.</w:t>
      </w:r>
    </w:p>
    <w:p>
      <w:pPr>
        <w:ind w:firstLine="306"/>
        <w:spacing w:after="0" w:line="263" w:lineRule="auto"/>
        <w:rPr>
          <w:sz w:val="20"/>
          <w:szCs w:val="20"/>
          <w:color w:val="auto"/>
        </w:rPr>
      </w:pPr>
      <w:r>
        <w:rPr>
          <w:rFonts w:ascii="Times New Roman" w:cs="Times New Roman" w:eastAsia="Times New Roman" w:hAnsi="Times New Roman"/>
          <w:sz w:val="19"/>
          <w:szCs w:val="19"/>
          <w:color w:val="231F20"/>
        </w:rPr>
        <w:t>Our Healthcare segment provides a comprehensive offering for healthcare providers worldwide, focused on sterile processing departments and procedural centers, such as operating rooms and endoscopy suites. Our products and services range from infection prevention consumables and capital equipment, as well as services to maintain that equipment; to the repair of re-usable procedural instruments; to outsourced instrument reprocessing services. In addition, our procedural products also include endoscopy accessories, instruments, and capital equipment infrastructure used primarily in operating rooms, ambulatory surgery centers, endoscopy suites, and other procedural areas.</w:t>
      </w:r>
    </w:p>
    <w:p>
      <w:pPr>
        <w:spacing w:after="0" w:line="77" w:lineRule="exact"/>
        <w:rPr>
          <w:sz w:val="20"/>
          <w:szCs w:val="20"/>
          <w:color w:val="auto"/>
        </w:rPr>
      </w:pPr>
    </w:p>
    <w:p>
      <w:pPr>
        <w:ind w:right="40" w:firstLine="306"/>
        <w:spacing w:after="0" w:line="274" w:lineRule="auto"/>
        <w:rPr>
          <w:sz w:val="20"/>
          <w:szCs w:val="20"/>
          <w:color w:val="auto"/>
        </w:rPr>
      </w:pPr>
      <w:r>
        <w:rPr>
          <w:rFonts w:ascii="Times New Roman" w:cs="Times New Roman" w:eastAsia="Times New Roman" w:hAnsi="Times New Roman"/>
          <w:sz w:val="19"/>
          <w:szCs w:val="19"/>
          <w:color w:val="231F20"/>
        </w:rPr>
        <w:t>Our AST segment supports medical device and pharmaceutical manufacturers through a global network of contract sterilization and laboratory testing facilities, and integrated sterilization equipment and control systems. Our technology-neutral offering supports Customers every step of the way, from testing through sterilization.</w:t>
      </w:r>
    </w:p>
    <w:p>
      <w:pPr>
        <w:spacing w:after="0" w:line="67" w:lineRule="exact"/>
        <w:rPr>
          <w:sz w:val="20"/>
          <w:szCs w:val="20"/>
          <w:color w:val="auto"/>
        </w:rPr>
      </w:pPr>
    </w:p>
    <w:p>
      <w:pPr>
        <w:ind w:right="460" w:firstLine="349"/>
        <w:spacing w:after="0" w:line="268" w:lineRule="auto"/>
        <w:rPr>
          <w:sz w:val="20"/>
          <w:szCs w:val="20"/>
          <w:color w:val="auto"/>
        </w:rPr>
      </w:pPr>
      <w:r>
        <w:rPr>
          <w:rFonts w:ascii="Times New Roman" w:cs="Times New Roman" w:eastAsia="Times New Roman" w:hAnsi="Times New Roman"/>
          <w:sz w:val="19"/>
          <w:szCs w:val="19"/>
          <w:color w:val="231F20"/>
        </w:rPr>
        <w:t>Our Life Sciences segment provides a comprehensive offering of products and services designed to support biopharmaceutical and medical device research and manufacturing facilities, in particular those focused on aseptic manufacturing. Our portfolio includes a full suite of capital equipment, consumable products, equipment maintenance and specialty services.</w:t>
      </w:r>
    </w:p>
    <w:p>
      <w:pPr>
        <w:spacing w:after="0" w:line="72" w:lineRule="exact"/>
        <w:rPr>
          <w:sz w:val="20"/>
          <w:szCs w:val="20"/>
          <w:color w:val="auto"/>
        </w:rPr>
      </w:pPr>
    </w:p>
    <w:p>
      <w:pPr>
        <w:ind w:right="380" w:firstLine="349"/>
        <w:spacing w:after="0" w:line="265" w:lineRule="auto"/>
        <w:rPr>
          <w:sz w:val="20"/>
          <w:szCs w:val="20"/>
          <w:color w:val="auto"/>
        </w:rPr>
      </w:pPr>
      <w:r>
        <w:rPr>
          <w:rFonts w:ascii="Times New Roman" w:cs="Times New Roman" w:eastAsia="Times New Roman" w:hAnsi="Times New Roman"/>
          <w:sz w:val="19"/>
          <w:szCs w:val="19"/>
          <w:color w:val="231F20"/>
        </w:rPr>
        <w:t>Our chief operating decision maker ("CODM") is our President and Chief Executive Officer ("CEO"). The CEO is responsible for performance assessment and resource allocation. The CEO regularly receives discrete financial information about each reportable segment and uses this information to assess performance and allocate resources. This information includes Revenues and Cost of revenues; Selling, general, and administrative expenses; and Research and development expenses for each reportable segment.</w:t>
      </w:r>
    </w:p>
    <w:p>
      <w:pPr>
        <w:spacing w:after="0" w:line="75" w:lineRule="exact"/>
        <w:rPr>
          <w:sz w:val="20"/>
          <w:szCs w:val="20"/>
          <w:color w:val="auto"/>
        </w:rPr>
      </w:pPr>
    </w:p>
    <w:p>
      <w:pPr>
        <w:ind w:right="120" w:firstLine="349"/>
        <w:spacing w:after="0" w:line="264" w:lineRule="auto"/>
        <w:rPr>
          <w:sz w:val="20"/>
          <w:szCs w:val="20"/>
          <w:color w:val="auto"/>
        </w:rPr>
      </w:pPr>
      <w:r>
        <w:rPr>
          <w:rFonts w:ascii="Times New Roman" w:cs="Times New Roman" w:eastAsia="Times New Roman" w:hAnsi="Times New Roman"/>
          <w:sz w:val="19"/>
          <w:szCs w:val="19"/>
          <w:color w:val="231F20"/>
        </w:rPr>
        <w:t>Segment operating income represents revenues less cost of revenues, selling, general and administrative expenses, and research and development expenses that are directly attributable to the segment. Segment operating income excludes amortization of acquired intangible assets, acquisition and integration</w:t>
      </w:r>
      <w:r>
        <w:rPr>
          <w:rFonts w:ascii="Arial" w:cs="Arial" w:eastAsia="Arial" w:hAnsi="Arial"/>
          <w:sz w:val="19"/>
          <w:szCs w:val="19"/>
          <w:color w:val="231F20"/>
        </w:rPr>
        <w:t>-</w:t>
      </w:r>
      <w:r>
        <w:rPr>
          <w:rFonts w:ascii="Times New Roman" w:cs="Times New Roman" w:eastAsia="Times New Roman" w:hAnsi="Times New Roman"/>
          <w:sz w:val="19"/>
          <w:szCs w:val="19"/>
          <w:color w:val="231F20"/>
        </w:rPr>
        <w:t>related charges, restructuring costs, costs incurred in tax restructuring initiatives, and other items that management does not consider indicative of segment operating performance. These excluded items are reported within the tables below to reconcile segment operating income to income from operations.</w:t>
      </w:r>
    </w:p>
    <w:p>
      <w:pPr>
        <w:spacing w:after="0" w:line="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We disclose a measure of segment income that is consistent with the way management operates and views the business.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The accounting policies for reportable segments are the same as those for the consolidated Company.</w:t>
      </w:r>
    </w:p>
    <w:p>
      <w:pPr>
        <w:spacing w:after="0" w:line="111" w:lineRule="exact"/>
        <w:rPr>
          <w:sz w:val="20"/>
          <w:szCs w:val="20"/>
          <w:color w:val="auto"/>
        </w:rPr>
      </w:pPr>
    </w:p>
    <w:p>
      <w:pPr>
        <w:ind w:right="280" w:firstLine="349"/>
        <w:spacing w:after="0" w:line="293" w:lineRule="auto"/>
        <w:rPr>
          <w:sz w:val="20"/>
          <w:szCs w:val="20"/>
          <w:color w:val="auto"/>
        </w:rPr>
      </w:pPr>
      <w:r>
        <w:rPr>
          <w:rFonts w:ascii="Times New Roman" w:cs="Times New Roman" w:eastAsia="Times New Roman" w:hAnsi="Times New Roman"/>
          <w:sz w:val="19"/>
          <w:szCs w:val="19"/>
          <w:color w:val="231F20"/>
        </w:rPr>
        <w:t>For the three years ended March 31, 2026, revenues from a single Customer did not represent ten percent or more of the Healthcare, AST or Life Sciences segment revenues.</w:t>
      </w:r>
    </w:p>
    <w:p>
      <w:pPr>
        <w:sectPr>
          <w:pgSz w:w="11880" w:h="15480" w:orient="portrait"/>
          <w:cols w:equalWidth="0" w:num="1">
            <w:col w:w="9940"/>
          </w:cols>
          <w:pgMar w:left="960" w:top="25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91</w:t>
      </w:r>
    </w:p>
    <w:p>
      <w:pPr>
        <w:sectPr>
          <w:pgSz w:w="11880" w:h="15480" w:orient="portrait"/>
          <w:cols w:equalWidth="0" w:num="1">
            <w:col w:w="9940"/>
          </w:cols>
          <w:pgMar w:left="960" w:top="250" w:right="980" w:bottom="0" w:gutter="0" w:footer="0" w:header="0"/>
          <w:type w:val="continuous"/>
        </w:sectPr>
      </w:pPr>
    </w:p>
    <w:bookmarkStart w:id="92" w:name="page93"/>
    <w:bookmarkEnd w:id="92"/>
    <w:p>
      <w:pPr>
        <w:jc w:val="center"/>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Information regarding our segments is presented in the following tables.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19"/>
                <w:szCs w:val="19"/>
                <w:color w:val="auto"/>
              </w:rPr>
            </w:pPr>
          </w:p>
        </w:tc>
        <w:tc>
          <w:tcPr>
            <w:tcW w:w="2420" w:type="dxa"/>
            <w:vAlign w:val="bottom"/>
            <w:gridSpan w:val="4"/>
          </w:tcPr>
          <w:p>
            <w:pPr>
              <w:ind w:left="60"/>
              <w:spacing w:after="0"/>
              <w:rPr>
                <w:sz w:val="20"/>
                <w:szCs w:val="20"/>
                <w:color w:val="auto"/>
              </w:rPr>
            </w:pPr>
            <w:r>
              <w:rPr>
                <w:rFonts w:ascii="Times New Roman" w:cs="Times New Roman" w:eastAsia="Times New Roman" w:hAnsi="Times New Roman"/>
                <w:sz w:val="17"/>
                <w:szCs w:val="17"/>
                <w:b w:val="1"/>
                <w:bCs w:val="1"/>
                <w:color w:val="231F20"/>
              </w:rPr>
              <w:t>Year Ended March 31, 2026</w:t>
            </w: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880" w:type="dxa"/>
            <w:vAlign w:val="bottom"/>
            <w:tcBorders>
              <w:bottom w:val="single" w:sz="8" w:color="231F20"/>
            </w:tcBorders>
          </w:tcPr>
          <w:p>
            <w:pPr>
              <w:ind w:left="180"/>
              <w:spacing w:after="0"/>
              <w:rPr>
                <w:sz w:val="20"/>
                <w:szCs w:val="20"/>
                <w:color w:val="auto"/>
              </w:rPr>
            </w:pPr>
            <w:r>
              <w:rPr>
                <w:rFonts w:ascii="Times New Roman" w:cs="Times New Roman" w:eastAsia="Times New Roman" w:hAnsi="Times New Roman"/>
                <w:sz w:val="17"/>
                <w:szCs w:val="17"/>
                <w:color w:val="231F20"/>
              </w:rPr>
              <w:t>(in millions)</w:t>
            </w:r>
          </w:p>
        </w:tc>
        <w:tc>
          <w:tcPr>
            <w:tcW w:w="18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jc w:val="right"/>
              <w:ind w:right="125"/>
              <w:spacing w:after="0"/>
              <w:rPr>
                <w:sz w:val="20"/>
                <w:szCs w:val="20"/>
                <w:color w:val="auto"/>
              </w:rPr>
            </w:pPr>
            <w:r>
              <w:rPr>
                <w:rFonts w:ascii="Times New Roman" w:cs="Times New Roman" w:eastAsia="Times New Roman" w:hAnsi="Times New Roman"/>
                <w:sz w:val="17"/>
                <w:szCs w:val="17"/>
                <w:color w:val="231F20"/>
              </w:rPr>
              <w:t>Healthcare</w:t>
            </w:r>
          </w:p>
        </w:tc>
        <w:tc>
          <w:tcPr>
            <w:tcW w:w="34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ind w:right="345"/>
              <w:spacing w:after="0"/>
              <w:rPr>
                <w:sz w:val="20"/>
                <w:szCs w:val="20"/>
                <w:color w:val="auto"/>
              </w:rPr>
            </w:pPr>
            <w:r>
              <w:rPr>
                <w:rFonts w:ascii="Times New Roman" w:cs="Times New Roman" w:eastAsia="Times New Roman" w:hAnsi="Times New Roman"/>
                <w:sz w:val="17"/>
                <w:szCs w:val="17"/>
                <w:color w:val="231F20"/>
              </w:rPr>
              <w:t>AST</w:t>
            </w:r>
          </w:p>
        </w:tc>
        <w:tc>
          <w:tcPr>
            <w:tcW w:w="1220" w:type="dxa"/>
            <w:vAlign w:val="bottom"/>
            <w:tcBorders>
              <w:bottom w:val="single" w:sz="8" w:color="231F20"/>
            </w:tcBorders>
            <w:gridSpan w:val="2"/>
          </w:tcPr>
          <w:p>
            <w:pPr>
              <w:jc w:val="right"/>
              <w:ind w:right="23"/>
              <w:spacing w:after="0"/>
              <w:rPr>
                <w:sz w:val="20"/>
                <w:szCs w:val="20"/>
                <w:color w:val="auto"/>
              </w:rPr>
            </w:pPr>
            <w:r>
              <w:rPr>
                <w:rFonts w:ascii="Times New Roman" w:cs="Times New Roman" w:eastAsia="Times New Roman" w:hAnsi="Times New Roman"/>
                <w:sz w:val="17"/>
                <w:szCs w:val="17"/>
                <w:color w:val="231F20"/>
              </w:rPr>
              <w:t>Life Sciences</w:t>
            </w:r>
          </w:p>
        </w:tc>
        <w:tc>
          <w:tcPr>
            <w:tcW w:w="6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tcPr>
          <w:p>
            <w:pPr>
              <w:jc w:val="right"/>
              <w:ind w:right="146"/>
              <w:spacing w:after="0"/>
              <w:rPr>
                <w:sz w:val="20"/>
                <w:szCs w:val="20"/>
                <w:color w:val="auto"/>
              </w:rPr>
            </w:pPr>
            <w:r>
              <w:rPr>
                <w:rFonts w:ascii="Times New Roman" w:cs="Times New Roman" w:eastAsia="Times New Roman" w:hAnsi="Times New Roman"/>
                <w:sz w:val="17"/>
                <w:szCs w:val="17"/>
                <w:color w:val="231F20"/>
              </w:rPr>
              <w:t>Corporate</w:t>
            </w:r>
          </w:p>
        </w:tc>
        <w:tc>
          <w:tcPr>
            <w:tcW w:w="6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tcPr>
          <w:p>
            <w:pPr>
              <w:jc w:val="right"/>
              <w:ind w:right="144"/>
              <w:spacing w:after="0"/>
              <w:rPr>
                <w:sz w:val="20"/>
                <w:szCs w:val="20"/>
                <w:color w:val="auto"/>
              </w:rPr>
            </w:pPr>
            <w:r>
              <w:rPr>
                <w:rFonts w:ascii="Times New Roman" w:cs="Times New Roman" w:eastAsia="Times New Roman" w:hAnsi="Times New Roman"/>
                <w:sz w:val="17"/>
                <w:szCs w:val="17"/>
                <w:color w:val="231F20"/>
              </w:rPr>
              <w:t>Company</w:t>
            </w:r>
          </w:p>
        </w:tc>
        <w:tc>
          <w:tcPr>
            <w:tcW w:w="0" w:type="dxa"/>
            <w:vAlign w:val="bottom"/>
          </w:tcPr>
          <w:p>
            <w:pPr>
              <w:spacing w:after="0"/>
              <w:rPr>
                <w:sz w:val="1"/>
                <w:szCs w:val="1"/>
                <w:color w:val="auto"/>
              </w:rPr>
            </w:pPr>
          </w:p>
        </w:tc>
      </w:tr>
      <w:tr>
        <w:trPr>
          <w:trHeight w:val="531"/>
        </w:trPr>
        <w:tc>
          <w:tcPr>
            <w:tcW w:w="38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Revenues</w:t>
            </w:r>
          </w:p>
        </w:tc>
        <w:tc>
          <w:tcPr>
            <w:tcW w:w="180" w:type="dxa"/>
            <w:vAlign w:val="bottom"/>
          </w:tcPr>
          <w:p>
            <w:pPr>
              <w:ind w:left="40"/>
              <w:spacing w:after="0"/>
              <w:rPr>
                <w:sz w:val="20"/>
                <w:szCs w:val="20"/>
                <w:color w:val="auto"/>
              </w:rPr>
            </w:pPr>
            <w:r>
              <w:rPr>
                <w:rFonts w:ascii="Times New Roman" w:cs="Times New Roman" w:eastAsia="Times New Roman" w:hAnsi="Times New Roman"/>
                <w:sz w:val="19"/>
                <w:szCs w:val="19"/>
                <w:b w:val="1"/>
                <w:bCs w:val="1"/>
                <w:color w:val="231F20"/>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231F20"/>
              </w:rPr>
              <w:t>4,208.6</w:t>
            </w:r>
          </w:p>
        </w:tc>
        <w:tc>
          <w:tcPr>
            <w:tcW w:w="34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w:t>
            </w: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231F20"/>
              </w:rPr>
              <w:t>1,138.5</w:t>
            </w:r>
          </w:p>
        </w:tc>
        <w:tc>
          <w:tcPr>
            <w:tcW w:w="440" w:type="dxa"/>
            <w:vAlign w:val="bottom"/>
          </w:tcPr>
          <w:p>
            <w:pPr>
              <w:jc w:val="right"/>
              <w:ind w:right="146"/>
              <w:spacing w:after="0"/>
              <w:rPr>
                <w:sz w:val="20"/>
                <w:szCs w:val="20"/>
                <w:color w:val="auto"/>
              </w:rPr>
            </w:pPr>
            <w:r>
              <w:rPr>
                <w:rFonts w:ascii="Times New Roman" w:cs="Times New Roman" w:eastAsia="Times New Roman" w:hAnsi="Times New Roman"/>
                <w:sz w:val="19"/>
                <w:szCs w:val="19"/>
                <w:b w:val="1"/>
                <w:bCs w:val="1"/>
                <w:color w:val="231F2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588.8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b w:val="1"/>
                <w:bCs w:val="1"/>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5,935.9</w:t>
            </w:r>
          </w:p>
        </w:tc>
        <w:tc>
          <w:tcPr>
            <w:tcW w:w="0" w:type="dxa"/>
            <w:vAlign w:val="bottom"/>
          </w:tcPr>
          <w:p>
            <w:pPr>
              <w:spacing w:after="0"/>
              <w:rPr>
                <w:sz w:val="1"/>
                <w:szCs w:val="1"/>
                <w:color w:val="auto"/>
              </w:rPr>
            </w:pPr>
          </w:p>
        </w:tc>
      </w:tr>
      <w:tr>
        <w:trPr>
          <w:trHeight w:val="582"/>
        </w:trPr>
        <w:tc>
          <w:tcPr>
            <w:tcW w:w="38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Segment expenses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88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Cost of revenues</w:t>
            </w:r>
          </w:p>
        </w:tc>
        <w:tc>
          <w:tcPr>
            <w:tcW w:w="180" w:type="dxa"/>
            <w:vAlign w:val="bottom"/>
          </w:tcPr>
          <w:p>
            <w:pPr>
              <w:spacing w:after="0"/>
              <w:rPr>
                <w:sz w:val="24"/>
                <w:szCs w:val="24"/>
                <w:color w:val="auto"/>
              </w:rPr>
            </w:pP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231F20"/>
              </w:rPr>
              <w:t>2,422.5</w:t>
            </w:r>
          </w:p>
        </w:tc>
        <w:tc>
          <w:tcPr>
            <w:tcW w:w="340" w:type="dxa"/>
            <w:vAlign w:val="bottom"/>
          </w:tcPr>
          <w:p>
            <w:pPr>
              <w:spacing w:after="0"/>
              <w:rPr>
                <w:sz w:val="24"/>
                <w:szCs w:val="24"/>
                <w:color w:val="auto"/>
              </w:rPr>
            </w:pP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231F20"/>
              </w:rPr>
              <w:t>552.8</w:t>
            </w:r>
          </w:p>
        </w:tc>
        <w:tc>
          <w:tcPr>
            <w:tcW w:w="4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262.7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88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Selling, general, and administrative</w:t>
            </w:r>
          </w:p>
        </w:tc>
        <w:tc>
          <w:tcPr>
            <w:tcW w:w="180" w:type="dxa"/>
            <w:vAlign w:val="bottom"/>
          </w:tcPr>
          <w:p>
            <w:pPr>
              <w:spacing w:after="0"/>
              <w:rPr>
                <w:sz w:val="24"/>
                <w:szCs w:val="24"/>
                <w:color w:val="auto"/>
              </w:rPr>
            </w:pP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231F20"/>
              </w:rPr>
              <w:t>652.3</w:t>
            </w:r>
          </w:p>
        </w:tc>
        <w:tc>
          <w:tcPr>
            <w:tcW w:w="340" w:type="dxa"/>
            <w:vAlign w:val="bottom"/>
          </w:tcPr>
          <w:p>
            <w:pPr>
              <w:spacing w:after="0"/>
              <w:rPr>
                <w:sz w:val="24"/>
                <w:szCs w:val="24"/>
                <w:color w:val="auto"/>
              </w:rPr>
            </w:pP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231F20"/>
              </w:rPr>
              <w:t>57.7</w:t>
            </w:r>
          </w:p>
        </w:tc>
        <w:tc>
          <w:tcPr>
            <w:tcW w:w="4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65.0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88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Research and development</w:t>
            </w:r>
          </w:p>
        </w:tc>
        <w:tc>
          <w:tcPr>
            <w:tcW w:w="18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19"/>
                <w:szCs w:val="19"/>
                <w:b w:val="1"/>
                <w:bCs w:val="1"/>
                <w:color w:val="231F20"/>
              </w:rPr>
              <w:t>97.5</w:t>
            </w:r>
          </w:p>
        </w:tc>
        <w:tc>
          <w:tcPr>
            <w:tcW w:w="34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19"/>
                <w:szCs w:val="19"/>
                <w:b w:val="1"/>
                <w:bCs w:val="1"/>
                <w:color w:val="231F20"/>
              </w:rPr>
              <w:t>3.3</w:t>
            </w:r>
          </w:p>
        </w:tc>
        <w:tc>
          <w:tcPr>
            <w:tcW w:w="440" w:type="dxa"/>
            <w:vAlign w:val="bottom"/>
            <w:tcBorders>
              <w:bottom w:val="single" w:sz="8" w:color="231F20"/>
            </w:tcBorders>
          </w:tcPr>
          <w:p>
            <w:pPr>
              <w:spacing w:after="0"/>
              <w:rPr>
                <w:sz w:val="24"/>
                <w:szCs w:val="24"/>
                <w:color w:val="auto"/>
              </w:rPr>
            </w:pP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10.3</w:t>
            </w:r>
          </w:p>
        </w:tc>
        <w:tc>
          <w:tcPr>
            <w:tcW w:w="60" w:type="dxa"/>
            <w:vAlign w:val="bottom"/>
            <w:tcBorders>
              <w:bottom w:val="single" w:sz="8" w:color="231F20"/>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3880" w:type="dxa"/>
            <w:vAlign w:val="bottom"/>
          </w:tcPr>
          <w:p>
            <w:pPr>
              <w:ind w:left="60"/>
              <w:spacing w:after="0" w:line="177" w:lineRule="exact"/>
              <w:rPr>
                <w:sz w:val="20"/>
                <w:szCs w:val="20"/>
                <w:color w:val="auto"/>
              </w:rPr>
            </w:pPr>
            <w:r>
              <w:rPr>
                <w:rFonts w:ascii="Times New Roman" w:cs="Times New Roman" w:eastAsia="Times New Roman" w:hAnsi="Times New Roman"/>
                <w:sz w:val="19"/>
                <w:szCs w:val="19"/>
                <w:b w:val="1"/>
                <w:bCs w:val="1"/>
                <w:color w:val="231F20"/>
              </w:rPr>
              <w:t>Total income from operations before</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9"/>
                <w:szCs w:val="19"/>
                <w:b w:val="1"/>
                <w:bCs w:val="1"/>
                <w:color w:val="231F20"/>
              </w:rPr>
              <w:t>$</w:t>
            </w:r>
          </w:p>
        </w:tc>
        <w:tc>
          <w:tcPr>
            <w:tcW w:w="1000" w:type="dxa"/>
            <w:vAlign w:val="bottom"/>
            <w:vMerge w:val="restart"/>
          </w:tcPr>
          <w:p>
            <w:pPr>
              <w:jc w:val="right"/>
              <w:ind w:right="5"/>
              <w:spacing w:after="0"/>
              <w:rPr>
                <w:sz w:val="20"/>
                <w:szCs w:val="20"/>
                <w:color w:val="auto"/>
              </w:rPr>
            </w:pPr>
            <w:r>
              <w:rPr>
                <w:rFonts w:ascii="Times New Roman" w:cs="Times New Roman" w:eastAsia="Times New Roman" w:hAnsi="Times New Roman"/>
                <w:sz w:val="19"/>
                <w:szCs w:val="19"/>
                <w:b w:val="1"/>
                <w:bCs w:val="1"/>
                <w:color w:val="231F20"/>
              </w:rPr>
              <w:t>1,036.4</w:t>
            </w:r>
          </w:p>
        </w:tc>
        <w:tc>
          <w:tcPr>
            <w:tcW w:w="340" w:type="dxa"/>
            <w:vAlign w:val="bottom"/>
            <w:vMerge w:val="restart"/>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w:t>
            </w:r>
          </w:p>
        </w:tc>
        <w:tc>
          <w:tcPr>
            <w:tcW w:w="900" w:type="dxa"/>
            <w:vAlign w:val="bottom"/>
            <w:vMerge w:val="restart"/>
          </w:tcPr>
          <w:p>
            <w:pPr>
              <w:jc w:val="right"/>
              <w:ind w:right="5"/>
              <w:spacing w:after="0"/>
              <w:rPr>
                <w:sz w:val="20"/>
                <w:szCs w:val="20"/>
                <w:color w:val="auto"/>
              </w:rPr>
            </w:pPr>
            <w:r>
              <w:rPr>
                <w:rFonts w:ascii="Times New Roman" w:cs="Times New Roman" w:eastAsia="Times New Roman" w:hAnsi="Times New Roman"/>
                <w:sz w:val="19"/>
                <w:szCs w:val="19"/>
                <w:b w:val="1"/>
                <w:bCs w:val="1"/>
                <w:color w:val="231F20"/>
              </w:rPr>
              <w:t>524.7</w:t>
            </w:r>
          </w:p>
        </w:tc>
        <w:tc>
          <w:tcPr>
            <w:tcW w:w="440" w:type="dxa"/>
            <w:vAlign w:val="bottom"/>
            <w:vMerge w:val="restart"/>
          </w:tcPr>
          <w:p>
            <w:pPr>
              <w:jc w:val="right"/>
              <w:ind w:right="146"/>
              <w:spacing w:after="0"/>
              <w:rPr>
                <w:sz w:val="20"/>
                <w:szCs w:val="20"/>
                <w:color w:val="auto"/>
              </w:rPr>
            </w:pPr>
            <w:r>
              <w:rPr>
                <w:rFonts w:ascii="Times New Roman" w:cs="Times New Roman" w:eastAsia="Times New Roman" w:hAnsi="Times New Roman"/>
                <w:sz w:val="19"/>
                <w:szCs w:val="19"/>
                <w:b w:val="1"/>
                <w:bCs w:val="1"/>
                <w:color w:val="231F20"/>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231F20"/>
              </w:rPr>
              <w:t>251.0</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9"/>
                <w:szCs w:val="19"/>
                <w:b w:val="1"/>
                <w:bCs w:val="1"/>
                <w:color w:val="231F20"/>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231F20"/>
              </w:rPr>
              <w:t>(430.1)</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231F20"/>
              </w:rPr>
              <w:t>1,381.9</w:t>
            </w:r>
          </w:p>
        </w:tc>
        <w:tc>
          <w:tcPr>
            <w:tcW w:w="0" w:type="dxa"/>
            <w:vAlign w:val="bottom"/>
          </w:tcPr>
          <w:p>
            <w:pPr>
              <w:spacing w:after="0"/>
              <w:rPr>
                <w:sz w:val="1"/>
                <w:szCs w:val="1"/>
                <w:color w:val="auto"/>
              </w:rPr>
            </w:pPr>
          </w:p>
        </w:tc>
      </w:tr>
      <w:tr>
        <w:trPr>
          <w:trHeight w:val="260"/>
        </w:trPr>
        <w:tc>
          <w:tcPr>
            <w:tcW w:w="38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adjustments</w:t>
            </w:r>
          </w:p>
        </w:tc>
        <w:tc>
          <w:tcPr>
            <w:tcW w:w="180" w:type="dxa"/>
            <w:vAlign w:val="bottom"/>
            <w:tcBorders>
              <w:bottom w:val="single" w:sz="8" w:color="231F20"/>
            </w:tcBorders>
            <w:vMerge w:val="continue"/>
          </w:tcPr>
          <w:p>
            <w:pPr>
              <w:spacing w:after="0"/>
              <w:rPr>
                <w:sz w:val="22"/>
                <w:szCs w:val="22"/>
                <w:color w:val="auto"/>
              </w:rPr>
            </w:pPr>
          </w:p>
        </w:tc>
        <w:tc>
          <w:tcPr>
            <w:tcW w:w="1000" w:type="dxa"/>
            <w:vAlign w:val="bottom"/>
            <w:tcBorders>
              <w:bottom w:val="single" w:sz="8" w:color="231F20"/>
            </w:tcBorders>
            <w:vMerge w:val="continue"/>
          </w:tcPr>
          <w:p>
            <w:pPr>
              <w:spacing w:after="0"/>
              <w:rPr>
                <w:sz w:val="22"/>
                <w:szCs w:val="22"/>
                <w:color w:val="auto"/>
              </w:rPr>
            </w:pPr>
          </w:p>
        </w:tc>
        <w:tc>
          <w:tcPr>
            <w:tcW w:w="340" w:type="dxa"/>
            <w:vAlign w:val="bottom"/>
            <w:tcBorders>
              <w:bottom w:val="single" w:sz="8" w:color="231F20"/>
            </w:tcBorders>
            <w:vMerge w:val="continue"/>
          </w:tcPr>
          <w:p>
            <w:pPr>
              <w:spacing w:after="0"/>
              <w:rPr>
                <w:sz w:val="22"/>
                <w:szCs w:val="22"/>
                <w:color w:val="auto"/>
              </w:rPr>
            </w:pPr>
          </w:p>
        </w:tc>
        <w:tc>
          <w:tcPr>
            <w:tcW w:w="900" w:type="dxa"/>
            <w:vAlign w:val="bottom"/>
            <w:tcBorders>
              <w:bottom w:val="single" w:sz="8" w:color="231F20"/>
            </w:tcBorders>
            <w:vMerge w:val="continue"/>
          </w:tcPr>
          <w:p>
            <w:pPr>
              <w:spacing w:after="0"/>
              <w:rPr>
                <w:sz w:val="22"/>
                <w:szCs w:val="22"/>
                <w:color w:val="auto"/>
              </w:rPr>
            </w:pPr>
          </w:p>
        </w:tc>
        <w:tc>
          <w:tcPr>
            <w:tcW w:w="440" w:type="dxa"/>
            <w:vAlign w:val="bottom"/>
            <w:tcBorders>
              <w:bottom w:val="single" w:sz="8" w:color="231F20"/>
            </w:tcBorders>
            <w:vMerge w:val="continue"/>
          </w:tcPr>
          <w:p>
            <w:pPr>
              <w:spacing w:after="0"/>
              <w:rPr>
                <w:sz w:val="22"/>
                <w:szCs w:val="22"/>
                <w:color w:val="auto"/>
              </w:rPr>
            </w:pPr>
          </w:p>
        </w:tc>
        <w:tc>
          <w:tcPr>
            <w:tcW w:w="780" w:type="dxa"/>
            <w:vAlign w:val="bottom"/>
            <w:tcBorders>
              <w:bottom w:val="single" w:sz="8" w:color="231F20"/>
            </w:tcBorders>
            <w:vMerge w:val="continue"/>
          </w:tcPr>
          <w:p>
            <w:pPr>
              <w:spacing w:after="0"/>
              <w:rPr>
                <w:sz w:val="22"/>
                <w:szCs w:val="22"/>
                <w:color w:val="auto"/>
              </w:rPr>
            </w:pPr>
          </w:p>
        </w:tc>
        <w:tc>
          <w:tcPr>
            <w:tcW w:w="240" w:type="dxa"/>
            <w:vAlign w:val="bottom"/>
            <w:tcBorders>
              <w:bottom w:val="single" w:sz="8" w:color="231F20"/>
            </w:tcBorders>
            <w:gridSpan w:val="2"/>
            <w:vMerge w:val="continue"/>
          </w:tcPr>
          <w:p>
            <w:pPr>
              <w:spacing w:after="0"/>
              <w:rPr>
                <w:sz w:val="22"/>
                <w:szCs w:val="22"/>
                <w:color w:val="auto"/>
              </w:rPr>
            </w:pPr>
          </w:p>
        </w:tc>
        <w:tc>
          <w:tcPr>
            <w:tcW w:w="980" w:type="dxa"/>
            <w:vAlign w:val="bottom"/>
            <w:tcBorders>
              <w:bottom w:val="single" w:sz="8" w:color="231F20"/>
            </w:tcBorders>
            <w:vMerge w:val="continue"/>
          </w:tcPr>
          <w:p>
            <w:pPr>
              <w:spacing w:after="0"/>
              <w:rPr>
                <w:sz w:val="22"/>
                <w:szCs w:val="22"/>
                <w:color w:val="auto"/>
              </w:rPr>
            </w:pPr>
          </w:p>
        </w:tc>
        <w:tc>
          <w:tcPr>
            <w:tcW w:w="240" w:type="dxa"/>
            <w:vAlign w:val="bottom"/>
            <w:tcBorders>
              <w:bottom w:val="single" w:sz="8" w:color="231F20"/>
            </w:tcBorders>
            <w:gridSpan w:val="2"/>
            <w:vMerge w:val="continue"/>
          </w:tcPr>
          <w:p>
            <w:pPr>
              <w:spacing w:after="0"/>
              <w:rPr>
                <w:sz w:val="22"/>
                <w:szCs w:val="22"/>
                <w:color w:val="auto"/>
              </w:rPr>
            </w:pPr>
          </w:p>
        </w:tc>
        <w:tc>
          <w:tcPr>
            <w:tcW w:w="980" w:type="dxa"/>
            <w:vAlign w:val="bottom"/>
            <w:tcBorders>
              <w:bottom w:val="single" w:sz="8" w:color="231F20"/>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8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Less: Adjustments</w:t>
            </w: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3880" w:type="dxa"/>
            <w:vAlign w:val="bottom"/>
          </w:tcPr>
          <w:p>
            <w:pPr>
              <w:ind w:left="540"/>
              <w:spacing w:after="0" w:line="199" w:lineRule="exact"/>
              <w:rPr>
                <w:sz w:val="20"/>
                <w:szCs w:val="20"/>
                <w:color w:val="auto"/>
              </w:rPr>
            </w:pPr>
            <w:r>
              <w:rPr>
                <w:rFonts w:ascii="Times New Roman" w:cs="Times New Roman" w:eastAsia="Times New Roman" w:hAnsi="Times New Roman"/>
                <w:sz w:val="19"/>
                <w:szCs w:val="19"/>
                <w:color w:val="231F20"/>
              </w:rPr>
              <w:t>Amortization of acquired intangible</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231F20"/>
              </w:rPr>
              <w:t>265.0</w:t>
            </w:r>
          </w:p>
        </w:tc>
        <w:tc>
          <w:tcPr>
            <w:tcW w:w="0" w:type="dxa"/>
            <w:vAlign w:val="bottom"/>
          </w:tcPr>
          <w:p>
            <w:pPr>
              <w:spacing w:after="0"/>
              <w:rPr>
                <w:sz w:val="1"/>
                <w:szCs w:val="1"/>
                <w:color w:val="auto"/>
              </w:rPr>
            </w:pPr>
          </w:p>
        </w:tc>
      </w:tr>
      <w:tr>
        <w:trPr>
          <w:trHeight w:val="256"/>
        </w:trPr>
        <w:tc>
          <w:tcPr>
            <w:tcW w:w="3880" w:type="dxa"/>
            <w:vAlign w:val="bottom"/>
          </w:tcPr>
          <w:p>
            <w:pPr>
              <w:ind w:left="540"/>
              <w:spacing w:after="0" w:line="256" w:lineRule="exact"/>
              <w:rPr>
                <w:sz w:val="20"/>
                <w:szCs w:val="20"/>
                <w:color w:val="auto"/>
              </w:rPr>
            </w:pPr>
            <w:r>
              <w:rPr>
                <w:rFonts w:ascii="Times New Roman" w:cs="Times New Roman" w:eastAsia="Times New Roman" w:hAnsi="Times New Roman"/>
                <w:sz w:val="19"/>
                <w:szCs w:val="19"/>
                <w:color w:val="231F20"/>
              </w:rPr>
              <w:t xml:space="preserve">assets </w:t>
            </w:r>
            <w:r>
              <w:rPr>
                <w:rFonts w:ascii="Times New Roman" w:cs="Times New Roman" w:eastAsia="Times New Roman" w:hAnsi="Times New Roman"/>
                <w:sz w:val="25"/>
                <w:szCs w:val="25"/>
                <w:color w:val="231F20"/>
                <w:vertAlign w:val="superscript"/>
              </w:rPr>
              <w:t>(1)</w:t>
            </w: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3880" w:type="dxa"/>
            <w:vAlign w:val="bottom"/>
          </w:tcPr>
          <w:p>
            <w:pPr>
              <w:ind w:left="540"/>
              <w:spacing w:after="0" w:line="195" w:lineRule="exact"/>
              <w:rPr>
                <w:sz w:val="20"/>
                <w:szCs w:val="20"/>
                <w:color w:val="auto"/>
              </w:rPr>
            </w:pPr>
            <w:r>
              <w:rPr>
                <w:rFonts w:ascii="Times New Roman" w:cs="Times New Roman" w:eastAsia="Times New Roman" w:hAnsi="Times New Roman"/>
                <w:sz w:val="19"/>
                <w:szCs w:val="19"/>
                <w:color w:val="231F20"/>
              </w:rPr>
              <w:t>Acquisition and integration related</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231F20"/>
              </w:rPr>
              <w:t>6.2</w:t>
            </w:r>
          </w:p>
        </w:tc>
        <w:tc>
          <w:tcPr>
            <w:tcW w:w="0" w:type="dxa"/>
            <w:vAlign w:val="bottom"/>
          </w:tcPr>
          <w:p>
            <w:pPr>
              <w:spacing w:after="0"/>
              <w:rPr>
                <w:sz w:val="1"/>
                <w:szCs w:val="1"/>
                <w:color w:val="auto"/>
              </w:rPr>
            </w:pPr>
          </w:p>
        </w:tc>
      </w:tr>
      <w:tr>
        <w:trPr>
          <w:trHeight w:val="272"/>
        </w:trPr>
        <w:tc>
          <w:tcPr>
            <w:tcW w:w="3880" w:type="dxa"/>
            <w:vAlign w:val="bottom"/>
          </w:tcPr>
          <w:p>
            <w:pPr>
              <w:ind w:left="540"/>
              <w:spacing w:after="0" w:line="271" w:lineRule="exact"/>
              <w:rPr>
                <w:sz w:val="20"/>
                <w:szCs w:val="20"/>
                <w:color w:val="auto"/>
              </w:rPr>
            </w:pPr>
            <w:r>
              <w:rPr>
                <w:rFonts w:ascii="Times New Roman" w:cs="Times New Roman" w:eastAsia="Times New Roman" w:hAnsi="Times New Roman"/>
                <w:sz w:val="19"/>
                <w:szCs w:val="19"/>
                <w:color w:val="231F20"/>
              </w:rPr>
              <w:t xml:space="preserve">charges </w:t>
            </w:r>
            <w:r>
              <w:rPr>
                <w:rFonts w:ascii="Times New Roman" w:cs="Times New Roman" w:eastAsia="Times New Roman" w:hAnsi="Times New Roman"/>
                <w:sz w:val="25"/>
                <w:szCs w:val="25"/>
                <w:color w:val="231F20"/>
                <w:vertAlign w:val="superscript"/>
              </w:rPr>
              <w:t>(2)</w:t>
            </w: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3880" w:type="dxa"/>
            <w:vAlign w:val="bottom"/>
          </w:tcPr>
          <w:p>
            <w:pPr>
              <w:ind w:left="540"/>
              <w:spacing w:after="0" w:line="260" w:lineRule="exact"/>
              <w:rPr>
                <w:sz w:val="20"/>
                <w:szCs w:val="20"/>
                <w:color w:val="auto"/>
              </w:rPr>
            </w:pPr>
            <w:r>
              <w:rPr>
                <w:rFonts w:ascii="Times New Roman" w:cs="Times New Roman" w:eastAsia="Times New Roman" w:hAnsi="Times New Roman"/>
                <w:sz w:val="19"/>
                <w:szCs w:val="19"/>
                <w:color w:val="231F20"/>
              </w:rPr>
              <w:t xml:space="preserve">Tax restructuring costs </w:t>
            </w:r>
            <w:r>
              <w:rPr>
                <w:rFonts w:ascii="Times New Roman" w:cs="Times New Roman" w:eastAsia="Times New Roman" w:hAnsi="Times New Roman"/>
                <w:sz w:val="25"/>
                <w:szCs w:val="25"/>
                <w:color w:val="231F20"/>
                <w:vertAlign w:val="superscript"/>
              </w:rPr>
              <w:t>(3)</w:t>
            </w: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0.5</w:t>
            </w:r>
          </w:p>
        </w:tc>
        <w:tc>
          <w:tcPr>
            <w:tcW w:w="0" w:type="dxa"/>
            <w:vAlign w:val="bottom"/>
          </w:tcPr>
          <w:p>
            <w:pPr>
              <w:spacing w:after="0"/>
              <w:rPr>
                <w:sz w:val="1"/>
                <w:szCs w:val="1"/>
                <w:color w:val="auto"/>
              </w:rPr>
            </w:pPr>
          </w:p>
        </w:tc>
      </w:tr>
      <w:tr>
        <w:trPr>
          <w:trHeight w:val="195"/>
        </w:trPr>
        <w:tc>
          <w:tcPr>
            <w:tcW w:w="3880" w:type="dxa"/>
            <w:vAlign w:val="bottom"/>
          </w:tcPr>
          <w:p>
            <w:pPr>
              <w:ind w:left="540"/>
              <w:spacing w:after="0" w:line="195" w:lineRule="exact"/>
              <w:rPr>
                <w:sz w:val="20"/>
                <w:szCs w:val="20"/>
                <w:color w:val="auto"/>
              </w:rPr>
            </w:pPr>
            <w:r>
              <w:rPr>
                <w:rFonts w:ascii="Times New Roman" w:cs="Times New Roman" w:eastAsia="Times New Roman" w:hAnsi="Times New Roman"/>
                <w:sz w:val="19"/>
                <w:szCs w:val="19"/>
                <w:color w:val="231F20"/>
              </w:rPr>
              <w:t>Amortization of inventory and property</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231F20"/>
              </w:rPr>
              <w:t>5.0</w:t>
            </w:r>
          </w:p>
        </w:tc>
        <w:tc>
          <w:tcPr>
            <w:tcW w:w="0" w:type="dxa"/>
            <w:vAlign w:val="bottom"/>
          </w:tcPr>
          <w:p>
            <w:pPr>
              <w:spacing w:after="0"/>
              <w:rPr>
                <w:sz w:val="1"/>
                <w:szCs w:val="1"/>
                <w:color w:val="auto"/>
              </w:rPr>
            </w:pPr>
          </w:p>
        </w:tc>
      </w:tr>
      <w:tr>
        <w:trPr>
          <w:trHeight w:val="272"/>
        </w:trPr>
        <w:tc>
          <w:tcPr>
            <w:tcW w:w="3880" w:type="dxa"/>
            <w:vAlign w:val="bottom"/>
          </w:tcPr>
          <w:p>
            <w:pPr>
              <w:ind w:left="540"/>
              <w:spacing w:after="0" w:line="271" w:lineRule="exact"/>
              <w:rPr>
                <w:sz w:val="20"/>
                <w:szCs w:val="20"/>
                <w:color w:val="auto"/>
              </w:rPr>
            </w:pPr>
            <w:r>
              <w:rPr>
                <w:rFonts w:ascii="Times New Roman" w:cs="Times New Roman" w:eastAsia="Times New Roman" w:hAnsi="Times New Roman"/>
                <w:sz w:val="19"/>
                <w:szCs w:val="19"/>
                <w:color w:val="231F20"/>
              </w:rPr>
              <w:t xml:space="preserve">"step up" to fair value </w:t>
            </w:r>
            <w:r>
              <w:rPr>
                <w:rFonts w:ascii="Times New Roman" w:cs="Times New Roman" w:eastAsia="Times New Roman" w:hAnsi="Times New Roman"/>
                <w:sz w:val="25"/>
                <w:szCs w:val="25"/>
                <w:color w:val="231F20"/>
                <w:vertAlign w:val="superscript"/>
              </w:rPr>
              <w:t>(1)</w:t>
            </w: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880" w:type="dxa"/>
            <w:vAlign w:val="bottom"/>
          </w:tcPr>
          <w:p>
            <w:pPr>
              <w:ind w:left="540"/>
              <w:spacing w:after="0" w:line="260" w:lineRule="exact"/>
              <w:rPr>
                <w:sz w:val="20"/>
                <w:szCs w:val="20"/>
                <w:color w:val="auto"/>
              </w:rPr>
            </w:pPr>
            <w:r>
              <w:rPr>
                <w:rFonts w:ascii="Times New Roman" w:cs="Times New Roman" w:eastAsia="Times New Roman" w:hAnsi="Times New Roman"/>
                <w:sz w:val="19"/>
                <w:szCs w:val="19"/>
                <w:color w:val="231F20"/>
              </w:rPr>
              <w:t xml:space="preserve">Restructuring charges </w:t>
            </w:r>
            <w:r>
              <w:rPr>
                <w:rFonts w:ascii="Times New Roman" w:cs="Times New Roman" w:eastAsia="Times New Roman" w:hAnsi="Times New Roman"/>
                <w:sz w:val="25"/>
                <w:szCs w:val="25"/>
                <w:color w:val="231F20"/>
                <w:vertAlign w:val="superscript"/>
              </w:rPr>
              <w:t>(4)</w:t>
            </w: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3.4</w:t>
            </w:r>
          </w:p>
        </w:tc>
        <w:tc>
          <w:tcPr>
            <w:tcW w:w="0" w:type="dxa"/>
            <w:vAlign w:val="bottom"/>
          </w:tcPr>
          <w:p>
            <w:pPr>
              <w:spacing w:after="0"/>
              <w:rPr>
                <w:sz w:val="1"/>
                <w:szCs w:val="1"/>
                <w:color w:val="auto"/>
              </w:rPr>
            </w:pPr>
          </w:p>
        </w:tc>
      </w:tr>
      <w:tr>
        <w:trPr>
          <w:trHeight w:val="256"/>
        </w:trPr>
        <w:tc>
          <w:tcPr>
            <w:tcW w:w="38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Total income from operations</w:t>
            </w: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1,101.8</w:t>
            </w:r>
          </w:p>
        </w:tc>
        <w:tc>
          <w:tcPr>
            <w:tcW w:w="0" w:type="dxa"/>
            <w:vAlign w:val="bottom"/>
          </w:tcPr>
          <w:p>
            <w:pPr>
              <w:spacing w:after="0"/>
              <w:rPr>
                <w:sz w:val="1"/>
                <w:szCs w:val="1"/>
                <w:color w:val="auto"/>
              </w:rPr>
            </w:pPr>
          </w:p>
        </w:tc>
      </w:tr>
      <w:tr>
        <w:trPr>
          <w:trHeight w:val="378"/>
        </w:trPr>
        <w:tc>
          <w:tcPr>
            <w:tcW w:w="3880" w:type="dxa"/>
            <w:vAlign w:val="bottom"/>
          </w:tcPr>
          <w:p>
            <w:pPr>
              <w:spacing w:after="0"/>
              <w:rPr>
                <w:sz w:val="24"/>
                <w:szCs w:val="24"/>
                <w:color w:val="auto"/>
              </w:rPr>
            </w:pPr>
          </w:p>
        </w:tc>
        <w:tc>
          <w:tcPr>
            <w:tcW w:w="2420" w:type="dxa"/>
            <w:vAlign w:val="bottom"/>
            <w:gridSpan w:val="4"/>
          </w:tcPr>
          <w:p>
            <w:pPr>
              <w:ind w:left="60"/>
              <w:spacing w:after="0"/>
              <w:rPr>
                <w:sz w:val="20"/>
                <w:szCs w:val="20"/>
                <w:color w:val="auto"/>
              </w:rPr>
            </w:pPr>
            <w:r>
              <w:rPr>
                <w:rFonts w:ascii="Times New Roman" w:cs="Times New Roman" w:eastAsia="Times New Roman" w:hAnsi="Times New Roman"/>
                <w:sz w:val="17"/>
                <w:szCs w:val="17"/>
                <w:b w:val="1"/>
                <w:bCs w:val="1"/>
                <w:color w:val="231F20"/>
              </w:rPr>
              <w:t>Year Ended March 31, 2025</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880" w:type="dxa"/>
            <w:vAlign w:val="bottom"/>
            <w:tcBorders>
              <w:bottom w:val="single" w:sz="8" w:color="231F20"/>
            </w:tcBorders>
          </w:tcPr>
          <w:p>
            <w:pPr>
              <w:ind w:left="180"/>
              <w:spacing w:after="0"/>
              <w:rPr>
                <w:sz w:val="20"/>
                <w:szCs w:val="20"/>
                <w:color w:val="auto"/>
              </w:rPr>
            </w:pPr>
            <w:r>
              <w:rPr>
                <w:rFonts w:ascii="Times New Roman" w:cs="Times New Roman" w:eastAsia="Times New Roman" w:hAnsi="Times New Roman"/>
                <w:sz w:val="17"/>
                <w:szCs w:val="17"/>
                <w:color w:val="231F20"/>
              </w:rPr>
              <w:t>(in millions)</w:t>
            </w:r>
          </w:p>
        </w:tc>
        <w:tc>
          <w:tcPr>
            <w:tcW w:w="18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jc w:val="right"/>
              <w:ind w:right="125"/>
              <w:spacing w:after="0"/>
              <w:rPr>
                <w:sz w:val="20"/>
                <w:szCs w:val="20"/>
                <w:color w:val="auto"/>
              </w:rPr>
            </w:pPr>
            <w:r>
              <w:rPr>
                <w:rFonts w:ascii="Times New Roman" w:cs="Times New Roman" w:eastAsia="Times New Roman" w:hAnsi="Times New Roman"/>
                <w:sz w:val="17"/>
                <w:szCs w:val="17"/>
                <w:color w:val="231F20"/>
              </w:rPr>
              <w:t>Healthcare</w:t>
            </w:r>
          </w:p>
        </w:tc>
        <w:tc>
          <w:tcPr>
            <w:tcW w:w="34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ind w:right="345"/>
              <w:spacing w:after="0"/>
              <w:rPr>
                <w:sz w:val="20"/>
                <w:szCs w:val="20"/>
                <w:color w:val="auto"/>
              </w:rPr>
            </w:pPr>
            <w:r>
              <w:rPr>
                <w:rFonts w:ascii="Times New Roman" w:cs="Times New Roman" w:eastAsia="Times New Roman" w:hAnsi="Times New Roman"/>
                <w:sz w:val="17"/>
                <w:szCs w:val="17"/>
                <w:color w:val="231F20"/>
              </w:rPr>
              <w:t>AST</w:t>
            </w:r>
          </w:p>
        </w:tc>
        <w:tc>
          <w:tcPr>
            <w:tcW w:w="1220" w:type="dxa"/>
            <w:vAlign w:val="bottom"/>
            <w:tcBorders>
              <w:bottom w:val="single" w:sz="8" w:color="231F20"/>
            </w:tcBorders>
            <w:gridSpan w:val="2"/>
          </w:tcPr>
          <w:p>
            <w:pPr>
              <w:jc w:val="right"/>
              <w:ind w:right="23"/>
              <w:spacing w:after="0"/>
              <w:rPr>
                <w:sz w:val="20"/>
                <w:szCs w:val="20"/>
                <w:color w:val="auto"/>
              </w:rPr>
            </w:pPr>
            <w:r>
              <w:rPr>
                <w:rFonts w:ascii="Times New Roman" w:cs="Times New Roman" w:eastAsia="Times New Roman" w:hAnsi="Times New Roman"/>
                <w:sz w:val="17"/>
                <w:szCs w:val="17"/>
                <w:color w:val="231F20"/>
              </w:rPr>
              <w:t>Life Sciences</w:t>
            </w:r>
          </w:p>
        </w:tc>
        <w:tc>
          <w:tcPr>
            <w:tcW w:w="6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tcPr>
          <w:p>
            <w:pPr>
              <w:jc w:val="right"/>
              <w:ind w:right="146"/>
              <w:spacing w:after="0"/>
              <w:rPr>
                <w:sz w:val="20"/>
                <w:szCs w:val="20"/>
                <w:color w:val="auto"/>
              </w:rPr>
            </w:pPr>
            <w:r>
              <w:rPr>
                <w:rFonts w:ascii="Times New Roman" w:cs="Times New Roman" w:eastAsia="Times New Roman" w:hAnsi="Times New Roman"/>
                <w:sz w:val="17"/>
                <w:szCs w:val="17"/>
                <w:color w:val="231F20"/>
              </w:rPr>
              <w:t>Corporate</w:t>
            </w:r>
          </w:p>
        </w:tc>
        <w:tc>
          <w:tcPr>
            <w:tcW w:w="6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tcPr>
          <w:p>
            <w:pPr>
              <w:jc w:val="right"/>
              <w:ind w:right="144"/>
              <w:spacing w:after="0"/>
              <w:rPr>
                <w:sz w:val="20"/>
                <w:szCs w:val="20"/>
                <w:color w:val="auto"/>
              </w:rPr>
            </w:pPr>
            <w:r>
              <w:rPr>
                <w:rFonts w:ascii="Times New Roman" w:cs="Times New Roman" w:eastAsia="Times New Roman" w:hAnsi="Times New Roman"/>
                <w:sz w:val="17"/>
                <w:szCs w:val="17"/>
                <w:color w:val="231F20"/>
              </w:rPr>
              <w:t>Company</w:t>
            </w:r>
          </w:p>
        </w:tc>
        <w:tc>
          <w:tcPr>
            <w:tcW w:w="0" w:type="dxa"/>
            <w:vAlign w:val="bottom"/>
          </w:tcPr>
          <w:p>
            <w:pPr>
              <w:spacing w:after="0"/>
              <w:rPr>
                <w:sz w:val="1"/>
                <w:szCs w:val="1"/>
                <w:color w:val="auto"/>
              </w:rPr>
            </w:pPr>
          </w:p>
        </w:tc>
      </w:tr>
      <w:tr>
        <w:trPr>
          <w:trHeight w:val="530"/>
        </w:trPr>
        <w:tc>
          <w:tcPr>
            <w:tcW w:w="38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Revenues</w:t>
            </w:r>
          </w:p>
        </w:tc>
        <w:tc>
          <w:tcPr>
            <w:tcW w:w="18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231F20"/>
              </w:rPr>
              <w:t>3,878.7</w:t>
            </w:r>
          </w:p>
        </w:tc>
        <w:tc>
          <w:tcPr>
            <w:tcW w:w="3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231F20"/>
              </w:rPr>
              <w:t>$</w:t>
            </w: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231F20"/>
              </w:rPr>
              <w:t>1,038.6</w:t>
            </w:r>
          </w:p>
        </w:tc>
        <w:tc>
          <w:tcPr>
            <w:tcW w:w="440" w:type="dxa"/>
            <w:vAlign w:val="bottom"/>
          </w:tcPr>
          <w:p>
            <w:pPr>
              <w:jc w:val="right"/>
              <w:ind w:right="146"/>
              <w:spacing w:after="0"/>
              <w:rPr>
                <w:sz w:val="20"/>
                <w:szCs w:val="20"/>
                <w:color w:val="auto"/>
              </w:rPr>
            </w:pPr>
            <w:r>
              <w:rPr>
                <w:rFonts w:ascii="Times New Roman" w:cs="Times New Roman" w:eastAsia="Times New Roman" w:hAnsi="Times New Roman"/>
                <w:sz w:val="19"/>
                <w:szCs w:val="19"/>
                <w:color w:val="231F2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542.3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5,459.5</w:t>
            </w:r>
          </w:p>
        </w:tc>
        <w:tc>
          <w:tcPr>
            <w:tcW w:w="0" w:type="dxa"/>
            <w:vAlign w:val="bottom"/>
          </w:tcPr>
          <w:p>
            <w:pPr>
              <w:spacing w:after="0"/>
              <w:rPr>
                <w:sz w:val="1"/>
                <w:szCs w:val="1"/>
                <w:color w:val="auto"/>
              </w:rPr>
            </w:pPr>
          </w:p>
        </w:tc>
      </w:tr>
      <w:tr>
        <w:trPr>
          <w:trHeight w:val="582"/>
        </w:trPr>
        <w:tc>
          <w:tcPr>
            <w:tcW w:w="38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Segment expenses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88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Cost of revenues</w:t>
            </w:r>
          </w:p>
        </w:tc>
        <w:tc>
          <w:tcPr>
            <w:tcW w:w="180" w:type="dxa"/>
            <w:vAlign w:val="bottom"/>
          </w:tcPr>
          <w:p>
            <w:pPr>
              <w:spacing w:after="0"/>
              <w:rPr>
                <w:sz w:val="24"/>
                <w:szCs w:val="24"/>
                <w:color w:val="auto"/>
              </w:rPr>
            </w:pP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231F20"/>
              </w:rPr>
              <w:t>2,204.1</w:t>
            </w:r>
          </w:p>
        </w:tc>
        <w:tc>
          <w:tcPr>
            <w:tcW w:w="340" w:type="dxa"/>
            <w:vAlign w:val="bottom"/>
          </w:tcPr>
          <w:p>
            <w:pPr>
              <w:spacing w:after="0"/>
              <w:rPr>
                <w:sz w:val="24"/>
                <w:szCs w:val="24"/>
                <w:color w:val="auto"/>
              </w:rPr>
            </w:pP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231F20"/>
              </w:rPr>
              <w:t>516.7</w:t>
            </w:r>
          </w:p>
        </w:tc>
        <w:tc>
          <w:tcPr>
            <w:tcW w:w="4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243.7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88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Selling, general, and administrative</w:t>
            </w:r>
          </w:p>
        </w:tc>
        <w:tc>
          <w:tcPr>
            <w:tcW w:w="180" w:type="dxa"/>
            <w:vAlign w:val="bottom"/>
          </w:tcPr>
          <w:p>
            <w:pPr>
              <w:spacing w:after="0"/>
              <w:rPr>
                <w:sz w:val="24"/>
                <w:szCs w:val="24"/>
                <w:color w:val="auto"/>
              </w:rPr>
            </w:pP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231F20"/>
              </w:rPr>
              <w:t>610.0</w:t>
            </w:r>
          </w:p>
        </w:tc>
        <w:tc>
          <w:tcPr>
            <w:tcW w:w="340" w:type="dxa"/>
            <w:vAlign w:val="bottom"/>
          </w:tcPr>
          <w:p>
            <w:pPr>
              <w:spacing w:after="0"/>
              <w:rPr>
                <w:sz w:val="24"/>
                <w:szCs w:val="24"/>
                <w:color w:val="auto"/>
              </w:rPr>
            </w:pP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231F20"/>
              </w:rPr>
              <w:t>52.5</w:t>
            </w:r>
          </w:p>
        </w:tc>
        <w:tc>
          <w:tcPr>
            <w:tcW w:w="4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59.8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88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Research and development</w:t>
            </w:r>
          </w:p>
        </w:tc>
        <w:tc>
          <w:tcPr>
            <w:tcW w:w="18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19"/>
                <w:szCs w:val="19"/>
                <w:color w:val="231F20"/>
              </w:rPr>
              <w:t>93.1</w:t>
            </w:r>
          </w:p>
        </w:tc>
        <w:tc>
          <w:tcPr>
            <w:tcW w:w="34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19"/>
                <w:szCs w:val="19"/>
                <w:color w:val="231F20"/>
              </w:rPr>
              <w:t>3.8</w:t>
            </w:r>
          </w:p>
        </w:tc>
        <w:tc>
          <w:tcPr>
            <w:tcW w:w="440" w:type="dxa"/>
            <w:vAlign w:val="bottom"/>
            <w:tcBorders>
              <w:bottom w:val="single" w:sz="8" w:color="231F20"/>
            </w:tcBorders>
          </w:tcPr>
          <w:p>
            <w:pPr>
              <w:spacing w:after="0"/>
              <w:rPr>
                <w:sz w:val="24"/>
                <w:szCs w:val="24"/>
                <w:color w:val="auto"/>
              </w:rPr>
            </w:pP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9.4</w:t>
            </w:r>
          </w:p>
        </w:tc>
        <w:tc>
          <w:tcPr>
            <w:tcW w:w="60" w:type="dxa"/>
            <w:vAlign w:val="bottom"/>
            <w:tcBorders>
              <w:bottom w:val="single" w:sz="8" w:color="231F20"/>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3880" w:type="dxa"/>
            <w:vAlign w:val="bottom"/>
          </w:tcPr>
          <w:p>
            <w:pPr>
              <w:ind w:left="60"/>
              <w:spacing w:after="0" w:line="177" w:lineRule="exact"/>
              <w:rPr>
                <w:sz w:val="20"/>
                <w:szCs w:val="20"/>
                <w:color w:val="auto"/>
              </w:rPr>
            </w:pPr>
            <w:r>
              <w:rPr>
                <w:rFonts w:ascii="Times New Roman" w:cs="Times New Roman" w:eastAsia="Times New Roman" w:hAnsi="Times New Roman"/>
                <w:sz w:val="19"/>
                <w:szCs w:val="19"/>
                <w:b w:val="1"/>
                <w:bCs w:val="1"/>
                <w:color w:val="231F20"/>
              </w:rPr>
              <w:t>Total income from operations before</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vMerge w:val="restart"/>
          </w:tcPr>
          <w:p>
            <w:pPr>
              <w:jc w:val="right"/>
              <w:ind w:right="5"/>
              <w:spacing w:after="0"/>
              <w:rPr>
                <w:sz w:val="20"/>
                <w:szCs w:val="20"/>
                <w:color w:val="auto"/>
              </w:rPr>
            </w:pPr>
            <w:r>
              <w:rPr>
                <w:rFonts w:ascii="Times New Roman" w:cs="Times New Roman" w:eastAsia="Times New Roman" w:hAnsi="Times New Roman"/>
                <w:sz w:val="19"/>
                <w:szCs w:val="19"/>
                <w:color w:val="231F20"/>
              </w:rPr>
              <w:t>971.5</w:t>
            </w:r>
          </w:p>
        </w:tc>
        <w:tc>
          <w:tcPr>
            <w:tcW w:w="340" w:type="dxa"/>
            <w:vAlign w:val="bottom"/>
            <w:vMerge w:val="restart"/>
          </w:tcPr>
          <w:p>
            <w:pPr>
              <w:jc w:val="right"/>
              <w:ind w:right="43"/>
              <w:spacing w:after="0"/>
              <w:rPr>
                <w:sz w:val="20"/>
                <w:szCs w:val="20"/>
                <w:color w:val="auto"/>
              </w:rPr>
            </w:pPr>
            <w:r>
              <w:rPr>
                <w:rFonts w:ascii="Times New Roman" w:cs="Times New Roman" w:eastAsia="Times New Roman" w:hAnsi="Times New Roman"/>
                <w:sz w:val="19"/>
                <w:szCs w:val="19"/>
                <w:color w:val="231F20"/>
              </w:rPr>
              <w:t>$</w:t>
            </w:r>
          </w:p>
        </w:tc>
        <w:tc>
          <w:tcPr>
            <w:tcW w:w="900" w:type="dxa"/>
            <w:vAlign w:val="bottom"/>
            <w:vMerge w:val="restart"/>
          </w:tcPr>
          <w:p>
            <w:pPr>
              <w:jc w:val="right"/>
              <w:ind w:right="5"/>
              <w:spacing w:after="0"/>
              <w:rPr>
                <w:sz w:val="20"/>
                <w:szCs w:val="20"/>
                <w:color w:val="auto"/>
              </w:rPr>
            </w:pPr>
            <w:r>
              <w:rPr>
                <w:rFonts w:ascii="Times New Roman" w:cs="Times New Roman" w:eastAsia="Times New Roman" w:hAnsi="Times New Roman"/>
                <w:sz w:val="19"/>
                <w:szCs w:val="19"/>
                <w:color w:val="231F20"/>
              </w:rPr>
              <w:t>465.6</w:t>
            </w:r>
          </w:p>
        </w:tc>
        <w:tc>
          <w:tcPr>
            <w:tcW w:w="440" w:type="dxa"/>
            <w:vAlign w:val="bottom"/>
            <w:vMerge w:val="restart"/>
          </w:tcPr>
          <w:p>
            <w:pPr>
              <w:jc w:val="right"/>
              <w:ind w:right="146"/>
              <w:spacing w:after="0"/>
              <w:rPr>
                <w:sz w:val="20"/>
                <w:szCs w:val="20"/>
                <w:color w:val="auto"/>
              </w:rPr>
            </w:pPr>
            <w:r>
              <w:rPr>
                <w:rFonts w:ascii="Times New Roman" w:cs="Times New Roman" w:eastAsia="Times New Roman" w:hAnsi="Times New Roman"/>
                <w:sz w:val="19"/>
                <w:szCs w:val="19"/>
                <w:color w:val="231F20"/>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229.4</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9"/>
                <w:szCs w:val="19"/>
                <w:color w:val="231F20"/>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(399.0)</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1,267.5</w:t>
            </w:r>
          </w:p>
        </w:tc>
        <w:tc>
          <w:tcPr>
            <w:tcW w:w="0" w:type="dxa"/>
            <w:vAlign w:val="bottom"/>
          </w:tcPr>
          <w:p>
            <w:pPr>
              <w:spacing w:after="0"/>
              <w:rPr>
                <w:sz w:val="1"/>
                <w:szCs w:val="1"/>
                <w:color w:val="auto"/>
              </w:rPr>
            </w:pPr>
          </w:p>
        </w:tc>
      </w:tr>
      <w:tr>
        <w:trPr>
          <w:trHeight w:val="260"/>
        </w:trPr>
        <w:tc>
          <w:tcPr>
            <w:tcW w:w="38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adjustments</w:t>
            </w:r>
          </w:p>
        </w:tc>
        <w:tc>
          <w:tcPr>
            <w:tcW w:w="180" w:type="dxa"/>
            <w:vAlign w:val="bottom"/>
            <w:tcBorders>
              <w:bottom w:val="single" w:sz="8" w:color="231F20"/>
            </w:tcBorders>
            <w:vMerge w:val="continue"/>
          </w:tcPr>
          <w:p>
            <w:pPr>
              <w:spacing w:after="0"/>
              <w:rPr>
                <w:sz w:val="22"/>
                <w:szCs w:val="22"/>
                <w:color w:val="auto"/>
              </w:rPr>
            </w:pPr>
          </w:p>
        </w:tc>
        <w:tc>
          <w:tcPr>
            <w:tcW w:w="1000" w:type="dxa"/>
            <w:vAlign w:val="bottom"/>
            <w:tcBorders>
              <w:bottom w:val="single" w:sz="8" w:color="231F20"/>
            </w:tcBorders>
            <w:vMerge w:val="continue"/>
          </w:tcPr>
          <w:p>
            <w:pPr>
              <w:spacing w:after="0"/>
              <w:rPr>
                <w:sz w:val="22"/>
                <w:szCs w:val="22"/>
                <w:color w:val="auto"/>
              </w:rPr>
            </w:pPr>
          </w:p>
        </w:tc>
        <w:tc>
          <w:tcPr>
            <w:tcW w:w="340" w:type="dxa"/>
            <w:vAlign w:val="bottom"/>
            <w:tcBorders>
              <w:bottom w:val="single" w:sz="8" w:color="231F20"/>
            </w:tcBorders>
            <w:vMerge w:val="continue"/>
          </w:tcPr>
          <w:p>
            <w:pPr>
              <w:spacing w:after="0"/>
              <w:rPr>
                <w:sz w:val="22"/>
                <w:szCs w:val="22"/>
                <w:color w:val="auto"/>
              </w:rPr>
            </w:pPr>
          </w:p>
        </w:tc>
        <w:tc>
          <w:tcPr>
            <w:tcW w:w="900" w:type="dxa"/>
            <w:vAlign w:val="bottom"/>
            <w:tcBorders>
              <w:bottom w:val="single" w:sz="8" w:color="231F20"/>
            </w:tcBorders>
            <w:vMerge w:val="continue"/>
          </w:tcPr>
          <w:p>
            <w:pPr>
              <w:spacing w:after="0"/>
              <w:rPr>
                <w:sz w:val="22"/>
                <w:szCs w:val="22"/>
                <w:color w:val="auto"/>
              </w:rPr>
            </w:pPr>
          </w:p>
        </w:tc>
        <w:tc>
          <w:tcPr>
            <w:tcW w:w="440" w:type="dxa"/>
            <w:vAlign w:val="bottom"/>
            <w:tcBorders>
              <w:bottom w:val="single" w:sz="8" w:color="231F20"/>
            </w:tcBorders>
            <w:vMerge w:val="continue"/>
          </w:tcPr>
          <w:p>
            <w:pPr>
              <w:spacing w:after="0"/>
              <w:rPr>
                <w:sz w:val="22"/>
                <w:szCs w:val="22"/>
                <w:color w:val="auto"/>
              </w:rPr>
            </w:pPr>
          </w:p>
        </w:tc>
        <w:tc>
          <w:tcPr>
            <w:tcW w:w="780" w:type="dxa"/>
            <w:vAlign w:val="bottom"/>
            <w:tcBorders>
              <w:bottom w:val="single" w:sz="8" w:color="231F20"/>
            </w:tcBorders>
            <w:vMerge w:val="continue"/>
          </w:tcPr>
          <w:p>
            <w:pPr>
              <w:spacing w:after="0"/>
              <w:rPr>
                <w:sz w:val="22"/>
                <w:szCs w:val="22"/>
                <w:color w:val="auto"/>
              </w:rPr>
            </w:pPr>
          </w:p>
        </w:tc>
        <w:tc>
          <w:tcPr>
            <w:tcW w:w="240" w:type="dxa"/>
            <w:vAlign w:val="bottom"/>
            <w:tcBorders>
              <w:bottom w:val="single" w:sz="8" w:color="231F20"/>
            </w:tcBorders>
            <w:gridSpan w:val="2"/>
            <w:vMerge w:val="continue"/>
          </w:tcPr>
          <w:p>
            <w:pPr>
              <w:spacing w:after="0"/>
              <w:rPr>
                <w:sz w:val="22"/>
                <w:szCs w:val="22"/>
                <w:color w:val="auto"/>
              </w:rPr>
            </w:pPr>
          </w:p>
        </w:tc>
        <w:tc>
          <w:tcPr>
            <w:tcW w:w="980" w:type="dxa"/>
            <w:vAlign w:val="bottom"/>
            <w:tcBorders>
              <w:bottom w:val="single" w:sz="8" w:color="231F20"/>
            </w:tcBorders>
            <w:vMerge w:val="continue"/>
          </w:tcPr>
          <w:p>
            <w:pPr>
              <w:spacing w:after="0"/>
              <w:rPr>
                <w:sz w:val="22"/>
                <w:szCs w:val="22"/>
                <w:color w:val="auto"/>
              </w:rPr>
            </w:pPr>
          </w:p>
        </w:tc>
        <w:tc>
          <w:tcPr>
            <w:tcW w:w="240" w:type="dxa"/>
            <w:vAlign w:val="bottom"/>
            <w:tcBorders>
              <w:bottom w:val="single" w:sz="8" w:color="231F20"/>
            </w:tcBorders>
            <w:gridSpan w:val="2"/>
            <w:vMerge w:val="continue"/>
          </w:tcPr>
          <w:p>
            <w:pPr>
              <w:spacing w:after="0"/>
              <w:rPr>
                <w:sz w:val="22"/>
                <w:szCs w:val="22"/>
                <w:color w:val="auto"/>
              </w:rPr>
            </w:pPr>
          </w:p>
        </w:tc>
        <w:tc>
          <w:tcPr>
            <w:tcW w:w="980" w:type="dxa"/>
            <w:vAlign w:val="bottom"/>
            <w:tcBorders>
              <w:bottom w:val="single" w:sz="8" w:color="231F20"/>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8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Less: Adjustments</w:t>
            </w: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3880" w:type="dxa"/>
            <w:vAlign w:val="bottom"/>
          </w:tcPr>
          <w:p>
            <w:pPr>
              <w:ind w:left="540"/>
              <w:spacing w:after="0" w:line="199" w:lineRule="exact"/>
              <w:rPr>
                <w:sz w:val="20"/>
                <w:szCs w:val="20"/>
                <w:color w:val="auto"/>
              </w:rPr>
            </w:pPr>
            <w:r>
              <w:rPr>
                <w:rFonts w:ascii="Times New Roman" w:cs="Times New Roman" w:eastAsia="Times New Roman" w:hAnsi="Times New Roman"/>
                <w:sz w:val="19"/>
                <w:szCs w:val="19"/>
                <w:color w:val="231F20"/>
              </w:rPr>
              <w:t>Amortization of acquired intangible</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273.8</w:t>
            </w:r>
          </w:p>
        </w:tc>
        <w:tc>
          <w:tcPr>
            <w:tcW w:w="0" w:type="dxa"/>
            <w:vAlign w:val="bottom"/>
          </w:tcPr>
          <w:p>
            <w:pPr>
              <w:spacing w:after="0"/>
              <w:rPr>
                <w:sz w:val="1"/>
                <w:szCs w:val="1"/>
                <w:color w:val="auto"/>
              </w:rPr>
            </w:pPr>
          </w:p>
        </w:tc>
      </w:tr>
      <w:tr>
        <w:trPr>
          <w:trHeight w:val="256"/>
        </w:trPr>
        <w:tc>
          <w:tcPr>
            <w:tcW w:w="3880" w:type="dxa"/>
            <w:vAlign w:val="bottom"/>
          </w:tcPr>
          <w:p>
            <w:pPr>
              <w:ind w:left="540"/>
              <w:spacing w:after="0" w:line="256" w:lineRule="exact"/>
              <w:rPr>
                <w:sz w:val="20"/>
                <w:szCs w:val="20"/>
                <w:color w:val="auto"/>
              </w:rPr>
            </w:pPr>
            <w:r>
              <w:rPr>
                <w:rFonts w:ascii="Times New Roman" w:cs="Times New Roman" w:eastAsia="Times New Roman" w:hAnsi="Times New Roman"/>
                <w:sz w:val="19"/>
                <w:szCs w:val="19"/>
                <w:color w:val="231F20"/>
              </w:rPr>
              <w:t xml:space="preserve">assets </w:t>
            </w:r>
            <w:r>
              <w:rPr>
                <w:rFonts w:ascii="Times New Roman" w:cs="Times New Roman" w:eastAsia="Times New Roman" w:hAnsi="Times New Roman"/>
                <w:sz w:val="25"/>
                <w:szCs w:val="25"/>
                <w:color w:val="231F20"/>
                <w:vertAlign w:val="superscript"/>
              </w:rPr>
              <w:t>(1)</w:t>
            </w: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3880" w:type="dxa"/>
            <w:vAlign w:val="bottom"/>
          </w:tcPr>
          <w:p>
            <w:pPr>
              <w:ind w:left="540"/>
              <w:spacing w:after="0" w:line="195" w:lineRule="exact"/>
              <w:rPr>
                <w:sz w:val="20"/>
                <w:szCs w:val="20"/>
                <w:color w:val="auto"/>
              </w:rPr>
            </w:pPr>
            <w:r>
              <w:rPr>
                <w:rFonts w:ascii="Times New Roman" w:cs="Times New Roman" w:eastAsia="Times New Roman" w:hAnsi="Times New Roman"/>
                <w:sz w:val="19"/>
                <w:szCs w:val="19"/>
                <w:color w:val="231F20"/>
              </w:rPr>
              <w:t>Acquisition and integration related</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11.2</w:t>
            </w:r>
          </w:p>
        </w:tc>
        <w:tc>
          <w:tcPr>
            <w:tcW w:w="0" w:type="dxa"/>
            <w:vAlign w:val="bottom"/>
          </w:tcPr>
          <w:p>
            <w:pPr>
              <w:spacing w:after="0"/>
              <w:rPr>
                <w:sz w:val="1"/>
                <w:szCs w:val="1"/>
                <w:color w:val="auto"/>
              </w:rPr>
            </w:pPr>
          </w:p>
        </w:tc>
      </w:tr>
      <w:tr>
        <w:trPr>
          <w:trHeight w:val="276"/>
        </w:trPr>
        <w:tc>
          <w:tcPr>
            <w:tcW w:w="3880" w:type="dxa"/>
            <w:vAlign w:val="bottom"/>
          </w:tcPr>
          <w:p>
            <w:pPr>
              <w:ind w:left="540"/>
              <w:spacing w:after="0" w:line="276" w:lineRule="exact"/>
              <w:rPr>
                <w:sz w:val="20"/>
                <w:szCs w:val="20"/>
                <w:color w:val="auto"/>
              </w:rPr>
            </w:pPr>
            <w:r>
              <w:rPr>
                <w:rFonts w:ascii="Times New Roman" w:cs="Times New Roman" w:eastAsia="Times New Roman" w:hAnsi="Times New Roman"/>
                <w:sz w:val="19"/>
                <w:szCs w:val="19"/>
                <w:color w:val="231F20"/>
              </w:rPr>
              <w:t xml:space="preserve">charges </w:t>
            </w:r>
            <w:r>
              <w:rPr>
                <w:rFonts w:ascii="Times New Roman" w:cs="Times New Roman" w:eastAsia="Times New Roman" w:hAnsi="Times New Roman"/>
                <w:sz w:val="25"/>
                <w:szCs w:val="25"/>
                <w:color w:val="231F20"/>
                <w:vertAlign w:val="superscript"/>
              </w:rPr>
              <w:t>(2)</w:t>
            </w: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880" w:type="dxa"/>
            <w:vAlign w:val="bottom"/>
          </w:tcPr>
          <w:p>
            <w:pPr>
              <w:ind w:left="540"/>
              <w:spacing w:after="0" w:line="257" w:lineRule="exact"/>
              <w:rPr>
                <w:sz w:val="20"/>
                <w:szCs w:val="20"/>
                <w:color w:val="auto"/>
              </w:rPr>
            </w:pPr>
            <w:r>
              <w:rPr>
                <w:rFonts w:ascii="Times New Roman" w:cs="Times New Roman" w:eastAsia="Times New Roman" w:hAnsi="Times New Roman"/>
                <w:sz w:val="19"/>
                <w:szCs w:val="19"/>
                <w:color w:val="231F20"/>
              </w:rPr>
              <w:t xml:space="preserve">Tax restructuring costs </w:t>
            </w:r>
            <w:r>
              <w:rPr>
                <w:rFonts w:ascii="Times New Roman" w:cs="Times New Roman" w:eastAsia="Times New Roman" w:hAnsi="Times New Roman"/>
                <w:sz w:val="25"/>
                <w:szCs w:val="25"/>
                <w:color w:val="231F20"/>
                <w:vertAlign w:val="superscript"/>
              </w:rPr>
              <w:t>(3)</w:t>
            </w: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0.1</w:t>
            </w:r>
          </w:p>
        </w:tc>
        <w:tc>
          <w:tcPr>
            <w:tcW w:w="0" w:type="dxa"/>
            <w:vAlign w:val="bottom"/>
          </w:tcPr>
          <w:p>
            <w:pPr>
              <w:spacing w:after="0"/>
              <w:rPr>
                <w:sz w:val="1"/>
                <w:szCs w:val="1"/>
                <w:color w:val="auto"/>
              </w:rPr>
            </w:pPr>
          </w:p>
        </w:tc>
      </w:tr>
      <w:tr>
        <w:trPr>
          <w:trHeight w:val="195"/>
        </w:trPr>
        <w:tc>
          <w:tcPr>
            <w:tcW w:w="3880" w:type="dxa"/>
            <w:vAlign w:val="bottom"/>
          </w:tcPr>
          <w:p>
            <w:pPr>
              <w:ind w:left="540"/>
              <w:spacing w:after="0" w:line="195" w:lineRule="exact"/>
              <w:rPr>
                <w:sz w:val="20"/>
                <w:szCs w:val="20"/>
                <w:color w:val="auto"/>
              </w:rPr>
            </w:pPr>
            <w:r>
              <w:rPr>
                <w:rFonts w:ascii="Times New Roman" w:cs="Times New Roman" w:eastAsia="Times New Roman" w:hAnsi="Times New Roman"/>
                <w:sz w:val="19"/>
                <w:szCs w:val="19"/>
                <w:color w:val="231F20"/>
              </w:rPr>
              <w:t>Amortization of inventory and property</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5.4</w:t>
            </w:r>
          </w:p>
        </w:tc>
        <w:tc>
          <w:tcPr>
            <w:tcW w:w="0" w:type="dxa"/>
            <w:vAlign w:val="bottom"/>
          </w:tcPr>
          <w:p>
            <w:pPr>
              <w:spacing w:after="0"/>
              <w:rPr>
                <w:sz w:val="1"/>
                <w:szCs w:val="1"/>
                <w:color w:val="auto"/>
              </w:rPr>
            </w:pPr>
          </w:p>
        </w:tc>
      </w:tr>
      <w:tr>
        <w:trPr>
          <w:trHeight w:val="276"/>
        </w:trPr>
        <w:tc>
          <w:tcPr>
            <w:tcW w:w="3880" w:type="dxa"/>
            <w:vAlign w:val="bottom"/>
          </w:tcPr>
          <w:p>
            <w:pPr>
              <w:ind w:left="540"/>
              <w:spacing w:after="0" w:line="276" w:lineRule="exact"/>
              <w:rPr>
                <w:sz w:val="20"/>
                <w:szCs w:val="20"/>
                <w:color w:val="auto"/>
              </w:rPr>
            </w:pPr>
            <w:r>
              <w:rPr>
                <w:rFonts w:ascii="Times New Roman" w:cs="Times New Roman" w:eastAsia="Times New Roman" w:hAnsi="Times New Roman"/>
                <w:sz w:val="19"/>
                <w:szCs w:val="19"/>
                <w:color w:val="231F20"/>
              </w:rPr>
              <w:t xml:space="preserve">"step up" to fair value </w:t>
            </w:r>
            <w:r>
              <w:rPr>
                <w:rFonts w:ascii="Times New Roman" w:cs="Times New Roman" w:eastAsia="Times New Roman" w:hAnsi="Times New Roman"/>
                <w:sz w:val="25"/>
                <w:szCs w:val="25"/>
                <w:color w:val="231F20"/>
                <w:vertAlign w:val="superscript"/>
              </w:rPr>
              <w:t>(1)</w:t>
            </w: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3880" w:type="dxa"/>
            <w:vAlign w:val="bottom"/>
          </w:tcPr>
          <w:p>
            <w:pPr>
              <w:ind w:left="540"/>
              <w:spacing w:after="0" w:line="276" w:lineRule="exact"/>
              <w:rPr>
                <w:sz w:val="20"/>
                <w:szCs w:val="20"/>
                <w:color w:val="auto"/>
              </w:rPr>
            </w:pPr>
            <w:r>
              <w:rPr>
                <w:rFonts w:ascii="Times New Roman" w:cs="Times New Roman" w:eastAsia="Times New Roman" w:hAnsi="Times New Roman"/>
                <w:sz w:val="19"/>
                <w:szCs w:val="19"/>
                <w:color w:val="231F20"/>
              </w:rPr>
              <w:t xml:space="preserve">Restructuring charges </w:t>
            </w:r>
            <w:r>
              <w:rPr>
                <w:rFonts w:ascii="Times New Roman" w:cs="Times New Roman" w:eastAsia="Times New Roman" w:hAnsi="Times New Roman"/>
                <w:sz w:val="25"/>
                <w:szCs w:val="25"/>
                <w:color w:val="231F20"/>
                <w:vertAlign w:val="superscript"/>
              </w:rPr>
              <w:t>(4)</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62.3</w:t>
            </w:r>
          </w:p>
        </w:tc>
        <w:tc>
          <w:tcPr>
            <w:tcW w:w="0" w:type="dxa"/>
            <w:vAlign w:val="bottom"/>
          </w:tcPr>
          <w:p>
            <w:pPr>
              <w:spacing w:after="0"/>
              <w:rPr>
                <w:sz w:val="1"/>
                <w:szCs w:val="1"/>
                <w:color w:val="auto"/>
              </w:rPr>
            </w:pPr>
          </w:p>
        </w:tc>
      </w:tr>
      <w:tr>
        <w:trPr>
          <w:trHeight w:val="256"/>
        </w:trPr>
        <w:tc>
          <w:tcPr>
            <w:tcW w:w="3880" w:type="dxa"/>
            <w:vAlign w:val="bottom"/>
          </w:tcPr>
          <w:p>
            <w:pPr>
              <w:ind w:left="540"/>
              <w:spacing w:after="0" w:line="256" w:lineRule="exact"/>
              <w:rPr>
                <w:sz w:val="20"/>
                <w:szCs w:val="20"/>
                <w:color w:val="auto"/>
              </w:rPr>
            </w:pPr>
            <w:r>
              <w:rPr>
                <w:rFonts w:ascii="Times New Roman" w:cs="Times New Roman" w:eastAsia="Times New Roman" w:hAnsi="Times New Roman"/>
                <w:sz w:val="19"/>
                <w:szCs w:val="19"/>
                <w:color w:val="231F20"/>
              </w:rPr>
              <w:t xml:space="preserve">Illinois EO litigation settlement </w:t>
            </w:r>
            <w:r>
              <w:rPr>
                <w:rFonts w:ascii="Times New Roman" w:cs="Times New Roman" w:eastAsia="Times New Roman" w:hAnsi="Times New Roman"/>
                <w:sz w:val="25"/>
                <w:szCs w:val="25"/>
                <w:color w:val="231F20"/>
                <w:vertAlign w:val="superscript"/>
              </w:rPr>
              <w:t>(5)</w:t>
            </w: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48.2</w:t>
            </w:r>
          </w:p>
        </w:tc>
        <w:tc>
          <w:tcPr>
            <w:tcW w:w="0" w:type="dxa"/>
            <w:vAlign w:val="bottom"/>
          </w:tcPr>
          <w:p>
            <w:pPr>
              <w:spacing w:after="0"/>
              <w:rPr>
                <w:sz w:val="1"/>
                <w:szCs w:val="1"/>
                <w:color w:val="auto"/>
              </w:rPr>
            </w:pPr>
          </w:p>
        </w:tc>
      </w:tr>
      <w:tr>
        <w:trPr>
          <w:trHeight w:val="256"/>
        </w:trPr>
        <w:tc>
          <w:tcPr>
            <w:tcW w:w="38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Total income from operations</w:t>
            </w: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866.6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960"/>
          </w:cols>
          <w:pgMar w:left="960" w:top="25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92</w:t>
      </w:r>
    </w:p>
    <w:p>
      <w:pPr>
        <w:sectPr>
          <w:pgSz w:w="11880" w:h="15480" w:orient="portrait"/>
          <w:cols w:equalWidth="0" w:num="1">
            <w:col w:w="9960"/>
          </w:cols>
          <w:pgMar w:left="960" w:top="250" w:right="960" w:bottom="0"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19"/>
                <w:szCs w:val="19"/>
                <w:color w:val="auto"/>
              </w:rPr>
            </w:pPr>
          </w:p>
        </w:tc>
        <w:tc>
          <w:tcPr>
            <w:tcW w:w="2420" w:type="dxa"/>
            <w:vAlign w:val="bottom"/>
            <w:gridSpan w:val="4"/>
          </w:tcPr>
          <w:p>
            <w:pPr>
              <w:ind w:left="60"/>
              <w:spacing w:after="0"/>
              <w:rPr>
                <w:sz w:val="20"/>
                <w:szCs w:val="20"/>
                <w:color w:val="auto"/>
              </w:rPr>
            </w:pPr>
            <w:r>
              <w:rPr>
                <w:rFonts w:ascii="Times New Roman" w:cs="Times New Roman" w:eastAsia="Times New Roman" w:hAnsi="Times New Roman"/>
                <w:sz w:val="17"/>
                <w:szCs w:val="17"/>
                <w:b w:val="1"/>
                <w:bCs w:val="1"/>
                <w:color w:val="231F20"/>
              </w:rPr>
              <w:t>Year Ended March 31, 2024</w:t>
            </w: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3880" w:type="dxa"/>
            <w:vAlign w:val="bottom"/>
            <w:tcBorders>
              <w:bottom w:val="single" w:sz="8" w:color="231F20"/>
            </w:tcBorders>
          </w:tcPr>
          <w:p>
            <w:pPr>
              <w:ind w:left="180"/>
              <w:spacing w:after="0"/>
              <w:rPr>
                <w:sz w:val="20"/>
                <w:szCs w:val="20"/>
                <w:color w:val="auto"/>
              </w:rPr>
            </w:pPr>
            <w:r>
              <w:rPr>
                <w:rFonts w:ascii="Times New Roman" w:cs="Times New Roman" w:eastAsia="Times New Roman" w:hAnsi="Times New Roman"/>
                <w:sz w:val="17"/>
                <w:szCs w:val="17"/>
                <w:color w:val="231F20"/>
              </w:rPr>
              <w:t>(in millions)</w:t>
            </w:r>
          </w:p>
        </w:tc>
        <w:tc>
          <w:tcPr>
            <w:tcW w:w="18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ind w:right="125"/>
              <w:spacing w:after="0"/>
              <w:rPr>
                <w:sz w:val="20"/>
                <w:szCs w:val="20"/>
                <w:color w:val="auto"/>
              </w:rPr>
            </w:pPr>
            <w:r>
              <w:rPr>
                <w:rFonts w:ascii="Times New Roman" w:cs="Times New Roman" w:eastAsia="Times New Roman" w:hAnsi="Times New Roman"/>
                <w:sz w:val="17"/>
                <w:szCs w:val="17"/>
                <w:color w:val="231F20"/>
              </w:rPr>
              <w:t>Healthcare</w:t>
            </w:r>
          </w:p>
        </w:tc>
        <w:tc>
          <w:tcPr>
            <w:tcW w:w="34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ind w:right="345"/>
              <w:spacing w:after="0"/>
              <w:rPr>
                <w:sz w:val="20"/>
                <w:szCs w:val="20"/>
                <w:color w:val="auto"/>
              </w:rPr>
            </w:pPr>
            <w:r>
              <w:rPr>
                <w:rFonts w:ascii="Times New Roman" w:cs="Times New Roman" w:eastAsia="Times New Roman" w:hAnsi="Times New Roman"/>
                <w:sz w:val="17"/>
                <w:szCs w:val="17"/>
                <w:color w:val="231F20"/>
              </w:rPr>
              <w:t>AST</w:t>
            </w:r>
          </w:p>
        </w:tc>
        <w:tc>
          <w:tcPr>
            <w:tcW w:w="1220" w:type="dxa"/>
            <w:vAlign w:val="bottom"/>
            <w:tcBorders>
              <w:bottom w:val="single" w:sz="8" w:color="231F20"/>
            </w:tcBorders>
            <w:gridSpan w:val="2"/>
          </w:tcPr>
          <w:p>
            <w:pPr>
              <w:jc w:val="right"/>
              <w:ind w:right="23"/>
              <w:spacing w:after="0"/>
              <w:rPr>
                <w:sz w:val="20"/>
                <w:szCs w:val="20"/>
                <w:color w:val="auto"/>
              </w:rPr>
            </w:pPr>
            <w:r>
              <w:rPr>
                <w:rFonts w:ascii="Times New Roman" w:cs="Times New Roman" w:eastAsia="Times New Roman" w:hAnsi="Times New Roman"/>
                <w:sz w:val="17"/>
                <w:szCs w:val="17"/>
                <w:color w:val="231F20"/>
              </w:rPr>
              <w:t>Life Sciences</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ind w:right="146"/>
              <w:spacing w:after="0"/>
              <w:rPr>
                <w:sz w:val="20"/>
                <w:szCs w:val="20"/>
                <w:color w:val="auto"/>
              </w:rPr>
            </w:pPr>
            <w:r>
              <w:rPr>
                <w:rFonts w:ascii="Times New Roman" w:cs="Times New Roman" w:eastAsia="Times New Roman" w:hAnsi="Times New Roman"/>
                <w:sz w:val="17"/>
                <w:szCs w:val="17"/>
                <w:color w:val="231F20"/>
              </w:rPr>
              <w:t>Corporate</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ind w:right="144"/>
              <w:spacing w:after="0"/>
              <w:rPr>
                <w:sz w:val="20"/>
                <w:szCs w:val="20"/>
                <w:color w:val="auto"/>
              </w:rPr>
            </w:pPr>
            <w:r>
              <w:rPr>
                <w:rFonts w:ascii="Times New Roman" w:cs="Times New Roman" w:eastAsia="Times New Roman" w:hAnsi="Times New Roman"/>
                <w:sz w:val="17"/>
                <w:szCs w:val="17"/>
                <w:color w:val="231F20"/>
              </w:rPr>
              <w:t>Company</w:t>
            </w:r>
          </w:p>
        </w:tc>
        <w:tc>
          <w:tcPr>
            <w:tcW w:w="0" w:type="dxa"/>
            <w:vAlign w:val="bottom"/>
          </w:tcPr>
          <w:p>
            <w:pPr>
              <w:spacing w:after="0"/>
              <w:rPr>
                <w:sz w:val="1"/>
                <w:szCs w:val="1"/>
                <w:color w:val="auto"/>
              </w:rPr>
            </w:pPr>
          </w:p>
        </w:tc>
      </w:tr>
      <w:tr>
        <w:trPr>
          <w:trHeight w:val="545"/>
        </w:trPr>
        <w:tc>
          <w:tcPr>
            <w:tcW w:w="38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Revenues</w:t>
            </w:r>
          </w:p>
        </w:tc>
        <w:tc>
          <w:tcPr>
            <w:tcW w:w="18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231F20"/>
              </w:rPr>
              <w:t>3,613.0</w:t>
            </w:r>
          </w:p>
        </w:tc>
        <w:tc>
          <w:tcPr>
            <w:tcW w:w="3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231F20"/>
              </w:rPr>
              <w:t>$</w:t>
            </w: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231F20"/>
              </w:rPr>
              <w:t>954.0</w:t>
            </w:r>
          </w:p>
        </w:tc>
        <w:tc>
          <w:tcPr>
            <w:tcW w:w="440" w:type="dxa"/>
            <w:vAlign w:val="bottom"/>
          </w:tcPr>
          <w:p>
            <w:pPr>
              <w:jc w:val="right"/>
              <w:ind w:right="146"/>
              <w:spacing w:after="0"/>
              <w:rPr>
                <w:sz w:val="20"/>
                <w:szCs w:val="20"/>
                <w:color w:val="auto"/>
              </w:rPr>
            </w:pPr>
            <w:r>
              <w:rPr>
                <w:rFonts w:ascii="Times New Roman" w:cs="Times New Roman" w:eastAsia="Times New Roman" w:hAnsi="Times New Roman"/>
                <w:sz w:val="19"/>
                <w:szCs w:val="19"/>
                <w:color w:val="231F2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571.7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5,138.7</w:t>
            </w:r>
          </w:p>
        </w:tc>
        <w:tc>
          <w:tcPr>
            <w:tcW w:w="0" w:type="dxa"/>
            <w:vAlign w:val="bottom"/>
          </w:tcPr>
          <w:p>
            <w:pPr>
              <w:spacing w:after="0"/>
              <w:rPr>
                <w:sz w:val="1"/>
                <w:szCs w:val="1"/>
                <w:color w:val="auto"/>
              </w:rPr>
            </w:pPr>
          </w:p>
        </w:tc>
      </w:tr>
      <w:tr>
        <w:trPr>
          <w:trHeight w:val="568"/>
        </w:trPr>
        <w:tc>
          <w:tcPr>
            <w:tcW w:w="38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Segment expenses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88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Cost of revenues</w:t>
            </w:r>
          </w:p>
        </w:tc>
        <w:tc>
          <w:tcPr>
            <w:tcW w:w="180" w:type="dxa"/>
            <w:vAlign w:val="bottom"/>
          </w:tcPr>
          <w:p>
            <w:pPr>
              <w:spacing w:after="0"/>
              <w:rPr>
                <w:sz w:val="24"/>
                <w:szCs w:val="24"/>
                <w:color w:val="auto"/>
              </w:rPr>
            </w:pP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231F20"/>
              </w:rPr>
              <w:t>2,083.9</w:t>
            </w:r>
          </w:p>
        </w:tc>
        <w:tc>
          <w:tcPr>
            <w:tcW w:w="340" w:type="dxa"/>
            <w:vAlign w:val="bottom"/>
          </w:tcPr>
          <w:p>
            <w:pPr>
              <w:spacing w:after="0"/>
              <w:rPr>
                <w:sz w:val="24"/>
                <w:szCs w:val="24"/>
                <w:color w:val="auto"/>
              </w:rPr>
            </w:pP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231F20"/>
              </w:rPr>
              <w:t>458.4</w:t>
            </w:r>
          </w:p>
        </w:tc>
        <w:tc>
          <w:tcPr>
            <w:tcW w:w="4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283.9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88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Selling, general, and administrative</w:t>
            </w:r>
          </w:p>
        </w:tc>
        <w:tc>
          <w:tcPr>
            <w:tcW w:w="180" w:type="dxa"/>
            <w:vAlign w:val="bottom"/>
          </w:tcPr>
          <w:p>
            <w:pPr>
              <w:spacing w:after="0"/>
              <w:rPr>
                <w:sz w:val="24"/>
                <w:szCs w:val="24"/>
                <w:color w:val="auto"/>
              </w:rPr>
            </w:pP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231F20"/>
              </w:rPr>
              <w:t>568.0</w:t>
            </w:r>
          </w:p>
        </w:tc>
        <w:tc>
          <w:tcPr>
            <w:tcW w:w="340" w:type="dxa"/>
            <w:vAlign w:val="bottom"/>
          </w:tcPr>
          <w:p>
            <w:pPr>
              <w:spacing w:after="0"/>
              <w:rPr>
                <w:sz w:val="24"/>
                <w:szCs w:val="24"/>
                <w:color w:val="auto"/>
              </w:rPr>
            </w:pP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231F20"/>
              </w:rPr>
              <w:t>51.7</w:t>
            </w:r>
          </w:p>
        </w:tc>
        <w:tc>
          <w:tcPr>
            <w:tcW w:w="4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58.2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88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Research and development</w:t>
            </w:r>
          </w:p>
        </w:tc>
        <w:tc>
          <w:tcPr>
            <w:tcW w:w="18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19"/>
                <w:szCs w:val="19"/>
                <w:color w:val="231F20"/>
              </w:rPr>
              <w:t>89.8</w:t>
            </w:r>
          </w:p>
        </w:tc>
        <w:tc>
          <w:tcPr>
            <w:tcW w:w="34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19"/>
                <w:szCs w:val="19"/>
                <w:color w:val="231F20"/>
              </w:rPr>
              <w:t>4.1</w:t>
            </w:r>
          </w:p>
        </w:tc>
        <w:tc>
          <w:tcPr>
            <w:tcW w:w="440" w:type="dxa"/>
            <w:vAlign w:val="bottom"/>
            <w:tcBorders>
              <w:bottom w:val="single" w:sz="8" w:color="231F20"/>
            </w:tcBorders>
          </w:tcPr>
          <w:p>
            <w:pPr>
              <w:spacing w:after="0"/>
              <w:rPr>
                <w:sz w:val="24"/>
                <w:szCs w:val="24"/>
                <w:color w:val="auto"/>
              </w:rPr>
            </w:pP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8.3</w:t>
            </w:r>
          </w:p>
        </w:tc>
        <w:tc>
          <w:tcPr>
            <w:tcW w:w="60" w:type="dxa"/>
            <w:vAlign w:val="bottom"/>
            <w:tcBorders>
              <w:bottom w:val="single" w:sz="8" w:color="231F20"/>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3880" w:type="dxa"/>
            <w:vAlign w:val="bottom"/>
          </w:tcPr>
          <w:p>
            <w:pPr>
              <w:ind w:left="60"/>
              <w:spacing w:after="0" w:line="177" w:lineRule="exact"/>
              <w:rPr>
                <w:sz w:val="20"/>
                <w:szCs w:val="20"/>
                <w:color w:val="auto"/>
              </w:rPr>
            </w:pPr>
            <w:r>
              <w:rPr>
                <w:rFonts w:ascii="Times New Roman" w:cs="Times New Roman" w:eastAsia="Times New Roman" w:hAnsi="Times New Roman"/>
                <w:sz w:val="19"/>
                <w:szCs w:val="19"/>
                <w:b w:val="1"/>
                <w:bCs w:val="1"/>
                <w:color w:val="231F20"/>
              </w:rPr>
              <w:t>Total income from operations before</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vMerge w:val="restart"/>
          </w:tcPr>
          <w:p>
            <w:pPr>
              <w:jc w:val="right"/>
              <w:ind w:right="5"/>
              <w:spacing w:after="0"/>
              <w:rPr>
                <w:sz w:val="20"/>
                <w:szCs w:val="20"/>
                <w:color w:val="auto"/>
              </w:rPr>
            </w:pPr>
            <w:r>
              <w:rPr>
                <w:rFonts w:ascii="Times New Roman" w:cs="Times New Roman" w:eastAsia="Times New Roman" w:hAnsi="Times New Roman"/>
                <w:sz w:val="19"/>
                <w:szCs w:val="19"/>
                <w:color w:val="231F20"/>
              </w:rPr>
              <w:t>871.4</w:t>
            </w:r>
          </w:p>
        </w:tc>
        <w:tc>
          <w:tcPr>
            <w:tcW w:w="340" w:type="dxa"/>
            <w:vAlign w:val="bottom"/>
            <w:vMerge w:val="restart"/>
          </w:tcPr>
          <w:p>
            <w:pPr>
              <w:jc w:val="right"/>
              <w:ind w:right="43"/>
              <w:spacing w:after="0"/>
              <w:rPr>
                <w:sz w:val="20"/>
                <w:szCs w:val="20"/>
                <w:color w:val="auto"/>
              </w:rPr>
            </w:pPr>
            <w:r>
              <w:rPr>
                <w:rFonts w:ascii="Times New Roman" w:cs="Times New Roman" w:eastAsia="Times New Roman" w:hAnsi="Times New Roman"/>
                <w:sz w:val="19"/>
                <w:szCs w:val="19"/>
                <w:color w:val="231F20"/>
              </w:rPr>
              <w:t>$</w:t>
            </w:r>
          </w:p>
        </w:tc>
        <w:tc>
          <w:tcPr>
            <w:tcW w:w="900" w:type="dxa"/>
            <w:vAlign w:val="bottom"/>
            <w:vMerge w:val="restart"/>
          </w:tcPr>
          <w:p>
            <w:pPr>
              <w:jc w:val="right"/>
              <w:ind w:right="5"/>
              <w:spacing w:after="0"/>
              <w:rPr>
                <w:sz w:val="20"/>
                <w:szCs w:val="20"/>
                <w:color w:val="auto"/>
              </w:rPr>
            </w:pPr>
            <w:r>
              <w:rPr>
                <w:rFonts w:ascii="Times New Roman" w:cs="Times New Roman" w:eastAsia="Times New Roman" w:hAnsi="Times New Roman"/>
                <w:sz w:val="19"/>
                <w:szCs w:val="19"/>
                <w:color w:val="231F20"/>
              </w:rPr>
              <w:t>439.7</w:t>
            </w:r>
          </w:p>
        </w:tc>
        <w:tc>
          <w:tcPr>
            <w:tcW w:w="440" w:type="dxa"/>
            <w:vAlign w:val="bottom"/>
            <w:vMerge w:val="restart"/>
          </w:tcPr>
          <w:p>
            <w:pPr>
              <w:jc w:val="right"/>
              <w:ind w:right="146"/>
              <w:spacing w:after="0"/>
              <w:rPr>
                <w:sz w:val="20"/>
                <w:szCs w:val="20"/>
                <w:color w:val="auto"/>
              </w:rPr>
            </w:pPr>
            <w:r>
              <w:rPr>
                <w:rFonts w:ascii="Times New Roman" w:cs="Times New Roman" w:eastAsia="Times New Roman" w:hAnsi="Times New Roman"/>
                <w:sz w:val="19"/>
                <w:szCs w:val="19"/>
                <w:color w:val="231F20"/>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221.3</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9"/>
                <w:szCs w:val="19"/>
                <w:color w:val="231F20"/>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(348.5)</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1,184.0</w:t>
            </w:r>
          </w:p>
        </w:tc>
        <w:tc>
          <w:tcPr>
            <w:tcW w:w="0" w:type="dxa"/>
            <w:vAlign w:val="bottom"/>
          </w:tcPr>
          <w:p>
            <w:pPr>
              <w:spacing w:after="0"/>
              <w:rPr>
                <w:sz w:val="1"/>
                <w:szCs w:val="1"/>
                <w:color w:val="auto"/>
              </w:rPr>
            </w:pPr>
          </w:p>
        </w:tc>
      </w:tr>
      <w:tr>
        <w:trPr>
          <w:trHeight w:val="260"/>
        </w:trPr>
        <w:tc>
          <w:tcPr>
            <w:tcW w:w="38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adjustments</w:t>
            </w:r>
          </w:p>
        </w:tc>
        <w:tc>
          <w:tcPr>
            <w:tcW w:w="180" w:type="dxa"/>
            <w:vAlign w:val="bottom"/>
            <w:tcBorders>
              <w:bottom w:val="single" w:sz="8" w:color="231F20"/>
            </w:tcBorders>
            <w:vMerge w:val="continue"/>
          </w:tcPr>
          <w:p>
            <w:pPr>
              <w:spacing w:after="0"/>
              <w:rPr>
                <w:sz w:val="22"/>
                <w:szCs w:val="22"/>
                <w:color w:val="auto"/>
              </w:rPr>
            </w:pPr>
          </w:p>
        </w:tc>
        <w:tc>
          <w:tcPr>
            <w:tcW w:w="1000" w:type="dxa"/>
            <w:vAlign w:val="bottom"/>
            <w:tcBorders>
              <w:bottom w:val="single" w:sz="8" w:color="231F20"/>
            </w:tcBorders>
            <w:vMerge w:val="continue"/>
          </w:tcPr>
          <w:p>
            <w:pPr>
              <w:spacing w:after="0"/>
              <w:rPr>
                <w:sz w:val="22"/>
                <w:szCs w:val="22"/>
                <w:color w:val="auto"/>
              </w:rPr>
            </w:pPr>
          </w:p>
        </w:tc>
        <w:tc>
          <w:tcPr>
            <w:tcW w:w="340" w:type="dxa"/>
            <w:vAlign w:val="bottom"/>
            <w:tcBorders>
              <w:bottom w:val="single" w:sz="8" w:color="231F20"/>
            </w:tcBorders>
            <w:vMerge w:val="continue"/>
          </w:tcPr>
          <w:p>
            <w:pPr>
              <w:spacing w:after="0"/>
              <w:rPr>
                <w:sz w:val="22"/>
                <w:szCs w:val="22"/>
                <w:color w:val="auto"/>
              </w:rPr>
            </w:pPr>
          </w:p>
        </w:tc>
        <w:tc>
          <w:tcPr>
            <w:tcW w:w="900" w:type="dxa"/>
            <w:vAlign w:val="bottom"/>
            <w:tcBorders>
              <w:bottom w:val="single" w:sz="8" w:color="231F20"/>
            </w:tcBorders>
            <w:vMerge w:val="continue"/>
          </w:tcPr>
          <w:p>
            <w:pPr>
              <w:spacing w:after="0"/>
              <w:rPr>
                <w:sz w:val="22"/>
                <w:szCs w:val="22"/>
                <w:color w:val="auto"/>
              </w:rPr>
            </w:pPr>
          </w:p>
        </w:tc>
        <w:tc>
          <w:tcPr>
            <w:tcW w:w="440" w:type="dxa"/>
            <w:vAlign w:val="bottom"/>
            <w:tcBorders>
              <w:bottom w:val="single" w:sz="8" w:color="231F20"/>
            </w:tcBorders>
            <w:vMerge w:val="continue"/>
          </w:tcPr>
          <w:p>
            <w:pPr>
              <w:spacing w:after="0"/>
              <w:rPr>
                <w:sz w:val="22"/>
                <w:szCs w:val="22"/>
                <w:color w:val="auto"/>
              </w:rPr>
            </w:pPr>
          </w:p>
        </w:tc>
        <w:tc>
          <w:tcPr>
            <w:tcW w:w="780" w:type="dxa"/>
            <w:vAlign w:val="bottom"/>
            <w:tcBorders>
              <w:bottom w:val="single" w:sz="8" w:color="231F20"/>
            </w:tcBorders>
            <w:vMerge w:val="continue"/>
          </w:tcPr>
          <w:p>
            <w:pPr>
              <w:spacing w:after="0"/>
              <w:rPr>
                <w:sz w:val="22"/>
                <w:szCs w:val="22"/>
                <w:color w:val="auto"/>
              </w:rPr>
            </w:pPr>
          </w:p>
        </w:tc>
        <w:tc>
          <w:tcPr>
            <w:tcW w:w="240" w:type="dxa"/>
            <w:vAlign w:val="bottom"/>
            <w:tcBorders>
              <w:bottom w:val="single" w:sz="8" w:color="231F20"/>
            </w:tcBorders>
            <w:gridSpan w:val="2"/>
            <w:vMerge w:val="continue"/>
          </w:tcPr>
          <w:p>
            <w:pPr>
              <w:spacing w:after="0"/>
              <w:rPr>
                <w:sz w:val="22"/>
                <w:szCs w:val="22"/>
                <w:color w:val="auto"/>
              </w:rPr>
            </w:pPr>
          </w:p>
        </w:tc>
        <w:tc>
          <w:tcPr>
            <w:tcW w:w="980" w:type="dxa"/>
            <w:vAlign w:val="bottom"/>
            <w:tcBorders>
              <w:bottom w:val="single" w:sz="8" w:color="231F20"/>
            </w:tcBorders>
            <w:vMerge w:val="continue"/>
          </w:tcPr>
          <w:p>
            <w:pPr>
              <w:spacing w:after="0"/>
              <w:rPr>
                <w:sz w:val="22"/>
                <w:szCs w:val="22"/>
                <w:color w:val="auto"/>
              </w:rPr>
            </w:pPr>
          </w:p>
        </w:tc>
        <w:tc>
          <w:tcPr>
            <w:tcW w:w="240" w:type="dxa"/>
            <w:vAlign w:val="bottom"/>
            <w:tcBorders>
              <w:bottom w:val="single" w:sz="8" w:color="231F20"/>
            </w:tcBorders>
            <w:gridSpan w:val="2"/>
            <w:vMerge w:val="continue"/>
          </w:tcPr>
          <w:p>
            <w:pPr>
              <w:spacing w:after="0"/>
              <w:rPr>
                <w:sz w:val="22"/>
                <w:szCs w:val="22"/>
                <w:color w:val="auto"/>
              </w:rPr>
            </w:pPr>
          </w:p>
        </w:tc>
        <w:tc>
          <w:tcPr>
            <w:tcW w:w="980" w:type="dxa"/>
            <w:vAlign w:val="bottom"/>
            <w:tcBorders>
              <w:bottom w:val="single" w:sz="8" w:color="231F20"/>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8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Less: Adjustments</w:t>
            </w: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3880" w:type="dxa"/>
            <w:vAlign w:val="bottom"/>
          </w:tcPr>
          <w:p>
            <w:pPr>
              <w:ind w:left="540"/>
              <w:spacing w:after="0" w:line="199" w:lineRule="exact"/>
              <w:rPr>
                <w:sz w:val="20"/>
                <w:szCs w:val="20"/>
                <w:color w:val="auto"/>
              </w:rPr>
            </w:pPr>
            <w:r>
              <w:rPr>
                <w:rFonts w:ascii="Times New Roman" w:cs="Times New Roman" w:eastAsia="Times New Roman" w:hAnsi="Times New Roman"/>
                <w:sz w:val="19"/>
                <w:szCs w:val="19"/>
                <w:color w:val="231F20"/>
              </w:rPr>
              <w:t>Amortization of acquired intangible</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266.4</w:t>
            </w:r>
          </w:p>
        </w:tc>
        <w:tc>
          <w:tcPr>
            <w:tcW w:w="0" w:type="dxa"/>
            <w:vAlign w:val="bottom"/>
          </w:tcPr>
          <w:p>
            <w:pPr>
              <w:spacing w:after="0"/>
              <w:rPr>
                <w:sz w:val="1"/>
                <w:szCs w:val="1"/>
                <w:color w:val="auto"/>
              </w:rPr>
            </w:pPr>
          </w:p>
        </w:tc>
      </w:tr>
      <w:tr>
        <w:trPr>
          <w:trHeight w:val="256"/>
        </w:trPr>
        <w:tc>
          <w:tcPr>
            <w:tcW w:w="3880" w:type="dxa"/>
            <w:vAlign w:val="bottom"/>
          </w:tcPr>
          <w:p>
            <w:pPr>
              <w:ind w:left="540"/>
              <w:spacing w:after="0" w:line="256" w:lineRule="exact"/>
              <w:rPr>
                <w:sz w:val="20"/>
                <w:szCs w:val="20"/>
                <w:color w:val="auto"/>
              </w:rPr>
            </w:pPr>
            <w:r>
              <w:rPr>
                <w:rFonts w:ascii="Times New Roman" w:cs="Times New Roman" w:eastAsia="Times New Roman" w:hAnsi="Times New Roman"/>
                <w:sz w:val="19"/>
                <w:szCs w:val="19"/>
                <w:color w:val="231F20"/>
              </w:rPr>
              <w:t xml:space="preserve">assets </w:t>
            </w:r>
            <w:r>
              <w:rPr>
                <w:rFonts w:ascii="Times New Roman" w:cs="Times New Roman" w:eastAsia="Times New Roman" w:hAnsi="Times New Roman"/>
                <w:sz w:val="25"/>
                <w:szCs w:val="25"/>
                <w:color w:val="231F20"/>
                <w:vertAlign w:val="superscript"/>
              </w:rPr>
              <w:t>(1)</w:t>
            </w: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3880" w:type="dxa"/>
            <w:vAlign w:val="bottom"/>
          </w:tcPr>
          <w:p>
            <w:pPr>
              <w:ind w:left="540"/>
              <w:spacing w:after="0" w:line="195" w:lineRule="exact"/>
              <w:rPr>
                <w:sz w:val="20"/>
                <w:szCs w:val="20"/>
                <w:color w:val="auto"/>
              </w:rPr>
            </w:pPr>
            <w:r>
              <w:rPr>
                <w:rFonts w:ascii="Times New Roman" w:cs="Times New Roman" w:eastAsia="Times New Roman" w:hAnsi="Times New Roman"/>
                <w:sz w:val="19"/>
                <w:szCs w:val="19"/>
                <w:color w:val="231F20"/>
              </w:rPr>
              <w:t>Acquisition and integration related</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25.5</w:t>
            </w:r>
          </w:p>
        </w:tc>
        <w:tc>
          <w:tcPr>
            <w:tcW w:w="0" w:type="dxa"/>
            <w:vAlign w:val="bottom"/>
          </w:tcPr>
          <w:p>
            <w:pPr>
              <w:spacing w:after="0"/>
              <w:rPr>
                <w:sz w:val="1"/>
                <w:szCs w:val="1"/>
                <w:color w:val="auto"/>
              </w:rPr>
            </w:pPr>
          </w:p>
        </w:tc>
      </w:tr>
      <w:tr>
        <w:trPr>
          <w:trHeight w:val="276"/>
        </w:trPr>
        <w:tc>
          <w:tcPr>
            <w:tcW w:w="3880" w:type="dxa"/>
            <w:vAlign w:val="bottom"/>
          </w:tcPr>
          <w:p>
            <w:pPr>
              <w:ind w:left="540"/>
              <w:spacing w:after="0" w:line="276" w:lineRule="exact"/>
              <w:rPr>
                <w:sz w:val="20"/>
                <w:szCs w:val="20"/>
                <w:color w:val="auto"/>
              </w:rPr>
            </w:pPr>
            <w:r>
              <w:rPr>
                <w:rFonts w:ascii="Times New Roman" w:cs="Times New Roman" w:eastAsia="Times New Roman" w:hAnsi="Times New Roman"/>
                <w:sz w:val="19"/>
                <w:szCs w:val="19"/>
                <w:color w:val="231F20"/>
              </w:rPr>
              <w:t xml:space="preserve">charges </w:t>
            </w:r>
            <w:r>
              <w:rPr>
                <w:rFonts w:ascii="Times New Roman" w:cs="Times New Roman" w:eastAsia="Times New Roman" w:hAnsi="Times New Roman"/>
                <w:sz w:val="25"/>
                <w:szCs w:val="25"/>
                <w:color w:val="231F20"/>
                <w:vertAlign w:val="superscript"/>
              </w:rPr>
              <w:t>(2)</w:t>
            </w: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880" w:type="dxa"/>
            <w:vAlign w:val="bottom"/>
          </w:tcPr>
          <w:p>
            <w:pPr>
              <w:ind w:left="540"/>
              <w:spacing w:after="0" w:line="276" w:lineRule="exact"/>
              <w:rPr>
                <w:sz w:val="20"/>
                <w:szCs w:val="20"/>
                <w:color w:val="auto"/>
              </w:rPr>
            </w:pPr>
            <w:r>
              <w:rPr>
                <w:rFonts w:ascii="Times New Roman" w:cs="Times New Roman" w:eastAsia="Times New Roman" w:hAnsi="Times New Roman"/>
                <w:sz w:val="19"/>
                <w:szCs w:val="19"/>
                <w:color w:val="231F20"/>
              </w:rPr>
              <w:t xml:space="preserve">Tax restructuring costs </w:t>
            </w:r>
            <w:r>
              <w:rPr>
                <w:rFonts w:ascii="Times New Roman" w:cs="Times New Roman" w:eastAsia="Times New Roman" w:hAnsi="Times New Roman"/>
                <w:sz w:val="25"/>
                <w:szCs w:val="25"/>
                <w:color w:val="231F20"/>
                <w:vertAlign w:val="superscript"/>
              </w:rPr>
              <w:t>(3)</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0.6</w:t>
            </w:r>
          </w:p>
        </w:tc>
        <w:tc>
          <w:tcPr>
            <w:tcW w:w="0" w:type="dxa"/>
            <w:vAlign w:val="bottom"/>
          </w:tcPr>
          <w:p>
            <w:pPr>
              <w:spacing w:after="0"/>
              <w:rPr>
                <w:sz w:val="1"/>
                <w:szCs w:val="1"/>
                <w:color w:val="auto"/>
              </w:rPr>
            </w:pPr>
          </w:p>
        </w:tc>
      </w:tr>
      <w:tr>
        <w:trPr>
          <w:trHeight w:val="257"/>
        </w:trPr>
        <w:tc>
          <w:tcPr>
            <w:tcW w:w="3880" w:type="dxa"/>
            <w:vAlign w:val="bottom"/>
          </w:tcPr>
          <w:p>
            <w:pPr>
              <w:ind w:left="540"/>
              <w:spacing w:after="0" w:line="257" w:lineRule="exact"/>
              <w:rPr>
                <w:sz w:val="20"/>
                <w:szCs w:val="20"/>
                <w:color w:val="auto"/>
              </w:rPr>
            </w:pPr>
            <w:r>
              <w:rPr>
                <w:rFonts w:ascii="Times New Roman" w:cs="Times New Roman" w:eastAsia="Times New Roman" w:hAnsi="Times New Roman"/>
                <w:sz w:val="19"/>
                <w:szCs w:val="19"/>
                <w:color w:val="231F20"/>
              </w:rPr>
              <w:t xml:space="preserve">Net loss on divestiture of businesses </w:t>
            </w:r>
            <w:r>
              <w:rPr>
                <w:rFonts w:ascii="Times New Roman" w:cs="Times New Roman" w:eastAsia="Times New Roman" w:hAnsi="Times New Roman"/>
                <w:sz w:val="25"/>
                <w:szCs w:val="25"/>
                <w:color w:val="231F20"/>
                <w:vertAlign w:val="superscript"/>
              </w:rPr>
              <w:t>(1)</w:t>
            </w: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0.9</w:t>
            </w:r>
          </w:p>
        </w:tc>
        <w:tc>
          <w:tcPr>
            <w:tcW w:w="0" w:type="dxa"/>
            <w:vAlign w:val="bottom"/>
          </w:tcPr>
          <w:p>
            <w:pPr>
              <w:spacing w:after="0"/>
              <w:rPr>
                <w:sz w:val="1"/>
                <w:szCs w:val="1"/>
                <w:color w:val="auto"/>
              </w:rPr>
            </w:pPr>
          </w:p>
        </w:tc>
      </w:tr>
      <w:tr>
        <w:trPr>
          <w:trHeight w:val="195"/>
        </w:trPr>
        <w:tc>
          <w:tcPr>
            <w:tcW w:w="3880" w:type="dxa"/>
            <w:vAlign w:val="bottom"/>
          </w:tcPr>
          <w:p>
            <w:pPr>
              <w:ind w:left="540"/>
              <w:spacing w:after="0" w:line="195" w:lineRule="exact"/>
              <w:rPr>
                <w:sz w:val="20"/>
                <w:szCs w:val="20"/>
                <w:color w:val="auto"/>
              </w:rPr>
            </w:pPr>
            <w:r>
              <w:rPr>
                <w:rFonts w:ascii="Times New Roman" w:cs="Times New Roman" w:eastAsia="Times New Roman" w:hAnsi="Times New Roman"/>
                <w:sz w:val="19"/>
                <w:szCs w:val="19"/>
                <w:color w:val="231F20"/>
              </w:rPr>
              <w:t>Amortization of inventory and property</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10.0</w:t>
            </w:r>
          </w:p>
        </w:tc>
        <w:tc>
          <w:tcPr>
            <w:tcW w:w="0" w:type="dxa"/>
            <w:vAlign w:val="bottom"/>
          </w:tcPr>
          <w:p>
            <w:pPr>
              <w:spacing w:after="0"/>
              <w:rPr>
                <w:sz w:val="1"/>
                <w:szCs w:val="1"/>
                <w:color w:val="auto"/>
              </w:rPr>
            </w:pPr>
          </w:p>
        </w:tc>
      </w:tr>
      <w:tr>
        <w:trPr>
          <w:trHeight w:val="276"/>
        </w:trPr>
        <w:tc>
          <w:tcPr>
            <w:tcW w:w="3880" w:type="dxa"/>
            <w:vAlign w:val="bottom"/>
          </w:tcPr>
          <w:p>
            <w:pPr>
              <w:ind w:left="540"/>
              <w:spacing w:after="0" w:line="276" w:lineRule="exact"/>
              <w:rPr>
                <w:sz w:val="20"/>
                <w:szCs w:val="20"/>
                <w:color w:val="auto"/>
              </w:rPr>
            </w:pPr>
            <w:r>
              <w:rPr>
                <w:rFonts w:ascii="Times New Roman" w:cs="Times New Roman" w:eastAsia="Times New Roman" w:hAnsi="Times New Roman"/>
                <w:sz w:val="19"/>
                <w:szCs w:val="19"/>
                <w:color w:val="231F20"/>
              </w:rPr>
              <w:t xml:space="preserve">"step up" to fair value </w:t>
            </w:r>
            <w:r>
              <w:rPr>
                <w:rFonts w:ascii="Times New Roman" w:cs="Times New Roman" w:eastAsia="Times New Roman" w:hAnsi="Times New Roman"/>
                <w:sz w:val="25"/>
                <w:szCs w:val="25"/>
                <w:color w:val="231F20"/>
                <w:vertAlign w:val="superscript"/>
              </w:rPr>
              <w:t>(1)</w:t>
            </w: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880" w:type="dxa"/>
            <w:vAlign w:val="bottom"/>
          </w:tcPr>
          <w:p>
            <w:pPr>
              <w:ind w:left="540"/>
              <w:spacing w:after="0" w:line="256" w:lineRule="exact"/>
              <w:rPr>
                <w:sz w:val="20"/>
                <w:szCs w:val="20"/>
                <w:color w:val="auto"/>
              </w:rPr>
            </w:pPr>
            <w:r>
              <w:rPr>
                <w:rFonts w:ascii="Times New Roman" w:cs="Times New Roman" w:eastAsia="Times New Roman" w:hAnsi="Times New Roman"/>
                <w:sz w:val="19"/>
                <w:szCs w:val="19"/>
                <w:color w:val="231F20"/>
              </w:rPr>
              <w:t xml:space="preserve">Restructuring charges </w:t>
            </w:r>
            <w:r>
              <w:rPr>
                <w:rFonts w:ascii="Times New Roman" w:cs="Times New Roman" w:eastAsia="Times New Roman" w:hAnsi="Times New Roman"/>
                <w:sz w:val="25"/>
                <w:szCs w:val="25"/>
                <w:color w:val="231F20"/>
                <w:vertAlign w:val="superscript"/>
              </w:rPr>
              <w:t>(4)</w:t>
            </w: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44.4</w:t>
            </w:r>
          </w:p>
        </w:tc>
        <w:tc>
          <w:tcPr>
            <w:tcW w:w="0" w:type="dxa"/>
            <w:vAlign w:val="bottom"/>
          </w:tcPr>
          <w:p>
            <w:pPr>
              <w:spacing w:after="0"/>
              <w:rPr>
                <w:sz w:val="1"/>
                <w:szCs w:val="1"/>
                <w:color w:val="auto"/>
              </w:rPr>
            </w:pPr>
          </w:p>
        </w:tc>
      </w:tr>
      <w:tr>
        <w:trPr>
          <w:trHeight w:val="270"/>
        </w:trPr>
        <w:tc>
          <w:tcPr>
            <w:tcW w:w="38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Total income from operations</w:t>
            </w: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836.1</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60" w:hanging="157"/>
        <w:spacing w:after="0"/>
        <w:tabs>
          <w:tab w:leader="none" w:pos="160" w:val="left"/>
        </w:tabs>
        <w:numPr>
          <w:ilvl w:val="0"/>
          <w:numId w:val="30"/>
        </w:numPr>
        <w:rPr>
          <w:rFonts w:ascii="Times New Roman" w:cs="Times New Roman" w:eastAsia="Times New Roman" w:hAnsi="Times New Roman"/>
          <w:sz w:val="20"/>
          <w:szCs w:val="20"/>
          <w:color w:val="231F20"/>
          <w:vertAlign w:val="superscript"/>
        </w:rPr>
      </w:pPr>
      <w:r>
        <w:rPr>
          <w:rFonts w:ascii="Times New Roman" w:cs="Times New Roman" w:eastAsia="Times New Roman" w:hAnsi="Times New Roman"/>
          <w:sz w:val="16"/>
          <w:szCs w:val="16"/>
          <w:color w:val="231F20"/>
        </w:rPr>
        <w:t>For more information regarding our recent acquisitions and divestitures, refer to Note 3 titled, "Business Acquisitions, Divestitures, and Investments</w:t>
      </w:r>
      <w:r>
        <w:rPr>
          <w:rFonts w:ascii="Times New Roman" w:cs="Times New Roman" w:eastAsia="Times New Roman" w:hAnsi="Times New Roman"/>
          <w:sz w:val="19"/>
          <w:szCs w:val="19"/>
          <w:color w:val="231F20"/>
        </w:rPr>
        <w:t>"</w:t>
      </w:r>
    </w:p>
    <w:p>
      <w:pPr>
        <w:spacing w:after="0" w:line="32" w:lineRule="exact"/>
        <w:rPr>
          <w:rFonts w:ascii="Times New Roman" w:cs="Times New Roman" w:eastAsia="Times New Roman" w:hAnsi="Times New Roman"/>
          <w:sz w:val="20"/>
          <w:szCs w:val="20"/>
          <w:color w:val="231F20"/>
          <w:vertAlign w:val="superscript"/>
        </w:rPr>
      </w:pPr>
    </w:p>
    <w:p>
      <w:pPr>
        <w:ind w:left="160" w:hanging="157"/>
        <w:spacing w:after="0" w:line="192" w:lineRule="auto"/>
        <w:tabs>
          <w:tab w:leader="none" w:pos="160" w:val="left"/>
        </w:tabs>
        <w:numPr>
          <w:ilvl w:val="0"/>
          <w:numId w:val="30"/>
        </w:numPr>
        <w:rPr>
          <w:rFonts w:ascii="Times New Roman" w:cs="Times New Roman" w:eastAsia="Times New Roman" w:hAnsi="Times New Roman"/>
          <w:sz w:val="20"/>
          <w:szCs w:val="20"/>
          <w:color w:val="231F20"/>
          <w:vertAlign w:val="superscript"/>
        </w:rPr>
      </w:pPr>
      <w:r>
        <w:rPr>
          <w:rFonts w:ascii="Times New Roman" w:cs="Times New Roman" w:eastAsia="Times New Roman" w:hAnsi="Times New Roman"/>
          <w:sz w:val="16"/>
          <w:szCs w:val="16"/>
          <w:color w:val="231F20"/>
        </w:rPr>
        <w:t>Acquisition and integration related charges include transaction costs and integration expenses associated with acquisitions.</w:t>
      </w:r>
    </w:p>
    <w:p>
      <w:pPr>
        <w:spacing w:after="0" w:line="2" w:lineRule="exact"/>
        <w:rPr>
          <w:rFonts w:ascii="Times New Roman" w:cs="Times New Roman" w:eastAsia="Times New Roman" w:hAnsi="Times New Roman"/>
          <w:sz w:val="20"/>
          <w:szCs w:val="20"/>
          <w:color w:val="231F20"/>
          <w:vertAlign w:val="superscript"/>
        </w:rPr>
      </w:pPr>
    </w:p>
    <w:p>
      <w:pPr>
        <w:ind w:left="160" w:hanging="157"/>
        <w:spacing w:after="0" w:line="192" w:lineRule="auto"/>
        <w:tabs>
          <w:tab w:leader="none" w:pos="160" w:val="left"/>
        </w:tabs>
        <w:numPr>
          <w:ilvl w:val="0"/>
          <w:numId w:val="30"/>
        </w:numPr>
        <w:rPr>
          <w:rFonts w:ascii="Times New Roman" w:cs="Times New Roman" w:eastAsia="Times New Roman" w:hAnsi="Times New Roman"/>
          <w:sz w:val="20"/>
          <w:szCs w:val="20"/>
          <w:color w:val="231F20"/>
          <w:vertAlign w:val="superscript"/>
        </w:rPr>
      </w:pPr>
      <w:r>
        <w:rPr>
          <w:rFonts w:ascii="Times New Roman" w:cs="Times New Roman" w:eastAsia="Times New Roman" w:hAnsi="Times New Roman"/>
          <w:sz w:val="16"/>
          <w:szCs w:val="16"/>
          <w:color w:val="231F20"/>
        </w:rPr>
        <w:t>Costs incurred in tax restructuring.</w:t>
      </w:r>
    </w:p>
    <w:p>
      <w:pPr>
        <w:spacing w:after="0" w:line="2" w:lineRule="exact"/>
        <w:rPr>
          <w:rFonts w:ascii="Times New Roman" w:cs="Times New Roman" w:eastAsia="Times New Roman" w:hAnsi="Times New Roman"/>
          <w:sz w:val="20"/>
          <w:szCs w:val="20"/>
          <w:color w:val="231F20"/>
          <w:vertAlign w:val="superscript"/>
        </w:rPr>
      </w:pPr>
    </w:p>
    <w:p>
      <w:pPr>
        <w:ind w:left="140" w:hanging="137"/>
        <w:spacing w:after="0" w:line="226" w:lineRule="auto"/>
        <w:tabs>
          <w:tab w:leader="none" w:pos="140" w:val="left"/>
        </w:tabs>
        <w:numPr>
          <w:ilvl w:val="0"/>
          <w:numId w:val="30"/>
        </w:numPr>
        <w:rPr>
          <w:rFonts w:ascii="Times New Roman" w:cs="Times New Roman" w:eastAsia="Times New Roman" w:hAnsi="Times New Roman"/>
          <w:sz w:val="17"/>
          <w:szCs w:val="17"/>
          <w:color w:val="231F20"/>
          <w:vertAlign w:val="superscript"/>
        </w:rPr>
      </w:pPr>
      <w:r>
        <w:rPr>
          <w:rFonts w:ascii="Times New Roman" w:cs="Times New Roman" w:eastAsia="Times New Roman" w:hAnsi="Times New Roman"/>
          <w:sz w:val="13"/>
          <w:szCs w:val="13"/>
          <w:color w:val="231F20"/>
        </w:rPr>
        <w:t>For more information regarding our restructuring efforts, refer to Note 2 titled, "Restructuring".</w:t>
      </w:r>
    </w:p>
    <w:p>
      <w:pPr>
        <w:spacing w:after="0" w:line="29" w:lineRule="exact"/>
        <w:rPr>
          <w:rFonts w:ascii="Times New Roman" w:cs="Times New Roman" w:eastAsia="Times New Roman" w:hAnsi="Times New Roman"/>
          <w:sz w:val="17"/>
          <w:szCs w:val="17"/>
          <w:color w:val="231F20"/>
          <w:vertAlign w:val="superscript"/>
        </w:rPr>
      </w:pPr>
    </w:p>
    <w:p>
      <w:pPr>
        <w:ind w:left="160" w:hanging="157"/>
        <w:spacing w:after="0" w:line="192" w:lineRule="auto"/>
        <w:tabs>
          <w:tab w:leader="none" w:pos="160" w:val="left"/>
        </w:tabs>
        <w:numPr>
          <w:ilvl w:val="0"/>
          <w:numId w:val="30"/>
        </w:numPr>
        <w:rPr>
          <w:rFonts w:ascii="Times New Roman" w:cs="Times New Roman" w:eastAsia="Times New Roman" w:hAnsi="Times New Roman"/>
          <w:sz w:val="20"/>
          <w:szCs w:val="20"/>
          <w:color w:val="231F20"/>
          <w:vertAlign w:val="superscript"/>
        </w:rPr>
      </w:pPr>
      <w:r>
        <w:rPr>
          <w:rFonts w:ascii="Times New Roman" w:cs="Times New Roman" w:eastAsia="Times New Roman" w:hAnsi="Times New Roman"/>
          <w:sz w:val="16"/>
          <w:szCs w:val="16"/>
          <w:color w:val="231F20"/>
        </w:rPr>
        <w:t>For more information regarding our Illinois EO litigation settlement, refer to Note 12 titled, "Commitments and Contingencies".</w:t>
      </w:r>
    </w:p>
    <w:p>
      <w:pPr>
        <w:spacing w:after="0" w:line="109" w:lineRule="exact"/>
        <w:rPr>
          <w:sz w:val="20"/>
          <w:szCs w:val="20"/>
          <w:color w:val="auto"/>
        </w:rPr>
      </w:pPr>
    </w:p>
    <w:p>
      <w:pPr>
        <w:ind w:right="620" w:firstLine="349"/>
        <w:spacing w:after="0" w:line="274" w:lineRule="auto"/>
        <w:rPr>
          <w:sz w:val="20"/>
          <w:szCs w:val="20"/>
          <w:color w:val="auto"/>
        </w:rPr>
      </w:pPr>
      <w:r>
        <w:rPr>
          <w:rFonts w:ascii="Times New Roman" w:cs="Times New Roman" w:eastAsia="Times New Roman" w:hAnsi="Times New Roman"/>
          <w:sz w:val="19"/>
          <w:szCs w:val="19"/>
          <w:color w:val="231F20"/>
        </w:rPr>
        <w:t>Assets include the current and long-lived assets directly attributable to the segment based on the management of the location or on utilization. Certain corporate assets were allocated to the reportable segments based on revenues. Assets attributed to sales and distribution locations are only allocated to the Healthcare and Life Sciences segments.</w:t>
      </w:r>
    </w:p>
    <w:p>
      <w:pPr>
        <w:spacing w:after="0" w:line="67" w:lineRule="exact"/>
        <w:rPr>
          <w:sz w:val="20"/>
          <w:szCs w:val="20"/>
          <w:color w:val="auto"/>
        </w:rPr>
      </w:pPr>
    </w:p>
    <w:p>
      <w:pPr>
        <w:ind w:right="140" w:firstLine="349"/>
        <w:spacing w:after="0" w:line="268" w:lineRule="auto"/>
        <w:rPr>
          <w:sz w:val="20"/>
          <w:szCs w:val="20"/>
          <w:color w:val="auto"/>
        </w:rPr>
      </w:pPr>
      <w:r>
        <w:rPr>
          <w:rFonts w:ascii="Times New Roman" w:cs="Times New Roman" w:eastAsia="Times New Roman" w:hAnsi="Times New Roman"/>
          <w:sz w:val="19"/>
          <w:szCs w:val="19"/>
          <w:color w:val="231F20"/>
        </w:rPr>
        <w:t>Individual facilities, equipment, and intellectual properties are utilized by both the Healthcare and Life Sciences segments at varying levels over time. As a result, an allocation of total assets, capital expenditures, and depreciation and amortization is not meaningful to the individual performance of the Healthcare and Life Sciences segments. Therefore, their respective amounts are reported together.</w:t>
      </w:r>
    </w:p>
    <w:p>
      <w:pPr>
        <w:sectPr>
          <w:pgSz w:w="11880" w:h="15480" w:orient="portrait"/>
          <w:cols w:equalWidth="0" w:num="1">
            <w:col w:w="9960"/>
          </w:cols>
          <w:pgMar w:left="960" w:top="25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93</w:t>
      </w:r>
    </w:p>
    <w:p>
      <w:pPr>
        <w:sectPr>
          <w:pgSz w:w="11880" w:h="15480" w:orient="portrait"/>
          <w:cols w:equalWidth="0" w:num="1">
            <w:col w:w="9960"/>
          </w:cols>
          <w:pgMar w:left="960" w:top="250" w:right="960" w:bottom="0" w:gutter="0" w:footer="0" w:header="0"/>
          <w:type w:val="continuous"/>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20" w:type="dxa"/>
            <w:vAlign w:val="bottom"/>
          </w:tcPr>
          <w:p>
            <w:pPr>
              <w:ind w:left="180"/>
              <w:spacing w:after="0"/>
              <w:rPr>
                <w:sz w:val="20"/>
                <w:szCs w:val="20"/>
                <w:color w:val="auto"/>
              </w:rPr>
            </w:pPr>
            <w:r>
              <w:rPr>
                <w:rFonts w:ascii="Times New Roman" w:cs="Times New Roman" w:eastAsia="Times New Roman" w:hAnsi="Times New Roman"/>
                <w:sz w:val="17"/>
                <w:szCs w:val="17"/>
                <w:color w:val="231F20"/>
              </w:rPr>
              <w:t>(in millions)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81"/>
        </w:trPr>
        <w:tc>
          <w:tcPr>
            <w:tcW w:w="5820" w:type="dxa"/>
            <w:vAlign w:val="bottom"/>
            <w:tcBorders>
              <w:bottom w:val="single" w:sz="8" w:color="231F20"/>
            </w:tcBorders>
          </w:tcPr>
          <w:p>
            <w:pPr>
              <w:ind w:left="180"/>
              <w:spacing w:after="0"/>
              <w:rPr>
                <w:sz w:val="20"/>
                <w:szCs w:val="20"/>
                <w:color w:val="auto"/>
              </w:rPr>
            </w:pPr>
            <w:r>
              <w:rPr>
                <w:rFonts w:ascii="Times New Roman" w:cs="Times New Roman" w:eastAsia="Times New Roman" w:hAnsi="Times New Roman"/>
                <w:sz w:val="17"/>
                <w:szCs w:val="17"/>
                <w:color w:val="231F20"/>
              </w:rPr>
              <w:t>March 31,</w:t>
            </w:r>
          </w:p>
        </w:tc>
        <w:tc>
          <w:tcPr>
            <w:tcW w:w="320" w:type="dxa"/>
            <w:vAlign w:val="bottom"/>
            <w:tcBorders>
              <w:bottom w:val="single" w:sz="8" w:color="231F20"/>
            </w:tcBorders>
          </w:tcPr>
          <w:p>
            <w:pPr>
              <w:spacing w:after="0"/>
              <w:rPr>
                <w:sz w:val="24"/>
                <w:szCs w:val="24"/>
                <w:color w:val="auto"/>
              </w:rPr>
            </w:pPr>
          </w:p>
        </w:tc>
        <w:tc>
          <w:tcPr>
            <w:tcW w:w="1080" w:type="dxa"/>
            <w:vAlign w:val="bottom"/>
            <w:tcBorders>
              <w:bottom w:val="single" w:sz="8" w:color="231F20"/>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ind w:right="405"/>
              <w:spacing w:after="0"/>
              <w:rPr>
                <w:sz w:val="20"/>
                <w:szCs w:val="20"/>
                <w:color w:val="auto"/>
              </w:rPr>
            </w:pPr>
            <w:r>
              <w:rPr>
                <w:rFonts w:ascii="Times New Roman" w:cs="Times New Roman" w:eastAsia="Times New Roman" w:hAnsi="Times New Roman"/>
                <w:sz w:val="17"/>
                <w:szCs w:val="17"/>
                <w:color w:val="231F20"/>
              </w:rPr>
              <w:t>2026</w:t>
            </w:r>
          </w:p>
        </w:tc>
        <w:tc>
          <w:tcPr>
            <w:tcW w:w="38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ind w:right="385"/>
              <w:spacing w:after="0"/>
              <w:rPr>
                <w:sz w:val="20"/>
                <w:szCs w:val="20"/>
                <w:color w:val="auto"/>
              </w:rPr>
            </w:pPr>
            <w:r>
              <w:rPr>
                <w:rFonts w:ascii="Times New Roman" w:cs="Times New Roman" w:eastAsia="Times New Roman" w:hAnsi="Times New Roman"/>
                <w:sz w:val="17"/>
                <w:szCs w:val="17"/>
                <w:color w:val="231F20"/>
              </w:rPr>
              <w:t>2025</w:t>
            </w:r>
          </w:p>
        </w:tc>
      </w:tr>
      <w:tr>
        <w:trPr>
          <w:trHeight w:val="257"/>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231F20"/>
              </w:rPr>
              <w:t>Assets</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4"/>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Healthcare and Life Sciences</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b w:val="1"/>
                <w:bCs w:val="1"/>
                <w:color w:val="231F20"/>
              </w:rPr>
              <w:t>$</w:t>
            </w: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231F20"/>
              </w:rPr>
              <w:t>7,146.8</w:t>
            </w:r>
          </w:p>
        </w:tc>
        <w:tc>
          <w:tcPr>
            <w:tcW w:w="38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6,806.4</w:t>
            </w:r>
          </w:p>
        </w:tc>
      </w:tr>
      <w:tr>
        <w:trPr>
          <w:trHeight w:val="279"/>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AST</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19"/>
                <w:szCs w:val="19"/>
                <w:b w:val="1"/>
                <w:bCs w:val="1"/>
                <w:color w:val="231F20"/>
              </w:rPr>
              <w:t>3,590.4</w:t>
            </w:r>
          </w:p>
        </w:tc>
        <w:tc>
          <w:tcPr>
            <w:tcW w:w="38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3,340.4</w:t>
            </w:r>
          </w:p>
        </w:tc>
      </w:tr>
      <w:tr>
        <w:trPr>
          <w:trHeight w:val="257"/>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231F20"/>
              </w:rPr>
              <w:t>Total assets</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0" w:type="dxa"/>
            <w:vAlign w:val="bottom"/>
            <w:tcBorders>
              <w:bottom w:val="single" w:sz="8" w:color="231F20"/>
            </w:tcBorders>
          </w:tcPr>
          <w:p>
            <w:pPr>
              <w:jc w:val="right"/>
              <w:ind w:right="83"/>
              <w:spacing w:after="0"/>
              <w:rPr>
                <w:sz w:val="20"/>
                <w:szCs w:val="20"/>
                <w:color w:val="auto"/>
              </w:rPr>
            </w:pPr>
            <w:r>
              <w:rPr>
                <w:rFonts w:ascii="Times New Roman" w:cs="Times New Roman" w:eastAsia="Times New Roman" w:hAnsi="Times New Roman"/>
                <w:sz w:val="19"/>
                <w:szCs w:val="19"/>
                <w:b w:val="1"/>
                <w:bCs w:val="1"/>
                <w:color w:val="231F20"/>
              </w:rPr>
              <w:t>$</w:t>
            </w:r>
          </w:p>
        </w:tc>
        <w:tc>
          <w:tcPr>
            <w:tcW w:w="102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19"/>
                <w:szCs w:val="19"/>
                <w:b w:val="1"/>
                <w:bCs w:val="1"/>
                <w:color w:val="231F20"/>
              </w:rPr>
              <w:t>10,737.2</w:t>
            </w:r>
          </w:p>
        </w:tc>
        <w:tc>
          <w:tcPr>
            <w:tcW w:w="380" w:type="dxa"/>
            <w:vAlign w:val="bottom"/>
            <w:tcBorders>
              <w:bottom w:val="single" w:sz="8" w:color="231F20"/>
            </w:tcBorders>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10,146.8</w:t>
            </w:r>
          </w:p>
        </w:tc>
      </w:tr>
      <w:tr>
        <w:trPr>
          <w:trHeight w:val="309"/>
        </w:trPr>
        <w:tc>
          <w:tcPr>
            <w:tcW w:w="5820" w:type="dxa"/>
            <w:vAlign w:val="bottom"/>
            <w:tcBorders>
              <w:bottom w:val="single" w:sz="8" w:color="231F20"/>
            </w:tcBorders>
          </w:tcPr>
          <w:p>
            <w:pPr>
              <w:ind w:left="180"/>
              <w:spacing w:after="0"/>
              <w:rPr>
                <w:sz w:val="20"/>
                <w:szCs w:val="20"/>
                <w:color w:val="auto"/>
              </w:rPr>
            </w:pPr>
            <w:r>
              <w:rPr>
                <w:rFonts w:ascii="Times New Roman" w:cs="Times New Roman" w:eastAsia="Times New Roman" w:hAnsi="Times New Roman"/>
                <w:sz w:val="17"/>
                <w:szCs w:val="17"/>
                <w:color w:val="231F20"/>
              </w:rPr>
              <w:t>Years Ended March 31,</w:t>
            </w:r>
          </w:p>
        </w:tc>
        <w:tc>
          <w:tcPr>
            <w:tcW w:w="320" w:type="dxa"/>
            <w:vAlign w:val="bottom"/>
            <w:tcBorders>
              <w:bottom w:val="single" w:sz="8" w:color="231F20"/>
            </w:tcBorders>
          </w:tcPr>
          <w:p>
            <w:pPr>
              <w:spacing w:after="0"/>
              <w:rPr>
                <w:sz w:val="24"/>
                <w:szCs w:val="24"/>
                <w:color w:val="auto"/>
              </w:rPr>
            </w:pPr>
          </w:p>
        </w:tc>
        <w:tc>
          <w:tcPr>
            <w:tcW w:w="1080" w:type="dxa"/>
            <w:vAlign w:val="bottom"/>
            <w:tcBorders>
              <w:bottom w:val="single" w:sz="8" w:color="231F20"/>
            </w:tcBorders>
          </w:tcPr>
          <w:p>
            <w:pPr>
              <w:jc w:val="right"/>
              <w:ind w:right="464"/>
              <w:spacing w:after="0"/>
              <w:rPr>
                <w:sz w:val="20"/>
                <w:szCs w:val="20"/>
                <w:color w:val="auto"/>
              </w:rPr>
            </w:pPr>
            <w:r>
              <w:rPr>
                <w:rFonts w:ascii="Times New Roman" w:cs="Times New Roman" w:eastAsia="Times New Roman" w:hAnsi="Times New Roman"/>
                <w:sz w:val="17"/>
                <w:szCs w:val="17"/>
                <w:color w:val="231F20"/>
              </w:rPr>
              <w:t>2026</w:t>
            </w:r>
          </w:p>
        </w:tc>
        <w:tc>
          <w:tcPr>
            <w:tcW w:w="32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ind w:right="405"/>
              <w:spacing w:after="0"/>
              <w:rPr>
                <w:sz w:val="20"/>
                <w:szCs w:val="20"/>
                <w:color w:val="auto"/>
              </w:rPr>
            </w:pPr>
            <w:r>
              <w:rPr>
                <w:rFonts w:ascii="Times New Roman" w:cs="Times New Roman" w:eastAsia="Times New Roman" w:hAnsi="Times New Roman"/>
                <w:sz w:val="17"/>
                <w:szCs w:val="17"/>
                <w:color w:val="231F20"/>
              </w:rPr>
              <w:t>2025</w:t>
            </w:r>
          </w:p>
        </w:tc>
        <w:tc>
          <w:tcPr>
            <w:tcW w:w="38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ind w:right="385"/>
              <w:spacing w:after="0"/>
              <w:rPr>
                <w:sz w:val="20"/>
                <w:szCs w:val="20"/>
                <w:color w:val="auto"/>
              </w:rPr>
            </w:pPr>
            <w:r>
              <w:rPr>
                <w:rFonts w:ascii="Times New Roman" w:cs="Times New Roman" w:eastAsia="Times New Roman" w:hAnsi="Times New Roman"/>
                <w:sz w:val="17"/>
                <w:szCs w:val="17"/>
                <w:color w:val="231F20"/>
              </w:rPr>
              <w:t>2024</w:t>
            </w:r>
          </w:p>
        </w:tc>
      </w:tr>
      <w:tr>
        <w:trPr>
          <w:trHeight w:val="257"/>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231F20"/>
              </w:rPr>
              <w:t>Capital Expenditures</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4"/>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Healthcare and Life Sciences</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b w:val="1"/>
                <w:bCs w:val="1"/>
                <w:color w:val="231F20"/>
              </w:rPr>
              <w:t>$</w:t>
            </w:r>
          </w:p>
        </w:tc>
        <w:tc>
          <w:tcPr>
            <w:tcW w:w="1080" w:type="dxa"/>
            <w:vAlign w:val="bottom"/>
          </w:tcPr>
          <w:p>
            <w:pPr>
              <w:jc w:val="right"/>
              <w:ind w:right="64"/>
              <w:spacing w:after="0"/>
              <w:rPr>
                <w:sz w:val="20"/>
                <w:szCs w:val="20"/>
                <w:color w:val="auto"/>
              </w:rPr>
            </w:pPr>
            <w:r>
              <w:rPr>
                <w:rFonts w:ascii="Times New Roman" w:cs="Times New Roman" w:eastAsia="Times New Roman" w:hAnsi="Times New Roman"/>
                <w:sz w:val="19"/>
                <w:szCs w:val="19"/>
                <w:b w:val="1"/>
                <w:bCs w:val="1"/>
                <w:color w:val="231F20"/>
              </w:rPr>
              <w:t>130.6</w:t>
            </w: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231F20"/>
              </w:rPr>
              <w:t>142.8</w:t>
            </w:r>
          </w:p>
        </w:tc>
        <w:tc>
          <w:tcPr>
            <w:tcW w:w="38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114.2</w:t>
            </w:r>
          </w:p>
        </w:tc>
      </w:tr>
      <w:tr>
        <w:trPr>
          <w:trHeight w:val="279"/>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AST</w:t>
            </w:r>
          </w:p>
        </w:tc>
        <w:tc>
          <w:tcPr>
            <w:tcW w:w="320" w:type="dxa"/>
            <w:vAlign w:val="bottom"/>
            <w:tcBorders>
              <w:bottom w:val="single" w:sz="8" w:color="231F20"/>
            </w:tcBorders>
          </w:tcPr>
          <w:p>
            <w:pPr>
              <w:spacing w:after="0"/>
              <w:rPr>
                <w:sz w:val="24"/>
                <w:szCs w:val="24"/>
                <w:color w:val="auto"/>
              </w:rPr>
            </w:pPr>
          </w:p>
        </w:tc>
        <w:tc>
          <w:tcPr>
            <w:tcW w:w="1080" w:type="dxa"/>
            <w:vAlign w:val="bottom"/>
            <w:tcBorders>
              <w:bottom w:val="single" w:sz="8" w:color="231F20"/>
            </w:tcBorders>
          </w:tcPr>
          <w:p>
            <w:pPr>
              <w:jc w:val="right"/>
              <w:ind w:right="64"/>
              <w:spacing w:after="0"/>
              <w:rPr>
                <w:sz w:val="20"/>
                <w:szCs w:val="20"/>
                <w:color w:val="auto"/>
              </w:rPr>
            </w:pPr>
            <w:r>
              <w:rPr>
                <w:rFonts w:ascii="Times New Roman" w:cs="Times New Roman" w:eastAsia="Times New Roman" w:hAnsi="Times New Roman"/>
                <w:sz w:val="19"/>
                <w:szCs w:val="19"/>
                <w:b w:val="1"/>
                <w:bCs w:val="1"/>
                <w:color w:val="231F20"/>
              </w:rPr>
              <w:t>238.4</w:t>
            </w:r>
          </w:p>
        </w:tc>
        <w:tc>
          <w:tcPr>
            <w:tcW w:w="32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19"/>
                <w:szCs w:val="19"/>
                <w:color w:val="231F20"/>
              </w:rPr>
              <w:t>227.2</w:t>
            </w:r>
          </w:p>
        </w:tc>
        <w:tc>
          <w:tcPr>
            <w:tcW w:w="38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237.0</w:t>
            </w:r>
          </w:p>
        </w:tc>
      </w:tr>
      <w:tr>
        <w:trPr>
          <w:trHeight w:val="257"/>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231F20"/>
              </w:rPr>
              <w:t>Total Capital Expenditures</w:t>
            </w:r>
          </w:p>
        </w:tc>
        <w:tc>
          <w:tcPr>
            <w:tcW w:w="320" w:type="dxa"/>
            <w:vAlign w:val="bottom"/>
            <w:tcBorders>
              <w:bottom w:val="single" w:sz="8" w:color="231F20"/>
            </w:tcBorders>
          </w:tcPr>
          <w:p>
            <w:pPr>
              <w:jc w:val="right"/>
              <w:ind w:right="63"/>
              <w:spacing w:after="0"/>
              <w:rPr>
                <w:sz w:val="20"/>
                <w:szCs w:val="20"/>
                <w:color w:val="auto"/>
              </w:rPr>
            </w:pPr>
            <w:r>
              <w:rPr>
                <w:rFonts w:ascii="Times New Roman" w:cs="Times New Roman" w:eastAsia="Times New Roman" w:hAnsi="Times New Roman"/>
                <w:sz w:val="19"/>
                <w:szCs w:val="19"/>
                <w:b w:val="1"/>
                <w:bCs w:val="1"/>
                <w:color w:val="231F20"/>
              </w:rPr>
              <w:t>$</w:t>
            </w:r>
          </w:p>
        </w:tc>
        <w:tc>
          <w:tcPr>
            <w:tcW w:w="1080" w:type="dxa"/>
            <w:vAlign w:val="bottom"/>
            <w:tcBorders>
              <w:bottom w:val="single" w:sz="8" w:color="231F20"/>
            </w:tcBorders>
          </w:tcPr>
          <w:p>
            <w:pPr>
              <w:jc w:val="right"/>
              <w:ind w:right="64"/>
              <w:spacing w:after="0"/>
              <w:rPr>
                <w:sz w:val="20"/>
                <w:szCs w:val="20"/>
                <w:color w:val="auto"/>
              </w:rPr>
            </w:pPr>
            <w:r>
              <w:rPr>
                <w:rFonts w:ascii="Times New Roman" w:cs="Times New Roman" w:eastAsia="Times New Roman" w:hAnsi="Times New Roman"/>
                <w:sz w:val="19"/>
                <w:szCs w:val="19"/>
                <w:b w:val="1"/>
                <w:bCs w:val="1"/>
                <w:color w:val="231F20"/>
              </w:rPr>
              <w:t>369.0</w:t>
            </w:r>
          </w:p>
        </w:tc>
        <w:tc>
          <w:tcPr>
            <w:tcW w:w="320" w:type="dxa"/>
            <w:vAlign w:val="bottom"/>
            <w:tcBorders>
              <w:bottom w:val="single" w:sz="8" w:color="231F20"/>
            </w:tcBorders>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2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19"/>
                <w:szCs w:val="19"/>
                <w:color w:val="231F20"/>
              </w:rPr>
              <w:t>370.1</w:t>
            </w:r>
          </w:p>
        </w:tc>
        <w:tc>
          <w:tcPr>
            <w:tcW w:w="380" w:type="dxa"/>
            <w:vAlign w:val="bottom"/>
            <w:tcBorders>
              <w:bottom w:val="single" w:sz="8" w:color="231F20"/>
            </w:tcBorders>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351.2</w:t>
            </w:r>
          </w:p>
        </w:tc>
      </w:tr>
      <w:tr>
        <w:trPr>
          <w:trHeight w:val="237"/>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231F20"/>
              </w:rPr>
              <w:t>Depreciation, Depletion, and Amortization</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93"/>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Healthcare and Life Sciences</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b w:val="1"/>
                <w:bCs w:val="1"/>
                <w:color w:val="231F20"/>
              </w:rPr>
              <w:t>$</w:t>
            </w:r>
          </w:p>
        </w:tc>
        <w:tc>
          <w:tcPr>
            <w:tcW w:w="1080" w:type="dxa"/>
            <w:vAlign w:val="bottom"/>
          </w:tcPr>
          <w:p>
            <w:pPr>
              <w:jc w:val="right"/>
              <w:ind w:right="64"/>
              <w:spacing w:after="0"/>
              <w:rPr>
                <w:sz w:val="20"/>
                <w:szCs w:val="20"/>
                <w:color w:val="auto"/>
              </w:rPr>
            </w:pPr>
            <w:r>
              <w:rPr>
                <w:rFonts w:ascii="Times New Roman" w:cs="Times New Roman" w:eastAsia="Times New Roman" w:hAnsi="Times New Roman"/>
                <w:sz w:val="19"/>
                <w:szCs w:val="19"/>
                <w:b w:val="1"/>
                <w:bCs w:val="1"/>
                <w:color w:val="231F20"/>
              </w:rPr>
              <w:t>329.8</w:t>
            </w: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231F20"/>
              </w:rPr>
              <w:t>334.2</w:t>
            </w:r>
          </w:p>
        </w:tc>
        <w:tc>
          <w:tcPr>
            <w:tcW w:w="38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322.2</w:t>
            </w:r>
          </w:p>
        </w:tc>
      </w:tr>
      <w:tr>
        <w:trPr>
          <w:trHeight w:val="279"/>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AST</w:t>
            </w:r>
          </w:p>
        </w:tc>
        <w:tc>
          <w:tcPr>
            <w:tcW w:w="320" w:type="dxa"/>
            <w:vAlign w:val="bottom"/>
            <w:tcBorders>
              <w:bottom w:val="single" w:sz="8" w:color="231F20"/>
            </w:tcBorders>
          </w:tcPr>
          <w:p>
            <w:pPr>
              <w:spacing w:after="0"/>
              <w:rPr>
                <w:sz w:val="24"/>
                <w:szCs w:val="24"/>
                <w:color w:val="auto"/>
              </w:rPr>
            </w:pPr>
          </w:p>
        </w:tc>
        <w:tc>
          <w:tcPr>
            <w:tcW w:w="1080" w:type="dxa"/>
            <w:vAlign w:val="bottom"/>
            <w:tcBorders>
              <w:bottom w:val="single" w:sz="8" w:color="231F20"/>
            </w:tcBorders>
          </w:tcPr>
          <w:p>
            <w:pPr>
              <w:jc w:val="right"/>
              <w:ind w:right="64"/>
              <w:spacing w:after="0"/>
              <w:rPr>
                <w:sz w:val="20"/>
                <w:szCs w:val="20"/>
                <w:color w:val="auto"/>
              </w:rPr>
            </w:pPr>
            <w:r>
              <w:rPr>
                <w:rFonts w:ascii="Times New Roman" w:cs="Times New Roman" w:eastAsia="Times New Roman" w:hAnsi="Times New Roman"/>
                <w:sz w:val="19"/>
                <w:szCs w:val="19"/>
                <w:b w:val="1"/>
                <w:bCs w:val="1"/>
                <w:color w:val="231F20"/>
              </w:rPr>
              <w:t>156.8</w:t>
            </w:r>
          </w:p>
        </w:tc>
        <w:tc>
          <w:tcPr>
            <w:tcW w:w="32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19"/>
                <w:szCs w:val="19"/>
                <w:color w:val="231F20"/>
              </w:rPr>
              <w:t>142.0</w:t>
            </w:r>
          </w:p>
        </w:tc>
        <w:tc>
          <w:tcPr>
            <w:tcW w:w="38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127.8</w:t>
            </w:r>
          </w:p>
        </w:tc>
      </w:tr>
      <w:tr>
        <w:trPr>
          <w:trHeight w:val="257"/>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231F20"/>
              </w:rPr>
              <w:t>Total Depreciation, Depletion, and Amortization</w:t>
            </w:r>
          </w:p>
        </w:tc>
        <w:tc>
          <w:tcPr>
            <w:tcW w:w="320" w:type="dxa"/>
            <w:vAlign w:val="bottom"/>
            <w:tcBorders>
              <w:bottom w:val="single" w:sz="8" w:color="231F20"/>
            </w:tcBorders>
          </w:tcPr>
          <w:p>
            <w:pPr>
              <w:jc w:val="right"/>
              <w:ind w:right="63"/>
              <w:spacing w:after="0"/>
              <w:rPr>
                <w:sz w:val="20"/>
                <w:szCs w:val="20"/>
                <w:color w:val="auto"/>
              </w:rPr>
            </w:pPr>
            <w:r>
              <w:rPr>
                <w:rFonts w:ascii="Times New Roman" w:cs="Times New Roman" w:eastAsia="Times New Roman" w:hAnsi="Times New Roman"/>
                <w:sz w:val="19"/>
                <w:szCs w:val="19"/>
                <w:b w:val="1"/>
                <w:bCs w:val="1"/>
                <w:color w:val="231F20"/>
              </w:rPr>
              <w:t>$</w:t>
            </w:r>
          </w:p>
        </w:tc>
        <w:tc>
          <w:tcPr>
            <w:tcW w:w="1080" w:type="dxa"/>
            <w:vAlign w:val="bottom"/>
            <w:tcBorders>
              <w:bottom w:val="single" w:sz="8" w:color="231F20"/>
            </w:tcBorders>
          </w:tcPr>
          <w:p>
            <w:pPr>
              <w:jc w:val="right"/>
              <w:ind w:right="64"/>
              <w:spacing w:after="0"/>
              <w:rPr>
                <w:sz w:val="20"/>
                <w:szCs w:val="20"/>
                <w:color w:val="auto"/>
              </w:rPr>
            </w:pPr>
            <w:r>
              <w:rPr>
                <w:rFonts w:ascii="Times New Roman" w:cs="Times New Roman" w:eastAsia="Times New Roman" w:hAnsi="Times New Roman"/>
                <w:sz w:val="19"/>
                <w:szCs w:val="19"/>
                <w:b w:val="1"/>
                <w:bCs w:val="1"/>
                <w:color w:val="231F20"/>
              </w:rPr>
              <w:t>486.5</w:t>
            </w:r>
          </w:p>
        </w:tc>
        <w:tc>
          <w:tcPr>
            <w:tcW w:w="320" w:type="dxa"/>
            <w:vAlign w:val="bottom"/>
            <w:tcBorders>
              <w:bottom w:val="single" w:sz="8" w:color="231F20"/>
            </w:tcBorders>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2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19"/>
                <w:szCs w:val="19"/>
                <w:color w:val="231F20"/>
              </w:rPr>
              <w:t>476.2</w:t>
            </w:r>
          </w:p>
        </w:tc>
        <w:tc>
          <w:tcPr>
            <w:tcW w:w="380" w:type="dxa"/>
            <w:vAlign w:val="bottom"/>
            <w:tcBorders>
              <w:bottom w:val="single" w:sz="8" w:color="231F20"/>
            </w:tcBorders>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450.1</w:t>
            </w:r>
          </w:p>
        </w:tc>
      </w:tr>
    </w:tbl>
    <w:p>
      <w:pPr>
        <w:spacing w:after="0" w:line="125" w:lineRule="exact"/>
        <w:rPr>
          <w:sz w:val="20"/>
          <w:szCs w:val="20"/>
          <w:color w:val="auto"/>
        </w:rPr>
      </w:pPr>
    </w:p>
    <w:p>
      <w:pPr>
        <w:jc w:val="both"/>
        <w:ind w:right="160" w:firstLine="349"/>
        <w:spacing w:after="0" w:line="274" w:lineRule="auto"/>
        <w:rPr>
          <w:sz w:val="20"/>
          <w:szCs w:val="20"/>
          <w:color w:val="auto"/>
        </w:rPr>
      </w:pPr>
      <w:r>
        <w:rPr>
          <w:rFonts w:ascii="Times New Roman" w:cs="Times New Roman" w:eastAsia="Times New Roman" w:hAnsi="Times New Roman"/>
          <w:sz w:val="19"/>
          <w:szCs w:val="19"/>
          <w:color w:val="231F20"/>
        </w:rPr>
        <w:t>Financial information for each of our United States and international geographic areas is presented in the following table. Revenues are attributed to the geographic areas based on the location of these operations and their Customers. Property, plant, and equipment, net are those assets that are identified within the operations in each geographic area.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20" w:type="dxa"/>
            <w:vAlign w:val="bottom"/>
          </w:tcPr>
          <w:p>
            <w:pPr>
              <w:ind w:left="180"/>
              <w:spacing w:after="0"/>
              <w:rPr>
                <w:sz w:val="20"/>
                <w:szCs w:val="20"/>
                <w:color w:val="auto"/>
              </w:rPr>
            </w:pPr>
            <w:r>
              <w:rPr>
                <w:rFonts w:ascii="Times New Roman" w:cs="Times New Roman" w:eastAsia="Times New Roman" w:hAnsi="Times New Roman"/>
                <w:sz w:val="17"/>
                <w:szCs w:val="17"/>
                <w:color w:val="231F20"/>
              </w:rPr>
              <w:t>(in millions)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7"/>
        </w:trPr>
        <w:tc>
          <w:tcPr>
            <w:tcW w:w="5820" w:type="dxa"/>
            <w:vAlign w:val="bottom"/>
            <w:tcBorders>
              <w:bottom w:val="single" w:sz="8" w:color="231F20"/>
            </w:tcBorders>
          </w:tcPr>
          <w:p>
            <w:pPr>
              <w:ind w:left="180"/>
              <w:spacing w:after="0"/>
              <w:rPr>
                <w:sz w:val="20"/>
                <w:szCs w:val="20"/>
                <w:color w:val="auto"/>
              </w:rPr>
            </w:pPr>
            <w:r>
              <w:rPr>
                <w:rFonts w:ascii="Times New Roman" w:cs="Times New Roman" w:eastAsia="Times New Roman" w:hAnsi="Times New Roman"/>
                <w:sz w:val="17"/>
                <w:szCs w:val="17"/>
                <w:color w:val="231F20"/>
              </w:rPr>
              <w:t>March 31,</w:t>
            </w:r>
          </w:p>
        </w:tc>
        <w:tc>
          <w:tcPr>
            <w:tcW w:w="320" w:type="dxa"/>
            <w:vAlign w:val="bottom"/>
            <w:tcBorders>
              <w:bottom w:val="single" w:sz="8" w:color="231F20"/>
            </w:tcBorders>
          </w:tcPr>
          <w:p>
            <w:pPr>
              <w:spacing w:after="0"/>
              <w:rPr>
                <w:sz w:val="20"/>
                <w:szCs w:val="20"/>
                <w:color w:val="auto"/>
              </w:rPr>
            </w:pPr>
          </w:p>
        </w:tc>
        <w:tc>
          <w:tcPr>
            <w:tcW w:w="1080" w:type="dxa"/>
            <w:vAlign w:val="bottom"/>
            <w:tcBorders>
              <w:bottom w:val="single" w:sz="8" w:color="231F20"/>
            </w:tcBorders>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tcPr>
          <w:p>
            <w:pPr>
              <w:jc w:val="right"/>
              <w:ind w:right="405"/>
              <w:spacing w:after="0"/>
              <w:rPr>
                <w:sz w:val="20"/>
                <w:szCs w:val="20"/>
                <w:color w:val="auto"/>
              </w:rPr>
            </w:pPr>
            <w:r>
              <w:rPr>
                <w:rFonts w:ascii="Times New Roman" w:cs="Times New Roman" w:eastAsia="Times New Roman" w:hAnsi="Times New Roman"/>
                <w:sz w:val="17"/>
                <w:szCs w:val="17"/>
                <w:color w:val="231F20"/>
              </w:rPr>
              <w:t>2026</w:t>
            </w:r>
          </w:p>
        </w:tc>
        <w:tc>
          <w:tcPr>
            <w:tcW w:w="38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ind w:right="385"/>
              <w:spacing w:after="0"/>
              <w:rPr>
                <w:sz w:val="20"/>
                <w:szCs w:val="20"/>
                <w:color w:val="auto"/>
              </w:rPr>
            </w:pPr>
            <w:r>
              <w:rPr>
                <w:rFonts w:ascii="Times New Roman" w:cs="Times New Roman" w:eastAsia="Times New Roman" w:hAnsi="Times New Roman"/>
                <w:sz w:val="17"/>
                <w:szCs w:val="17"/>
                <w:color w:val="231F20"/>
              </w:rPr>
              <w:t>2025</w:t>
            </w:r>
          </w:p>
        </w:tc>
      </w:tr>
      <w:tr>
        <w:trPr>
          <w:trHeight w:val="257"/>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231F20"/>
              </w:rPr>
              <w:t>Property, Plant, and Equipment, Net</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4"/>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Ireland</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b w:val="1"/>
                <w:bCs w:val="1"/>
                <w:color w:val="231F20"/>
              </w:rPr>
              <w:t>$</w:t>
            </w: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231F20"/>
              </w:rPr>
              <w:t>88.1</w:t>
            </w:r>
          </w:p>
        </w:tc>
        <w:tc>
          <w:tcPr>
            <w:tcW w:w="38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74.9</w:t>
            </w:r>
          </w:p>
        </w:tc>
      </w:tr>
      <w:tr>
        <w:trPr>
          <w:trHeight w:val="277"/>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United States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231F20"/>
              </w:rPr>
              <w:t>1,094.4</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1,008.7</w:t>
            </w:r>
          </w:p>
        </w:tc>
      </w:tr>
      <w:tr>
        <w:trPr>
          <w:trHeight w:val="279"/>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Other locations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19"/>
                <w:szCs w:val="19"/>
                <w:b w:val="1"/>
                <w:bCs w:val="1"/>
                <w:color w:val="231F20"/>
              </w:rPr>
              <w:t>978.7</w:t>
            </w:r>
          </w:p>
        </w:tc>
        <w:tc>
          <w:tcPr>
            <w:tcW w:w="38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872.9</w:t>
            </w:r>
          </w:p>
        </w:tc>
      </w:tr>
      <w:tr>
        <w:trPr>
          <w:trHeight w:val="261"/>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231F20"/>
              </w:rPr>
              <w:t>Property, Plant, and Equipment, Net</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0" w:type="dxa"/>
            <w:vAlign w:val="bottom"/>
            <w:tcBorders>
              <w:bottom w:val="single" w:sz="8" w:color="231F20"/>
            </w:tcBorders>
          </w:tcPr>
          <w:p>
            <w:pPr>
              <w:jc w:val="right"/>
              <w:ind w:right="83"/>
              <w:spacing w:after="0"/>
              <w:rPr>
                <w:sz w:val="20"/>
                <w:szCs w:val="20"/>
                <w:color w:val="auto"/>
              </w:rPr>
            </w:pPr>
            <w:r>
              <w:rPr>
                <w:rFonts w:ascii="Times New Roman" w:cs="Times New Roman" w:eastAsia="Times New Roman" w:hAnsi="Times New Roman"/>
                <w:sz w:val="19"/>
                <w:szCs w:val="19"/>
                <w:b w:val="1"/>
                <w:bCs w:val="1"/>
                <w:color w:val="231F20"/>
              </w:rPr>
              <w:t>$</w:t>
            </w:r>
          </w:p>
        </w:tc>
        <w:tc>
          <w:tcPr>
            <w:tcW w:w="102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19"/>
                <w:szCs w:val="19"/>
                <w:b w:val="1"/>
                <w:bCs w:val="1"/>
                <w:color w:val="231F20"/>
              </w:rPr>
              <w:t>2,161.2</w:t>
            </w:r>
          </w:p>
        </w:tc>
        <w:tc>
          <w:tcPr>
            <w:tcW w:w="380" w:type="dxa"/>
            <w:vAlign w:val="bottom"/>
            <w:tcBorders>
              <w:bottom w:val="single" w:sz="8" w:color="231F20"/>
            </w:tcBorders>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1,956.5</w:t>
            </w:r>
          </w:p>
        </w:tc>
      </w:tr>
      <w:tr>
        <w:trPr>
          <w:trHeight w:val="399"/>
        </w:trPr>
        <w:tc>
          <w:tcPr>
            <w:tcW w:w="5820" w:type="dxa"/>
            <w:vAlign w:val="bottom"/>
          </w:tcPr>
          <w:p>
            <w:pPr>
              <w:ind w:left="180"/>
              <w:spacing w:after="0"/>
              <w:rPr>
                <w:sz w:val="20"/>
                <w:szCs w:val="20"/>
                <w:color w:val="auto"/>
              </w:rPr>
            </w:pPr>
            <w:r>
              <w:rPr>
                <w:rFonts w:ascii="Times New Roman" w:cs="Times New Roman" w:eastAsia="Times New Roman" w:hAnsi="Times New Roman"/>
                <w:sz w:val="17"/>
                <w:szCs w:val="17"/>
                <w:color w:val="231F20"/>
              </w:rPr>
              <w:t>(in millions)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7"/>
        </w:trPr>
        <w:tc>
          <w:tcPr>
            <w:tcW w:w="5820" w:type="dxa"/>
            <w:vAlign w:val="bottom"/>
            <w:tcBorders>
              <w:bottom w:val="single" w:sz="8" w:color="231F20"/>
            </w:tcBorders>
          </w:tcPr>
          <w:p>
            <w:pPr>
              <w:ind w:left="180"/>
              <w:spacing w:after="0"/>
              <w:rPr>
                <w:sz w:val="20"/>
                <w:szCs w:val="20"/>
                <w:color w:val="auto"/>
              </w:rPr>
            </w:pPr>
            <w:r>
              <w:rPr>
                <w:rFonts w:ascii="Times New Roman" w:cs="Times New Roman" w:eastAsia="Times New Roman" w:hAnsi="Times New Roman"/>
                <w:sz w:val="17"/>
                <w:szCs w:val="17"/>
                <w:color w:val="231F20"/>
              </w:rPr>
              <w:t>Years Ended March 31,</w:t>
            </w:r>
          </w:p>
        </w:tc>
        <w:tc>
          <w:tcPr>
            <w:tcW w:w="320" w:type="dxa"/>
            <w:vAlign w:val="bottom"/>
            <w:tcBorders>
              <w:bottom w:val="single" w:sz="8" w:color="231F20"/>
            </w:tcBorders>
          </w:tcPr>
          <w:p>
            <w:pPr>
              <w:spacing w:after="0"/>
              <w:rPr>
                <w:sz w:val="20"/>
                <w:szCs w:val="20"/>
                <w:color w:val="auto"/>
              </w:rPr>
            </w:pPr>
          </w:p>
        </w:tc>
        <w:tc>
          <w:tcPr>
            <w:tcW w:w="1080" w:type="dxa"/>
            <w:vAlign w:val="bottom"/>
            <w:tcBorders>
              <w:bottom w:val="single" w:sz="8" w:color="231F20"/>
            </w:tcBorders>
          </w:tcPr>
          <w:p>
            <w:pPr>
              <w:jc w:val="right"/>
              <w:ind w:right="465"/>
              <w:spacing w:after="0"/>
              <w:rPr>
                <w:sz w:val="20"/>
                <w:szCs w:val="20"/>
                <w:color w:val="auto"/>
              </w:rPr>
            </w:pPr>
            <w:r>
              <w:rPr>
                <w:rFonts w:ascii="Times New Roman" w:cs="Times New Roman" w:eastAsia="Times New Roman" w:hAnsi="Times New Roman"/>
                <w:sz w:val="17"/>
                <w:szCs w:val="17"/>
                <w:color w:val="231F20"/>
              </w:rPr>
              <w:t>2026</w:t>
            </w:r>
          </w:p>
        </w:tc>
        <w:tc>
          <w:tcPr>
            <w:tcW w:w="32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tcPr>
          <w:p>
            <w:pPr>
              <w:jc w:val="right"/>
              <w:ind w:right="405"/>
              <w:spacing w:after="0"/>
              <w:rPr>
                <w:sz w:val="20"/>
                <w:szCs w:val="20"/>
                <w:color w:val="auto"/>
              </w:rPr>
            </w:pPr>
            <w:r>
              <w:rPr>
                <w:rFonts w:ascii="Times New Roman" w:cs="Times New Roman" w:eastAsia="Times New Roman" w:hAnsi="Times New Roman"/>
                <w:sz w:val="17"/>
                <w:szCs w:val="17"/>
                <w:color w:val="231F20"/>
              </w:rPr>
              <w:t>2025</w:t>
            </w:r>
          </w:p>
        </w:tc>
        <w:tc>
          <w:tcPr>
            <w:tcW w:w="38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ind w:right="385"/>
              <w:spacing w:after="0"/>
              <w:rPr>
                <w:sz w:val="20"/>
                <w:szCs w:val="20"/>
                <w:color w:val="auto"/>
              </w:rPr>
            </w:pPr>
            <w:r>
              <w:rPr>
                <w:rFonts w:ascii="Times New Roman" w:cs="Times New Roman" w:eastAsia="Times New Roman" w:hAnsi="Times New Roman"/>
                <w:sz w:val="17"/>
                <w:szCs w:val="17"/>
                <w:color w:val="231F20"/>
              </w:rPr>
              <w:t>2024</w:t>
            </w:r>
          </w:p>
        </w:tc>
      </w:tr>
      <w:tr>
        <w:trPr>
          <w:trHeight w:val="257"/>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231F20"/>
              </w:rPr>
              <w:t>Revenues:</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4"/>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Ireland</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b w:val="1"/>
                <w:bCs w:val="1"/>
                <w:color w:val="231F20"/>
              </w:rPr>
              <w:t>$</w:t>
            </w:r>
          </w:p>
        </w:tc>
        <w:tc>
          <w:tcPr>
            <w:tcW w:w="1080" w:type="dxa"/>
            <w:vAlign w:val="bottom"/>
          </w:tcPr>
          <w:p>
            <w:pPr>
              <w:jc w:val="right"/>
              <w:ind w:right="65"/>
              <w:spacing w:after="0"/>
              <w:rPr>
                <w:sz w:val="20"/>
                <w:szCs w:val="20"/>
                <w:color w:val="auto"/>
              </w:rPr>
            </w:pPr>
            <w:r>
              <w:rPr>
                <w:rFonts w:ascii="Times New Roman" w:cs="Times New Roman" w:eastAsia="Times New Roman" w:hAnsi="Times New Roman"/>
                <w:sz w:val="19"/>
                <w:szCs w:val="19"/>
                <w:b w:val="1"/>
                <w:bCs w:val="1"/>
                <w:color w:val="231F20"/>
              </w:rPr>
              <w:t>108.5</w:t>
            </w: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231F20"/>
              </w:rPr>
              <w:t>107.3</w:t>
            </w:r>
          </w:p>
        </w:tc>
        <w:tc>
          <w:tcPr>
            <w:tcW w:w="38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82.7</w:t>
            </w:r>
          </w:p>
        </w:tc>
      </w:tr>
      <w:tr>
        <w:trPr>
          <w:trHeight w:val="277"/>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United States</w:t>
            </w:r>
          </w:p>
        </w:tc>
        <w:tc>
          <w:tcPr>
            <w:tcW w:w="320" w:type="dxa"/>
            <w:vAlign w:val="bottom"/>
          </w:tcPr>
          <w:p>
            <w:pPr>
              <w:spacing w:after="0"/>
              <w:rPr>
                <w:sz w:val="24"/>
                <w:szCs w:val="24"/>
                <w:color w:val="auto"/>
              </w:rPr>
            </w:pPr>
          </w:p>
        </w:tc>
        <w:tc>
          <w:tcPr>
            <w:tcW w:w="1080" w:type="dxa"/>
            <w:vAlign w:val="bottom"/>
          </w:tcPr>
          <w:p>
            <w:pPr>
              <w:jc w:val="right"/>
              <w:ind w:right="65"/>
              <w:spacing w:after="0"/>
              <w:rPr>
                <w:sz w:val="20"/>
                <w:szCs w:val="20"/>
                <w:color w:val="auto"/>
              </w:rPr>
            </w:pPr>
            <w:r>
              <w:rPr>
                <w:rFonts w:ascii="Times New Roman" w:cs="Times New Roman" w:eastAsia="Times New Roman" w:hAnsi="Times New Roman"/>
                <w:sz w:val="19"/>
                <w:szCs w:val="19"/>
                <w:b w:val="1"/>
                <w:bCs w:val="1"/>
                <w:color w:val="231F20"/>
              </w:rPr>
              <w:t>4,333.8</w:t>
            </w:r>
          </w:p>
        </w:tc>
        <w:tc>
          <w:tcPr>
            <w:tcW w:w="320" w:type="dxa"/>
            <w:vAlign w:val="bottom"/>
          </w:tcPr>
          <w:p>
            <w:pPr>
              <w:spacing w:after="0"/>
              <w:rPr>
                <w:sz w:val="24"/>
                <w:szCs w:val="24"/>
                <w:color w:val="auto"/>
              </w:rPr>
            </w:pP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231F20"/>
              </w:rPr>
              <w:t>4,007.6</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3,751.4</w:t>
            </w:r>
          </w:p>
        </w:tc>
      </w:tr>
      <w:tr>
        <w:trPr>
          <w:trHeight w:val="279"/>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Other locations</w:t>
            </w:r>
          </w:p>
        </w:tc>
        <w:tc>
          <w:tcPr>
            <w:tcW w:w="320" w:type="dxa"/>
            <w:vAlign w:val="bottom"/>
            <w:tcBorders>
              <w:bottom w:val="single" w:sz="8" w:color="231F20"/>
            </w:tcBorders>
          </w:tcPr>
          <w:p>
            <w:pPr>
              <w:spacing w:after="0"/>
              <w:rPr>
                <w:sz w:val="24"/>
                <w:szCs w:val="24"/>
                <w:color w:val="auto"/>
              </w:rPr>
            </w:pPr>
          </w:p>
        </w:tc>
        <w:tc>
          <w:tcPr>
            <w:tcW w:w="1080" w:type="dxa"/>
            <w:vAlign w:val="bottom"/>
            <w:tcBorders>
              <w:bottom w:val="single" w:sz="8" w:color="231F20"/>
            </w:tcBorders>
          </w:tcPr>
          <w:p>
            <w:pPr>
              <w:jc w:val="right"/>
              <w:ind w:right="65"/>
              <w:spacing w:after="0"/>
              <w:rPr>
                <w:sz w:val="20"/>
                <w:szCs w:val="20"/>
                <w:color w:val="auto"/>
              </w:rPr>
            </w:pPr>
            <w:r>
              <w:rPr>
                <w:rFonts w:ascii="Times New Roman" w:cs="Times New Roman" w:eastAsia="Times New Roman" w:hAnsi="Times New Roman"/>
                <w:sz w:val="19"/>
                <w:szCs w:val="19"/>
                <w:b w:val="1"/>
                <w:bCs w:val="1"/>
                <w:color w:val="231F20"/>
              </w:rPr>
              <w:t>1,493.7</w:t>
            </w:r>
          </w:p>
        </w:tc>
        <w:tc>
          <w:tcPr>
            <w:tcW w:w="32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19"/>
                <w:szCs w:val="19"/>
                <w:color w:val="231F20"/>
              </w:rPr>
              <w:t>1,344.6</w:t>
            </w:r>
          </w:p>
        </w:tc>
        <w:tc>
          <w:tcPr>
            <w:tcW w:w="38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1,304.6</w:t>
            </w:r>
          </w:p>
        </w:tc>
      </w:tr>
      <w:tr>
        <w:trPr>
          <w:trHeight w:val="266"/>
        </w:trPr>
        <w:tc>
          <w:tcPr>
            <w:tcW w:w="582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231F20"/>
              </w:rPr>
              <w:t>Total Revenues</w:t>
            </w:r>
          </w:p>
        </w:tc>
        <w:tc>
          <w:tcPr>
            <w:tcW w:w="320" w:type="dxa"/>
            <w:vAlign w:val="bottom"/>
            <w:tcBorders>
              <w:bottom w:val="single" w:sz="8" w:color="231F20"/>
            </w:tcBorders>
          </w:tcPr>
          <w:p>
            <w:pPr>
              <w:jc w:val="right"/>
              <w:ind w:right="63"/>
              <w:spacing w:after="0"/>
              <w:rPr>
                <w:sz w:val="20"/>
                <w:szCs w:val="20"/>
                <w:color w:val="auto"/>
              </w:rPr>
            </w:pPr>
            <w:r>
              <w:rPr>
                <w:rFonts w:ascii="Times New Roman" w:cs="Times New Roman" w:eastAsia="Times New Roman" w:hAnsi="Times New Roman"/>
                <w:sz w:val="19"/>
                <w:szCs w:val="19"/>
                <w:b w:val="1"/>
                <w:bCs w:val="1"/>
                <w:color w:val="231F20"/>
              </w:rPr>
              <w:t>$</w:t>
            </w:r>
          </w:p>
        </w:tc>
        <w:tc>
          <w:tcPr>
            <w:tcW w:w="1080" w:type="dxa"/>
            <w:vAlign w:val="bottom"/>
            <w:tcBorders>
              <w:bottom w:val="single" w:sz="8" w:color="231F20"/>
            </w:tcBorders>
          </w:tcPr>
          <w:p>
            <w:pPr>
              <w:jc w:val="right"/>
              <w:ind w:right="65"/>
              <w:spacing w:after="0"/>
              <w:rPr>
                <w:sz w:val="20"/>
                <w:szCs w:val="20"/>
                <w:color w:val="auto"/>
              </w:rPr>
            </w:pPr>
            <w:r>
              <w:rPr>
                <w:rFonts w:ascii="Times New Roman" w:cs="Times New Roman" w:eastAsia="Times New Roman" w:hAnsi="Times New Roman"/>
                <w:sz w:val="19"/>
                <w:szCs w:val="19"/>
                <w:b w:val="1"/>
                <w:bCs w:val="1"/>
                <w:color w:val="231F20"/>
              </w:rPr>
              <w:t>5,935.9</w:t>
            </w:r>
          </w:p>
        </w:tc>
        <w:tc>
          <w:tcPr>
            <w:tcW w:w="320" w:type="dxa"/>
            <w:vAlign w:val="bottom"/>
            <w:tcBorders>
              <w:bottom w:val="single" w:sz="8" w:color="231F20"/>
            </w:tcBorders>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2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19"/>
                <w:szCs w:val="19"/>
                <w:color w:val="231F20"/>
              </w:rPr>
              <w:t>5,459.5</w:t>
            </w:r>
          </w:p>
        </w:tc>
        <w:tc>
          <w:tcPr>
            <w:tcW w:w="380" w:type="dxa"/>
            <w:vAlign w:val="bottom"/>
            <w:tcBorders>
              <w:bottom w:val="single" w:sz="8" w:color="231F20"/>
            </w:tcBorders>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5,138.7</w:t>
            </w:r>
          </w:p>
        </w:tc>
      </w:tr>
    </w:tbl>
    <w:p>
      <w:pPr>
        <w:spacing w:after="0" w:line="200" w:lineRule="exact"/>
        <w:rPr>
          <w:sz w:val="20"/>
          <w:szCs w:val="20"/>
          <w:color w:val="auto"/>
        </w:rPr>
      </w:pPr>
    </w:p>
    <w:p>
      <w:pPr>
        <w:sectPr>
          <w:pgSz w:w="11880" w:h="15480" w:orient="portrait"/>
          <w:cols w:equalWidth="0" w:num="1">
            <w:col w:w="9940"/>
          </w:cols>
          <w:pgMar w:left="960" w:top="25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94</w:t>
      </w:r>
    </w:p>
    <w:p>
      <w:pPr>
        <w:sectPr>
          <w:pgSz w:w="11880" w:h="15480" w:orient="portrait"/>
          <w:cols w:equalWidth="0" w:num="1">
            <w:col w:w="9940"/>
          </w:cols>
          <w:pgMar w:left="960" w:top="250" w:right="980" w:bottom="0"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12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(in millions)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52"/>
        </w:trPr>
        <w:tc>
          <w:tcPr>
            <w:tcW w:w="612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7"/>
                <w:szCs w:val="17"/>
                <w:color w:val="231F20"/>
              </w:rPr>
              <w:t>Years Ended March 31,</w:t>
            </w:r>
          </w:p>
        </w:tc>
        <w:tc>
          <w:tcPr>
            <w:tcW w:w="30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right"/>
              <w:ind w:right="364"/>
              <w:spacing w:after="0"/>
              <w:rPr>
                <w:sz w:val="20"/>
                <w:szCs w:val="20"/>
                <w:color w:val="auto"/>
              </w:rPr>
            </w:pPr>
            <w:r>
              <w:rPr>
                <w:rFonts w:ascii="Times New Roman" w:cs="Times New Roman" w:eastAsia="Times New Roman" w:hAnsi="Times New Roman"/>
                <w:sz w:val="17"/>
                <w:szCs w:val="17"/>
                <w:color w:val="231F20"/>
              </w:rPr>
              <w:t>2026</w:t>
            </w:r>
          </w:p>
        </w:tc>
        <w:tc>
          <w:tcPr>
            <w:tcW w:w="34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ind w:right="384"/>
              <w:spacing w:after="0"/>
              <w:rPr>
                <w:sz w:val="20"/>
                <w:szCs w:val="20"/>
                <w:color w:val="auto"/>
              </w:rPr>
            </w:pPr>
            <w:r>
              <w:rPr>
                <w:rFonts w:ascii="Times New Roman" w:cs="Times New Roman" w:eastAsia="Times New Roman" w:hAnsi="Times New Roman"/>
                <w:sz w:val="17"/>
                <w:szCs w:val="17"/>
                <w:color w:val="231F20"/>
              </w:rPr>
              <w:t>2025</w:t>
            </w:r>
          </w:p>
        </w:tc>
        <w:tc>
          <w:tcPr>
            <w:tcW w:w="36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jc w:val="right"/>
              <w:ind w:right="324"/>
              <w:spacing w:after="0"/>
              <w:rPr>
                <w:sz w:val="20"/>
                <w:szCs w:val="20"/>
                <w:color w:val="auto"/>
              </w:rPr>
            </w:pPr>
            <w:r>
              <w:rPr>
                <w:rFonts w:ascii="Times New Roman" w:cs="Times New Roman" w:eastAsia="Times New Roman" w:hAnsi="Times New Roman"/>
                <w:sz w:val="17"/>
                <w:szCs w:val="17"/>
                <w:color w:val="231F20"/>
              </w:rPr>
              <w:t>2024</w:t>
            </w:r>
          </w:p>
        </w:tc>
      </w:tr>
      <w:tr>
        <w:trPr>
          <w:trHeight w:val="228"/>
        </w:trPr>
        <w:tc>
          <w:tcPr>
            <w:tcW w:w="612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Healthcare:</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73"/>
        </w:trPr>
        <w:tc>
          <w:tcPr>
            <w:tcW w:w="612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Capital equipment</w:t>
            </w:r>
          </w:p>
        </w:tc>
        <w:tc>
          <w:tcPr>
            <w:tcW w:w="30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w:t>
            </w: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9"/>
                <w:szCs w:val="19"/>
                <w:b w:val="1"/>
                <w:bCs w:val="1"/>
                <w:color w:val="231F20"/>
              </w:rPr>
              <w:t>1,095.9</w:t>
            </w:r>
          </w:p>
        </w:tc>
        <w:tc>
          <w:tcPr>
            <w:tcW w:w="3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231F20"/>
              </w:rPr>
              <w:t>$</w:t>
            </w:r>
          </w:p>
        </w:tc>
        <w:tc>
          <w:tcPr>
            <w:tcW w:w="9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231F20"/>
              </w:rPr>
              <w:t>1,037.2</w:t>
            </w:r>
          </w:p>
        </w:tc>
        <w:tc>
          <w:tcPr>
            <w:tcW w:w="36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1,091.5</w:t>
            </w:r>
          </w:p>
        </w:tc>
      </w:tr>
      <w:tr>
        <w:trPr>
          <w:trHeight w:val="277"/>
        </w:trPr>
        <w:tc>
          <w:tcPr>
            <w:tcW w:w="612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Consumables</w:t>
            </w:r>
          </w:p>
        </w:tc>
        <w:tc>
          <w:tcPr>
            <w:tcW w:w="300" w:type="dxa"/>
            <w:vAlign w:val="bottom"/>
          </w:tcPr>
          <w:p>
            <w:pPr>
              <w:spacing w:after="0"/>
              <w:rPr>
                <w:sz w:val="24"/>
                <w:szCs w:val="24"/>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9"/>
                <w:szCs w:val="19"/>
                <w:b w:val="1"/>
                <w:bCs w:val="1"/>
                <w:color w:val="231F20"/>
              </w:rPr>
              <w:t>1,496.6</w:t>
            </w:r>
          </w:p>
        </w:tc>
        <w:tc>
          <w:tcPr>
            <w:tcW w:w="340" w:type="dxa"/>
            <w:vAlign w:val="bottom"/>
          </w:tcPr>
          <w:p>
            <w:pPr>
              <w:spacing w:after="0"/>
              <w:rPr>
                <w:sz w:val="24"/>
                <w:szCs w:val="24"/>
                <w:color w:val="auto"/>
              </w:rPr>
            </w:pPr>
          </w:p>
        </w:tc>
        <w:tc>
          <w:tcPr>
            <w:tcW w:w="9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231F20"/>
              </w:rPr>
              <w:t>1,396.0</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1,248.4</w:t>
            </w:r>
          </w:p>
        </w:tc>
      </w:tr>
      <w:tr>
        <w:trPr>
          <w:trHeight w:val="279"/>
        </w:trPr>
        <w:tc>
          <w:tcPr>
            <w:tcW w:w="612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Service</w:t>
            </w:r>
          </w:p>
        </w:tc>
        <w:tc>
          <w:tcPr>
            <w:tcW w:w="30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ind w:right="4"/>
              <w:spacing w:after="0"/>
              <w:rPr>
                <w:sz w:val="20"/>
                <w:szCs w:val="20"/>
                <w:color w:val="auto"/>
              </w:rPr>
            </w:pPr>
            <w:r>
              <w:rPr>
                <w:rFonts w:ascii="Times New Roman" w:cs="Times New Roman" w:eastAsia="Times New Roman" w:hAnsi="Times New Roman"/>
                <w:sz w:val="19"/>
                <w:szCs w:val="19"/>
                <w:b w:val="1"/>
                <w:bCs w:val="1"/>
                <w:color w:val="231F20"/>
              </w:rPr>
              <w:t>1,616.0</w:t>
            </w:r>
          </w:p>
        </w:tc>
        <w:tc>
          <w:tcPr>
            <w:tcW w:w="34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ind w:right="24"/>
              <w:spacing w:after="0"/>
              <w:rPr>
                <w:sz w:val="20"/>
                <w:szCs w:val="20"/>
                <w:color w:val="auto"/>
              </w:rPr>
            </w:pPr>
            <w:r>
              <w:rPr>
                <w:rFonts w:ascii="Times New Roman" w:cs="Times New Roman" w:eastAsia="Times New Roman" w:hAnsi="Times New Roman"/>
                <w:sz w:val="19"/>
                <w:szCs w:val="19"/>
                <w:color w:val="231F20"/>
              </w:rPr>
              <w:t>1,445.4</w:t>
            </w:r>
          </w:p>
        </w:tc>
        <w:tc>
          <w:tcPr>
            <w:tcW w:w="36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1,273.1</w:t>
            </w:r>
          </w:p>
        </w:tc>
      </w:tr>
      <w:tr>
        <w:trPr>
          <w:trHeight w:val="257"/>
        </w:trPr>
        <w:tc>
          <w:tcPr>
            <w:tcW w:w="612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231F20"/>
              </w:rPr>
              <w:t>Total Healthcare Revenues</w:t>
            </w:r>
          </w:p>
        </w:tc>
        <w:tc>
          <w:tcPr>
            <w:tcW w:w="300" w:type="dxa"/>
            <w:vAlign w:val="bottom"/>
            <w:tcBorders>
              <w:bottom w:val="single" w:sz="8" w:color="231F20"/>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w:t>
            </w:r>
          </w:p>
        </w:tc>
        <w:tc>
          <w:tcPr>
            <w:tcW w:w="940" w:type="dxa"/>
            <w:vAlign w:val="bottom"/>
            <w:tcBorders>
              <w:bottom w:val="single" w:sz="8" w:color="231F20"/>
            </w:tcBorders>
          </w:tcPr>
          <w:p>
            <w:pPr>
              <w:jc w:val="right"/>
              <w:ind w:right="4"/>
              <w:spacing w:after="0"/>
              <w:rPr>
                <w:sz w:val="20"/>
                <w:szCs w:val="20"/>
                <w:color w:val="auto"/>
              </w:rPr>
            </w:pPr>
            <w:r>
              <w:rPr>
                <w:rFonts w:ascii="Times New Roman" w:cs="Times New Roman" w:eastAsia="Times New Roman" w:hAnsi="Times New Roman"/>
                <w:sz w:val="19"/>
                <w:szCs w:val="19"/>
                <w:b w:val="1"/>
                <w:bCs w:val="1"/>
                <w:color w:val="231F20"/>
              </w:rPr>
              <w:t>4,208.6</w:t>
            </w:r>
          </w:p>
        </w:tc>
        <w:tc>
          <w:tcPr>
            <w:tcW w:w="340" w:type="dxa"/>
            <w:vAlign w:val="bottom"/>
            <w:tcBorders>
              <w:bottom w:val="single" w:sz="8" w:color="231F20"/>
            </w:tcBorders>
          </w:tcPr>
          <w:p>
            <w:pPr>
              <w:jc w:val="right"/>
              <w:ind w:right="43"/>
              <w:spacing w:after="0"/>
              <w:rPr>
                <w:sz w:val="20"/>
                <w:szCs w:val="20"/>
                <w:color w:val="auto"/>
              </w:rPr>
            </w:pPr>
            <w:r>
              <w:rPr>
                <w:rFonts w:ascii="Times New Roman" w:cs="Times New Roman" w:eastAsia="Times New Roman" w:hAnsi="Times New Roman"/>
                <w:sz w:val="19"/>
                <w:szCs w:val="19"/>
                <w:color w:val="231F20"/>
              </w:rPr>
              <w:t>$</w:t>
            </w:r>
          </w:p>
        </w:tc>
        <w:tc>
          <w:tcPr>
            <w:tcW w:w="960" w:type="dxa"/>
            <w:vAlign w:val="bottom"/>
            <w:tcBorders>
              <w:bottom w:val="single" w:sz="8" w:color="231F20"/>
            </w:tcBorders>
          </w:tcPr>
          <w:p>
            <w:pPr>
              <w:jc w:val="right"/>
              <w:ind w:right="24"/>
              <w:spacing w:after="0"/>
              <w:rPr>
                <w:sz w:val="20"/>
                <w:szCs w:val="20"/>
                <w:color w:val="auto"/>
              </w:rPr>
            </w:pPr>
            <w:r>
              <w:rPr>
                <w:rFonts w:ascii="Times New Roman" w:cs="Times New Roman" w:eastAsia="Times New Roman" w:hAnsi="Times New Roman"/>
                <w:sz w:val="19"/>
                <w:szCs w:val="19"/>
                <w:color w:val="231F20"/>
              </w:rPr>
              <w:t>3,878.7</w:t>
            </w:r>
          </w:p>
        </w:tc>
        <w:tc>
          <w:tcPr>
            <w:tcW w:w="360" w:type="dxa"/>
            <w:vAlign w:val="bottom"/>
            <w:tcBorders>
              <w:bottom w:val="single" w:sz="8" w:color="231F20"/>
            </w:tcBorders>
          </w:tcPr>
          <w:p>
            <w:pPr>
              <w:jc w:val="right"/>
              <w:ind w:right="43"/>
              <w:spacing w:after="0"/>
              <w:rPr>
                <w:sz w:val="20"/>
                <w:szCs w:val="20"/>
                <w:color w:val="auto"/>
              </w:rPr>
            </w:pPr>
            <w:r>
              <w:rPr>
                <w:rFonts w:ascii="Times New Roman" w:cs="Times New Roman" w:eastAsia="Times New Roman" w:hAnsi="Times New Roman"/>
                <w:sz w:val="19"/>
                <w:szCs w:val="19"/>
                <w:color w:val="231F20"/>
              </w:rPr>
              <w:t>$</w:t>
            </w: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3,613.0</w:t>
            </w:r>
          </w:p>
        </w:tc>
      </w:tr>
      <w:tr>
        <w:trPr>
          <w:trHeight w:val="233"/>
        </w:trPr>
        <w:tc>
          <w:tcPr>
            <w:tcW w:w="61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AST:</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97"/>
        </w:trPr>
        <w:tc>
          <w:tcPr>
            <w:tcW w:w="612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Capital equipment</w:t>
            </w:r>
          </w:p>
        </w:tc>
        <w:tc>
          <w:tcPr>
            <w:tcW w:w="30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w:t>
            </w: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9"/>
                <w:szCs w:val="19"/>
                <w:b w:val="1"/>
                <w:bCs w:val="1"/>
                <w:color w:val="231F20"/>
              </w:rPr>
              <w:t>20.0</w:t>
            </w:r>
          </w:p>
        </w:tc>
        <w:tc>
          <w:tcPr>
            <w:tcW w:w="3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231F20"/>
              </w:rPr>
              <w:t>$</w:t>
            </w:r>
          </w:p>
        </w:tc>
        <w:tc>
          <w:tcPr>
            <w:tcW w:w="9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231F20"/>
              </w:rPr>
              <w:t>30.9</w:t>
            </w:r>
          </w:p>
        </w:tc>
        <w:tc>
          <w:tcPr>
            <w:tcW w:w="36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14.5</w:t>
            </w:r>
          </w:p>
        </w:tc>
      </w:tr>
      <w:tr>
        <w:trPr>
          <w:trHeight w:val="279"/>
        </w:trPr>
        <w:tc>
          <w:tcPr>
            <w:tcW w:w="612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Service</w:t>
            </w:r>
          </w:p>
        </w:tc>
        <w:tc>
          <w:tcPr>
            <w:tcW w:w="30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ind w:right="4"/>
              <w:spacing w:after="0"/>
              <w:rPr>
                <w:sz w:val="20"/>
                <w:szCs w:val="20"/>
                <w:color w:val="auto"/>
              </w:rPr>
            </w:pPr>
            <w:r>
              <w:rPr>
                <w:rFonts w:ascii="Times New Roman" w:cs="Times New Roman" w:eastAsia="Times New Roman" w:hAnsi="Times New Roman"/>
                <w:sz w:val="19"/>
                <w:szCs w:val="19"/>
                <w:b w:val="1"/>
                <w:bCs w:val="1"/>
                <w:color w:val="231F20"/>
              </w:rPr>
              <w:t>1,118.5</w:t>
            </w:r>
          </w:p>
        </w:tc>
        <w:tc>
          <w:tcPr>
            <w:tcW w:w="34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ind w:right="24"/>
              <w:spacing w:after="0"/>
              <w:rPr>
                <w:sz w:val="20"/>
                <w:szCs w:val="20"/>
                <w:color w:val="auto"/>
              </w:rPr>
            </w:pPr>
            <w:r>
              <w:rPr>
                <w:rFonts w:ascii="Times New Roman" w:cs="Times New Roman" w:eastAsia="Times New Roman" w:hAnsi="Times New Roman"/>
                <w:sz w:val="19"/>
                <w:szCs w:val="19"/>
                <w:color w:val="231F20"/>
              </w:rPr>
              <w:t>1,007.6</w:t>
            </w:r>
          </w:p>
        </w:tc>
        <w:tc>
          <w:tcPr>
            <w:tcW w:w="36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939.5</w:t>
            </w:r>
          </w:p>
        </w:tc>
      </w:tr>
      <w:tr>
        <w:trPr>
          <w:trHeight w:val="257"/>
        </w:trPr>
        <w:tc>
          <w:tcPr>
            <w:tcW w:w="61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Total AST Revenues</w:t>
            </w:r>
          </w:p>
        </w:tc>
        <w:tc>
          <w:tcPr>
            <w:tcW w:w="300" w:type="dxa"/>
            <w:vAlign w:val="bottom"/>
            <w:tcBorders>
              <w:bottom w:val="single" w:sz="8" w:color="231F20"/>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w:t>
            </w:r>
          </w:p>
        </w:tc>
        <w:tc>
          <w:tcPr>
            <w:tcW w:w="940" w:type="dxa"/>
            <w:vAlign w:val="bottom"/>
            <w:tcBorders>
              <w:bottom w:val="single" w:sz="8" w:color="231F20"/>
            </w:tcBorders>
          </w:tcPr>
          <w:p>
            <w:pPr>
              <w:jc w:val="right"/>
              <w:ind w:right="4"/>
              <w:spacing w:after="0"/>
              <w:rPr>
                <w:sz w:val="20"/>
                <w:szCs w:val="20"/>
                <w:color w:val="auto"/>
              </w:rPr>
            </w:pPr>
            <w:r>
              <w:rPr>
                <w:rFonts w:ascii="Times New Roman" w:cs="Times New Roman" w:eastAsia="Times New Roman" w:hAnsi="Times New Roman"/>
                <w:sz w:val="19"/>
                <w:szCs w:val="19"/>
                <w:b w:val="1"/>
                <w:bCs w:val="1"/>
                <w:color w:val="231F20"/>
              </w:rPr>
              <w:t>1,138.5</w:t>
            </w:r>
          </w:p>
        </w:tc>
        <w:tc>
          <w:tcPr>
            <w:tcW w:w="340" w:type="dxa"/>
            <w:vAlign w:val="bottom"/>
            <w:tcBorders>
              <w:bottom w:val="single" w:sz="8" w:color="231F20"/>
            </w:tcBorders>
          </w:tcPr>
          <w:p>
            <w:pPr>
              <w:jc w:val="right"/>
              <w:ind w:right="43"/>
              <w:spacing w:after="0"/>
              <w:rPr>
                <w:sz w:val="20"/>
                <w:szCs w:val="20"/>
                <w:color w:val="auto"/>
              </w:rPr>
            </w:pPr>
            <w:r>
              <w:rPr>
                <w:rFonts w:ascii="Times New Roman" w:cs="Times New Roman" w:eastAsia="Times New Roman" w:hAnsi="Times New Roman"/>
                <w:sz w:val="19"/>
                <w:szCs w:val="19"/>
                <w:color w:val="231F20"/>
              </w:rPr>
              <w:t>$</w:t>
            </w:r>
          </w:p>
        </w:tc>
        <w:tc>
          <w:tcPr>
            <w:tcW w:w="960" w:type="dxa"/>
            <w:vAlign w:val="bottom"/>
            <w:tcBorders>
              <w:bottom w:val="single" w:sz="8" w:color="231F20"/>
            </w:tcBorders>
          </w:tcPr>
          <w:p>
            <w:pPr>
              <w:jc w:val="right"/>
              <w:ind w:right="24"/>
              <w:spacing w:after="0"/>
              <w:rPr>
                <w:sz w:val="20"/>
                <w:szCs w:val="20"/>
                <w:color w:val="auto"/>
              </w:rPr>
            </w:pPr>
            <w:r>
              <w:rPr>
                <w:rFonts w:ascii="Times New Roman" w:cs="Times New Roman" w:eastAsia="Times New Roman" w:hAnsi="Times New Roman"/>
                <w:sz w:val="19"/>
                <w:szCs w:val="19"/>
                <w:color w:val="231F20"/>
              </w:rPr>
              <w:t>1,038.6</w:t>
            </w:r>
          </w:p>
        </w:tc>
        <w:tc>
          <w:tcPr>
            <w:tcW w:w="360" w:type="dxa"/>
            <w:vAlign w:val="bottom"/>
            <w:tcBorders>
              <w:bottom w:val="single" w:sz="8" w:color="231F20"/>
            </w:tcBorders>
          </w:tcPr>
          <w:p>
            <w:pPr>
              <w:jc w:val="right"/>
              <w:ind w:right="43"/>
              <w:spacing w:after="0"/>
              <w:rPr>
                <w:sz w:val="20"/>
                <w:szCs w:val="20"/>
                <w:color w:val="auto"/>
              </w:rPr>
            </w:pPr>
            <w:r>
              <w:rPr>
                <w:rFonts w:ascii="Times New Roman" w:cs="Times New Roman" w:eastAsia="Times New Roman" w:hAnsi="Times New Roman"/>
                <w:sz w:val="19"/>
                <w:szCs w:val="19"/>
                <w:color w:val="231F20"/>
              </w:rPr>
              <w:t>$</w:t>
            </w: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954.0</w:t>
            </w:r>
          </w:p>
        </w:tc>
      </w:tr>
      <w:tr>
        <w:trPr>
          <w:trHeight w:val="234"/>
        </w:trPr>
        <w:tc>
          <w:tcPr>
            <w:tcW w:w="61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Life Sciences:</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97"/>
        </w:trPr>
        <w:tc>
          <w:tcPr>
            <w:tcW w:w="612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Capital equipment</w:t>
            </w:r>
          </w:p>
        </w:tc>
        <w:tc>
          <w:tcPr>
            <w:tcW w:w="30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w:t>
            </w: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9"/>
                <w:szCs w:val="19"/>
                <w:b w:val="1"/>
                <w:bCs w:val="1"/>
                <w:color w:val="231F20"/>
              </w:rPr>
              <w:t>135.7</w:t>
            </w:r>
          </w:p>
        </w:tc>
        <w:tc>
          <w:tcPr>
            <w:tcW w:w="3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231F20"/>
              </w:rPr>
              <w:t>$</w:t>
            </w:r>
          </w:p>
        </w:tc>
        <w:tc>
          <w:tcPr>
            <w:tcW w:w="9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231F20"/>
              </w:rPr>
              <w:t>117.5</w:t>
            </w:r>
          </w:p>
        </w:tc>
        <w:tc>
          <w:tcPr>
            <w:tcW w:w="36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155.5</w:t>
            </w:r>
          </w:p>
        </w:tc>
      </w:tr>
      <w:tr>
        <w:trPr>
          <w:trHeight w:val="277"/>
        </w:trPr>
        <w:tc>
          <w:tcPr>
            <w:tcW w:w="612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Consumables</w:t>
            </w:r>
          </w:p>
        </w:tc>
        <w:tc>
          <w:tcPr>
            <w:tcW w:w="300" w:type="dxa"/>
            <w:vAlign w:val="bottom"/>
          </w:tcPr>
          <w:p>
            <w:pPr>
              <w:spacing w:after="0"/>
              <w:rPr>
                <w:sz w:val="24"/>
                <w:szCs w:val="24"/>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9"/>
                <w:szCs w:val="19"/>
                <w:b w:val="1"/>
                <w:bCs w:val="1"/>
                <w:color w:val="231F20"/>
              </w:rPr>
              <w:t>308.3</w:t>
            </w:r>
          </w:p>
        </w:tc>
        <w:tc>
          <w:tcPr>
            <w:tcW w:w="340" w:type="dxa"/>
            <w:vAlign w:val="bottom"/>
          </w:tcPr>
          <w:p>
            <w:pPr>
              <w:spacing w:after="0"/>
              <w:rPr>
                <w:sz w:val="24"/>
                <w:szCs w:val="24"/>
                <w:color w:val="auto"/>
              </w:rPr>
            </w:pPr>
          </w:p>
        </w:tc>
        <w:tc>
          <w:tcPr>
            <w:tcW w:w="9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231F20"/>
              </w:rPr>
              <w:t>286.7</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251.6</w:t>
            </w:r>
          </w:p>
        </w:tc>
      </w:tr>
      <w:tr>
        <w:trPr>
          <w:trHeight w:val="279"/>
        </w:trPr>
        <w:tc>
          <w:tcPr>
            <w:tcW w:w="612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Service</w:t>
            </w:r>
          </w:p>
        </w:tc>
        <w:tc>
          <w:tcPr>
            <w:tcW w:w="30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ind w:right="4"/>
              <w:spacing w:after="0"/>
              <w:rPr>
                <w:sz w:val="20"/>
                <w:szCs w:val="20"/>
                <w:color w:val="auto"/>
              </w:rPr>
            </w:pPr>
            <w:r>
              <w:rPr>
                <w:rFonts w:ascii="Times New Roman" w:cs="Times New Roman" w:eastAsia="Times New Roman" w:hAnsi="Times New Roman"/>
                <w:sz w:val="19"/>
                <w:szCs w:val="19"/>
                <w:b w:val="1"/>
                <w:bCs w:val="1"/>
                <w:color w:val="231F20"/>
              </w:rPr>
              <w:t>144.8</w:t>
            </w:r>
          </w:p>
        </w:tc>
        <w:tc>
          <w:tcPr>
            <w:tcW w:w="34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ind w:right="24"/>
              <w:spacing w:after="0"/>
              <w:rPr>
                <w:sz w:val="20"/>
                <w:szCs w:val="20"/>
                <w:color w:val="auto"/>
              </w:rPr>
            </w:pPr>
            <w:r>
              <w:rPr>
                <w:rFonts w:ascii="Times New Roman" w:cs="Times New Roman" w:eastAsia="Times New Roman" w:hAnsi="Times New Roman"/>
                <w:sz w:val="19"/>
                <w:szCs w:val="19"/>
                <w:color w:val="231F20"/>
              </w:rPr>
              <w:t>138.1</w:t>
            </w:r>
          </w:p>
        </w:tc>
        <w:tc>
          <w:tcPr>
            <w:tcW w:w="36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164.6</w:t>
            </w:r>
          </w:p>
        </w:tc>
      </w:tr>
      <w:tr>
        <w:trPr>
          <w:trHeight w:val="257"/>
        </w:trPr>
        <w:tc>
          <w:tcPr>
            <w:tcW w:w="612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231F20"/>
              </w:rPr>
              <w:t>Total Life Sciences Revenues</w:t>
            </w:r>
          </w:p>
        </w:tc>
        <w:tc>
          <w:tcPr>
            <w:tcW w:w="300" w:type="dxa"/>
            <w:vAlign w:val="bottom"/>
            <w:tcBorders>
              <w:bottom w:val="single" w:sz="8" w:color="231F20"/>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w:t>
            </w:r>
          </w:p>
        </w:tc>
        <w:tc>
          <w:tcPr>
            <w:tcW w:w="940" w:type="dxa"/>
            <w:vAlign w:val="bottom"/>
            <w:tcBorders>
              <w:bottom w:val="single" w:sz="8" w:color="231F20"/>
            </w:tcBorders>
          </w:tcPr>
          <w:p>
            <w:pPr>
              <w:jc w:val="right"/>
              <w:ind w:right="4"/>
              <w:spacing w:after="0"/>
              <w:rPr>
                <w:sz w:val="20"/>
                <w:szCs w:val="20"/>
                <w:color w:val="auto"/>
              </w:rPr>
            </w:pPr>
            <w:r>
              <w:rPr>
                <w:rFonts w:ascii="Times New Roman" w:cs="Times New Roman" w:eastAsia="Times New Roman" w:hAnsi="Times New Roman"/>
                <w:sz w:val="19"/>
                <w:szCs w:val="19"/>
                <w:b w:val="1"/>
                <w:bCs w:val="1"/>
                <w:color w:val="231F20"/>
              </w:rPr>
              <w:t>588.8</w:t>
            </w:r>
          </w:p>
        </w:tc>
        <w:tc>
          <w:tcPr>
            <w:tcW w:w="340" w:type="dxa"/>
            <w:vAlign w:val="bottom"/>
            <w:tcBorders>
              <w:bottom w:val="single" w:sz="8" w:color="231F20"/>
            </w:tcBorders>
          </w:tcPr>
          <w:p>
            <w:pPr>
              <w:spacing w:after="0"/>
              <w:rPr>
                <w:sz w:val="22"/>
                <w:szCs w:val="22"/>
                <w:color w:val="auto"/>
              </w:rPr>
            </w:pPr>
          </w:p>
        </w:tc>
        <w:tc>
          <w:tcPr>
            <w:tcW w:w="960" w:type="dxa"/>
            <w:vAlign w:val="bottom"/>
            <w:tcBorders>
              <w:bottom w:val="single" w:sz="8" w:color="231F20"/>
            </w:tcBorders>
          </w:tcPr>
          <w:p>
            <w:pPr>
              <w:jc w:val="right"/>
              <w:ind w:right="24"/>
              <w:spacing w:after="0"/>
              <w:rPr>
                <w:sz w:val="20"/>
                <w:szCs w:val="20"/>
                <w:color w:val="auto"/>
              </w:rPr>
            </w:pPr>
            <w:r>
              <w:rPr>
                <w:rFonts w:ascii="Times New Roman" w:cs="Times New Roman" w:eastAsia="Times New Roman" w:hAnsi="Times New Roman"/>
                <w:sz w:val="19"/>
                <w:szCs w:val="19"/>
                <w:color w:val="231F20"/>
              </w:rPr>
              <w:t>542.3</w:t>
            </w:r>
          </w:p>
        </w:tc>
        <w:tc>
          <w:tcPr>
            <w:tcW w:w="36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571.7</w:t>
            </w:r>
          </w:p>
        </w:tc>
      </w:tr>
      <w:tr>
        <w:trPr>
          <w:trHeight w:val="237"/>
        </w:trPr>
        <w:tc>
          <w:tcPr>
            <w:tcW w:w="612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231F20"/>
              </w:rPr>
              <w:t>Total Revenues</w:t>
            </w:r>
          </w:p>
        </w:tc>
        <w:tc>
          <w:tcPr>
            <w:tcW w:w="300" w:type="dxa"/>
            <w:vAlign w:val="bottom"/>
            <w:tcBorders>
              <w:bottom w:val="single" w:sz="8" w:color="231F20"/>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231F20"/>
              </w:rPr>
              <w:t>$</w:t>
            </w:r>
          </w:p>
        </w:tc>
        <w:tc>
          <w:tcPr>
            <w:tcW w:w="940" w:type="dxa"/>
            <w:vAlign w:val="bottom"/>
            <w:tcBorders>
              <w:bottom w:val="single" w:sz="8" w:color="231F20"/>
            </w:tcBorders>
          </w:tcPr>
          <w:p>
            <w:pPr>
              <w:jc w:val="right"/>
              <w:ind w:right="4"/>
              <w:spacing w:after="0"/>
              <w:rPr>
                <w:sz w:val="20"/>
                <w:szCs w:val="20"/>
                <w:color w:val="auto"/>
              </w:rPr>
            </w:pPr>
            <w:r>
              <w:rPr>
                <w:rFonts w:ascii="Times New Roman" w:cs="Times New Roman" w:eastAsia="Times New Roman" w:hAnsi="Times New Roman"/>
                <w:sz w:val="19"/>
                <w:szCs w:val="19"/>
                <w:b w:val="1"/>
                <w:bCs w:val="1"/>
                <w:color w:val="231F20"/>
              </w:rPr>
              <w:t>5,935.9</w:t>
            </w:r>
          </w:p>
        </w:tc>
        <w:tc>
          <w:tcPr>
            <w:tcW w:w="340" w:type="dxa"/>
            <w:vAlign w:val="bottom"/>
            <w:tcBorders>
              <w:bottom w:val="single" w:sz="8" w:color="231F20"/>
            </w:tcBorders>
          </w:tcPr>
          <w:p>
            <w:pPr>
              <w:jc w:val="right"/>
              <w:ind w:right="43"/>
              <w:spacing w:after="0"/>
              <w:rPr>
                <w:sz w:val="20"/>
                <w:szCs w:val="20"/>
                <w:color w:val="auto"/>
              </w:rPr>
            </w:pPr>
            <w:r>
              <w:rPr>
                <w:rFonts w:ascii="Times New Roman" w:cs="Times New Roman" w:eastAsia="Times New Roman" w:hAnsi="Times New Roman"/>
                <w:sz w:val="19"/>
                <w:szCs w:val="19"/>
                <w:color w:val="231F20"/>
              </w:rPr>
              <w:t>$</w:t>
            </w:r>
          </w:p>
        </w:tc>
        <w:tc>
          <w:tcPr>
            <w:tcW w:w="960" w:type="dxa"/>
            <w:vAlign w:val="bottom"/>
            <w:tcBorders>
              <w:bottom w:val="single" w:sz="8" w:color="231F20"/>
            </w:tcBorders>
          </w:tcPr>
          <w:p>
            <w:pPr>
              <w:jc w:val="right"/>
              <w:ind w:right="24"/>
              <w:spacing w:after="0"/>
              <w:rPr>
                <w:sz w:val="20"/>
                <w:szCs w:val="20"/>
                <w:color w:val="auto"/>
              </w:rPr>
            </w:pPr>
            <w:r>
              <w:rPr>
                <w:rFonts w:ascii="Times New Roman" w:cs="Times New Roman" w:eastAsia="Times New Roman" w:hAnsi="Times New Roman"/>
                <w:sz w:val="19"/>
                <w:szCs w:val="19"/>
                <w:color w:val="231F20"/>
              </w:rPr>
              <w:t>5,459.5</w:t>
            </w:r>
          </w:p>
        </w:tc>
        <w:tc>
          <w:tcPr>
            <w:tcW w:w="360" w:type="dxa"/>
            <w:vAlign w:val="bottom"/>
            <w:tcBorders>
              <w:bottom w:val="single" w:sz="8" w:color="231F20"/>
            </w:tcBorders>
          </w:tcPr>
          <w:p>
            <w:pPr>
              <w:jc w:val="right"/>
              <w:ind w:right="43"/>
              <w:spacing w:after="0"/>
              <w:rPr>
                <w:sz w:val="20"/>
                <w:szCs w:val="20"/>
                <w:color w:val="auto"/>
              </w:rPr>
            </w:pPr>
            <w:r>
              <w:rPr>
                <w:rFonts w:ascii="Times New Roman" w:cs="Times New Roman" w:eastAsia="Times New Roman" w:hAnsi="Times New Roman"/>
                <w:sz w:val="19"/>
                <w:szCs w:val="19"/>
                <w:color w:val="231F20"/>
              </w:rPr>
              <w:t>$</w:t>
            </w: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5,138.7</w:t>
            </w:r>
          </w:p>
        </w:tc>
      </w:tr>
      <w:tr>
        <w:trPr>
          <w:trHeight w:val="20"/>
        </w:trPr>
        <w:tc>
          <w:tcPr>
            <w:tcW w:w="612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4646930</wp:posOffset>
            </wp:positionH>
            <wp:positionV relativeFrom="paragraph">
              <wp:posOffset>-381635</wp:posOffset>
            </wp:positionV>
            <wp:extent cx="167957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8">
                      <a:extLst>
                        <a:ext uri="{28A0092B-C50C-407E-A947-70E740481C1C}"/>
                      </a:extLst>
                    </a:blip>
                    <a:srcRect/>
                    <a:stretch>
                      <a:fillRect/>
                    </a:stretch>
                  </pic:blipFill>
                  <pic:spPr bwMode="auto">
                    <a:xfrm>
                      <a:off x="0" y="0"/>
                      <a:ext cx="1679575" cy="25400"/>
                    </a:xfrm>
                    <a:prstGeom prst="rect">
                      <a:avLst/>
                    </a:prstGeom>
                    <a:noFill/>
                  </pic:spPr>
                </pic:pic>
              </a:graphicData>
            </a:graphic>
          </wp:anchor>
        </w:drawing>
      </w:r>
    </w:p>
    <w:p>
      <w:pPr>
        <w:spacing w:after="0" w:line="330" w:lineRule="exact"/>
        <w:rPr>
          <w:sz w:val="20"/>
          <w:szCs w:val="20"/>
          <w:color w:val="auto"/>
        </w:rPr>
      </w:pPr>
    </w:p>
    <w:p>
      <w:pPr>
        <w:ind w:right="6360" w:firstLine="3"/>
        <w:spacing w:after="0" w:line="387" w:lineRule="auto"/>
        <w:tabs>
          <w:tab w:leader="none" w:pos="291" w:val="left"/>
        </w:tabs>
        <w:numPr>
          <w:ilvl w:val="0"/>
          <w:numId w:val="31"/>
        </w:numPr>
        <w:rPr>
          <w:rFonts w:ascii="Times New Roman" w:cs="Times New Roman" w:eastAsia="Times New Roman" w:hAnsi="Times New Roman"/>
          <w:sz w:val="19"/>
          <w:szCs w:val="19"/>
          <w:b w:val="1"/>
          <w:bCs w:val="1"/>
          <w:color w:val="231F20"/>
        </w:rPr>
      </w:pPr>
      <w:r>
        <w:rPr>
          <w:rFonts w:ascii="Times New Roman" w:cs="Times New Roman" w:eastAsia="Times New Roman" w:hAnsi="Times New Roman"/>
          <w:sz w:val="19"/>
          <w:szCs w:val="19"/>
          <w:b w:val="1"/>
          <w:bCs w:val="1"/>
          <w:color w:val="231F20"/>
        </w:rPr>
        <w:t>SHARES AND PREFERRED SHARES Ordinary Shares</w:t>
      </w:r>
    </w:p>
    <w:p>
      <w:pPr>
        <w:spacing w:after="0" w:line="1" w:lineRule="exact"/>
        <w:rPr>
          <w:sz w:val="20"/>
          <w:szCs w:val="20"/>
          <w:color w:val="auto"/>
        </w:rPr>
      </w:pPr>
    </w:p>
    <w:p>
      <w:pPr>
        <w:ind w:right="80" w:firstLine="306"/>
        <w:spacing w:after="0" w:line="261" w:lineRule="auto"/>
        <w:rPr>
          <w:sz w:val="20"/>
          <w:szCs w:val="20"/>
          <w:color w:val="auto"/>
        </w:rPr>
      </w:pPr>
      <w:r>
        <w:rPr>
          <w:rFonts w:ascii="Times New Roman" w:cs="Times New Roman" w:eastAsia="Times New Roman" w:hAnsi="Times New Roman"/>
          <w:sz w:val="19"/>
          <w:szCs w:val="19"/>
          <w:color w:val="231F20"/>
        </w:rPr>
        <w:t>We calculate basic earnings per share based upon the weighted average number of shares outstanding. We calculate diluted earnings per share based upon the weighted average number of shares outstanding plus the dilutive effect of share equivalents calculated using the treasury stock method. Income from continuing operations is used as the benchmark to determine whether share equivalents are dilutive or anti-dilutive. Earnings per share is calculated independently for earnings per share from continuing operations and earnings per share from discontinued operations. The sum of earnings per share from continuing operations and earnings per share from discontinued operations may not equal total company earnings per share due to rounding. The following is a summary of shares and share equivalents outstanding used in the calculations of basic and diluted earnings per share:</w:t>
      </w:r>
    </w:p>
    <w:p>
      <w:pPr>
        <w:spacing w:after="0" w:line="77" w:lineRule="exact"/>
        <w:rPr>
          <w:sz w:val="20"/>
          <w:szCs w:val="20"/>
          <w:color w:val="auto"/>
        </w:rPr>
      </w:pPr>
    </w:p>
    <w:tbl>
      <w:tblPr>
        <w:tblLayout w:type="fixed"/>
        <w:tblInd w:w="60" w:type="dxa"/>
        <w:tblCellMar>
          <w:top w:w="0" w:type="dxa"/>
          <w:left w:w="0" w:type="dxa"/>
          <w:bottom w:w="0" w:type="dxa"/>
          <w:right w:w="0" w:type="dxa"/>
        </w:tblCellMar>
      </w:tblP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7"/>
                <w:szCs w:val="17"/>
                <w:color w:val="231F20"/>
              </w:rPr>
              <w:t>(shares in millions)</w:t>
            </w:r>
          </w:p>
        </w:tc>
        <w:tc>
          <w:tcPr>
            <w:tcW w:w="3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14"/>
        </w:trPr>
        <w:tc>
          <w:tcPr>
            <w:tcW w:w="3940" w:type="dxa"/>
            <w:vAlign w:val="bottom"/>
          </w:tcPr>
          <w:p>
            <w:pPr>
              <w:spacing w:after="0"/>
              <w:rPr>
                <w:sz w:val="20"/>
                <w:szCs w:val="20"/>
                <w:color w:val="auto"/>
              </w:rPr>
            </w:pPr>
            <w:r>
              <w:rPr>
                <w:rFonts w:ascii="Times New Roman" w:cs="Times New Roman" w:eastAsia="Times New Roman" w:hAnsi="Times New Roman"/>
                <w:sz w:val="17"/>
                <w:szCs w:val="17"/>
                <w:color w:val="231F20"/>
              </w:rPr>
              <w:t>Years ended March 31,</w:t>
            </w:r>
          </w:p>
        </w:tc>
        <w:tc>
          <w:tcPr>
            <w:tcW w:w="31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231F20"/>
              </w:rPr>
              <w:t>2026</w:t>
            </w:r>
          </w:p>
        </w:tc>
        <w:tc>
          <w:tcPr>
            <w:tcW w:w="140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231F20"/>
              </w:rPr>
              <w:t>2025</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2024</w:t>
            </w:r>
          </w:p>
        </w:tc>
      </w:tr>
    </w:tbl>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231F20"/>
        </w:rPr>
        <w:t>Denominator</w:t>
      </w:r>
      <w:r>
        <w:rPr>
          <w:rFonts w:ascii="Times New Roman" w:cs="Times New Roman" w:eastAsia="Times New Roman" w:hAnsi="Times New Roman"/>
          <w:sz w:val="19"/>
          <w:szCs w:val="19"/>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-135890</wp:posOffset>
            </wp:positionV>
            <wp:extent cx="6311900" cy="120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9">
                      <a:extLst>
                        <a:ext uri="{28A0092B-C50C-407E-A947-70E740481C1C}"/>
                      </a:extLst>
                    </a:blip>
                    <a:srcRect/>
                    <a:stretch>
                      <a:fillRect/>
                    </a:stretch>
                  </pic:blipFill>
                  <pic:spPr bwMode="auto">
                    <a:xfrm>
                      <a:off x="0" y="0"/>
                      <a:ext cx="6311900" cy="12065"/>
                    </a:xfrm>
                    <a:prstGeom prst="rect">
                      <a:avLst/>
                    </a:prstGeom>
                    <a:noFill/>
                  </pic:spPr>
                </pic:pic>
              </a:graphicData>
            </a:graphic>
          </wp:anchor>
        </w:drawing>
      </w:r>
    </w:p>
    <w:p>
      <w:pPr>
        <w:sectPr>
          <w:pgSz w:w="11880" w:h="15480" w:orient="portrait"/>
          <w:cols w:equalWidth="0" w:num="1">
            <w:col w:w="9960"/>
          </w:cols>
          <w:pgMar w:left="960" w:top="250" w:right="960" w:bottom="0" w:gutter="0" w:footer="0" w:header="0"/>
        </w:sectPr>
      </w:pPr>
    </w:p>
    <w:p>
      <w:pPr>
        <w:spacing w:after="0" w:line="62" w:lineRule="exact"/>
        <w:rPr>
          <w:sz w:val="20"/>
          <w:szCs w:val="20"/>
          <w:color w:val="auto"/>
        </w:rPr>
      </w:pPr>
    </w:p>
    <w:p>
      <w:pPr>
        <w:ind w:left="540" w:right="1980"/>
        <w:spacing w:after="0" w:line="319" w:lineRule="auto"/>
        <w:rPr>
          <w:sz w:val="20"/>
          <w:szCs w:val="20"/>
          <w:color w:val="auto"/>
        </w:rPr>
      </w:pPr>
      <w:r>
        <w:rPr>
          <w:rFonts w:ascii="Times New Roman" w:cs="Times New Roman" w:eastAsia="Times New Roman" w:hAnsi="Times New Roman"/>
          <w:sz w:val="19"/>
          <w:szCs w:val="19"/>
          <w:color w:val="231F20"/>
        </w:rPr>
        <w:t>Weighted average shares outstanding—basic Dilutive effect of share equivalents</w:t>
      </w:r>
    </w:p>
    <w:p>
      <w:pPr>
        <w:spacing w:after="0" w:line="1" w:lineRule="exact"/>
        <w:rPr>
          <w:sz w:val="20"/>
          <w:szCs w:val="20"/>
          <w:color w:val="auto"/>
        </w:rPr>
      </w:pPr>
    </w:p>
    <w:p>
      <w:pPr>
        <w:ind w:left="540" w:right="660"/>
        <w:spacing w:after="0" w:line="250" w:lineRule="auto"/>
        <w:rPr>
          <w:sz w:val="20"/>
          <w:szCs w:val="20"/>
          <w:color w:val="auto"/>
        </w:rPr>
      </w:pPr>
      <w:r>
        <w:rPr>
          <w:rFonts w:ascii="Times New Roman" w:cs="Times New Roman" w:eastAsia="Times New Roman" w:hAnsi="Times New Roman"/>
          <w:sz w:val="19"/>
          <w:szCs w:val="19"/>
          <w:color w:val="231F20"/>
        </w:rPr>
        <w:t>Weighted average shares outstanding and share equivalents— diluted</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tabs>
          <w:tab w:leader="none" w:pos="1380" w:val="left"/>
          <w:tab w:leader="none" w:pos="2780" w:val="left"/>
        </w:tabs>
        <w:rPr>
          <w:sz w:val="20"/>
          <w:szCs w:val="20"/>
          <w:color w:val="auto"/>
        </w:rPr>
      </w:pPr>
      <w:r>
        <w:rPr>
          <w:rFonts w:ascii="Times New Roman" w:cs="Times New Roman" w:eastAsia="Times New Roman" w:hAnsi="Times New Roman"/>
          <w:sz w:val="19"/>
          <w:szCs w:val="19"/>
          <w:b w:val="1"/>
          <w:bCs w:val="1"/>
          <w:color w:val="231F20"/>
        </w:rPr>
        <w:t>98.2</w:t>
      </w:r>
      <w:r>
        <w:rPr>
          <w:sz w:val="20"/>
          <w:szCs w:val="20"/>
          <w:color w:val="auto"/>
        </w:rPr>
        <w:tab/>
      </w:r>
      <w:r>
        <w:rPr>
          <w:rFonts w:ascii="Times New Roman" w:cs="Times New Roman" w:eastAsia="Times New Roman" w:hAnsi="Times New Roman"/>
          <w:sz w:val="19"/>
          <w:szCs w:val="19"/>
          <w:color w:val="231F20"/>
        </w:rPr>
        <w:t>98.6</w:t>
      </w:r>
      <w:r>
        <w:rPr>
          <w:sz w:val="20"/>
          <w:szCs w:val="20"/>
          <w:color w:val="auto"/>
        </w:rPr>
        <w:tab/>
      </w:r>
      <w:r>
        <w:rPr>
          <w:rFonts w:ascii="Times New Roman" w:cs="Times New Roman" w:eastAsia="Times New Roman" w:hAnsi="Times New Roman"/>
          <w:sz w:val="19"/>
          <w:szCs w:val="19"/>
          <w:color w:val="231F20"/>
        </w:rPr>
        <w:t>98.8</w:t>
      </w:r>
    </w:p>
    <w:p>
      <w:pPr>
        <w:spacing w:after="0" w:line="73" w:lineRule="exact"/>
        <w:rPr>
          <w:sz w:val="20"/>
          <w:szCs w:val="20"/>
          <w:color w:val="auto"/>
        </w:rPr>
      </w:pPr>
    </w:p>
    <w:p>
      <w:pPr>
        <w:ind w:left="100"/>
        <w:spacing w:after="0"/>
        <w:tabs>
          <w:tab w:leader="none" w:pos="1480" w:val="left"/>
          <w:tab w:leader="none" w:pos="2880" w:val="left"/>
        </w:tabs>
        <w:rPr>
          <w:sz w:val="20"/>
          <w:szCs w:val="20"/>
          <w:color w:val="auto"/>
        </w:rPr>
      </w:pPr>
      <w:r>
        <w:rPr>
          <w:rFonts w:ascii="Times New Roman" w:cs="Times New Roman" w:eastAsia="Times New Roman" w:hAnsi="Times New Roman"/>
          <w:sz w:val="19"/>
          <w:szCs w:val="19"/>
          <w:b w:val="1"/>
          <w:bCs w:val="1"/>
          <w:color w:val="231F20"/>
        </w:rPr>
        <w:t>0.4</w:t>
      </w:r>
      <w:r>
        <w:rPr>
          <w:sz w:val="20"/>
          <w:szCs w:val="20"/>
          <w:color w:val="auto"/>
        </w:rPr>
        <w:tab/>
      </w:r>
      <w:r>
        <w:rPr>
          <w:rFonts w:ascii="Times New Roman" w:cs="Times New Roman" w:eastAsia="Times New Roman" w:hAnsi="Times New Roman"/>
          <w:sz w:val="19"/>
          <w:szCs w:val="19"/>
          <w:color w:val="231F20"/>
        </w:rPr>
        <w:t>0.5</w:t>
      </w:r>
      <w:r>
        <w:rPr>
          <w:sz w:val="20"/>
          <w:szCs w:val="20"/>
          <w:color w:val="auto"/>
        </w:rPr>
        <w:tab/>
      </w:r>
      <w:r>
        <w:rPr>
          <w:rFonts w:ascii="Times New Roman" w:cs="Times New Roman" w:eastAsia="Times New Roman" w:hAnsi="Times New Roman"/>
          <w:sz w:val="19"/>
          <w:szCs w:val="19"/>
          <w:color w:val="231F20"/>
        </w:rPr>
        <w:t>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26670</wp:posOffset>
            </wp:positionV>
            <wp:extent cx="2615565" cy="120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0">
                      <a:extLst>
                        <a:ext uri="{28A0092B-C50C-407E-A947-70E740481C1C}"/>
                      </a:extLst>
                    </a:blip>
                    <a:srcRect/>
                    <a:stretch>
                      <a:fillRect/>
                    </a:stretch>
                  </pic:blipFill>
                  <pic:spPr bwMode="auto">
                    <a:xfrm>
                      <a:off x="0" y="0"/>
                      <a:ext cx="2615565" cy="12065"/>
                    </a:xfrm>
                    <a:prstGeom prst="rect">
                      <a:avLst/>
                    </a:prstGeom>
                    <a:noFill/>
                  </pic:spPr>
                </pic:pic>
              </a:graphicData>
            </a:graphic>
          </wp:anchor>
        </w:drawing>
      </w:r>
    </w:p>
    <w:p>
      <w:pPr>
        <w:spacing w:after="0" w:line="242" w:lineRule="exact"/>
        <w:rPr>
          <w:sz w:val="20"/>
          <w:szCs w:val="20"/>
          <w:color w:val="auto"/>
        </w:rPr>
      </w:pPr>
    </w:p>
    <w:p>
      <w:pPr>
        <w:spacing w:after="0"/>
        <w:tabs>
          <w:tab w:leader="none" w:pos="1380" w:val="left"/>
          <w:tab w:leader="none" w:pos="2780" w:val="left"/>
        </w:tabs>
        <w:rPr>
          <w:sz w:val="20"/>
          <w:szCs w:val="20"/>
          <w:color w:val="auto"/>
        </w:rPr>
      </w:pPr>
      <w:r>
        <w:rPr>
          <w:rFonts w:ascii="Times New Roman" w:cs="Times New Roman" w:eastAsia="Times New Roman" w:hAnsi="Times New Roman"/>
          <w:sz w:val="19"/>
          <w:szCs w:val="19"/>
          <w:b w:val="1"/>
          <w:bCs w:val="1"/>
          <w:color w:val="231F20"/>
        </w:rPr>
        <w:t>98.7</w:t>
      </w:r>
      <w:r>
        <w:rPr>
          <w:sz w:val="20"/>
          <w:szCs w:val="20"/>
          <w:color w:val="auto"/>
        </w:rPr>
        <w:tab/>
      </w:r>
      <w:r>
        <w:rPr>
          <w:rFonts w:ascii="Times New Roman" w:cs="Times New Roman" w:eastAsia="Times New Roman" w:hAnsi="Times New Roman"/>
          <w:sz w:val="19"/>
          <w:szCs w:val="19"/>
          <w:color w:val="231F20"/>
        </w:rPr>
        <w:t>99.1</w:t>
      </w:r>
      <w:r>
        <w:rPr>
          <w:sz w:val="20"/>
          <w:szCs w:val="20"/>
          <w:color w:val="auto"/>
        </w:rPr>
        <w:tab/>
      </w:r>
      <w:r>
        <w:rPr>
          <w:rFonts w:ascii="Times New Roman" w:cs="Times New Roman" w:eastAsia="Times New Roman" w:hAnsi="Times New Roman"/>
          <w:sz w:val="19"/>
          <w:szCs w:val="19"/>
          <w:color w:val="231F20"/>
        </w:rPr>
        <w:t>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23495</wp:posOffset>
            </wp:positionV>
            <wp:extent cx="2615565" cy="18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1">
                      <a:extLst>
                        <a:ext uri="{28A0092B-C50C-407E-A947-70E740481C1C}"/>
                      </a:extLst>
                    </a:blip>
                    <a:srcRect/>
                    <a:stretch>
                      <a:fillRect/>
                    </a:stretch>
                  </pic:blipFill>
                  <pic:spPr bwMode="auto">
                    <a:xfrm>
                      <a:off x="0" y="0"/>
                      <a:ext cx="2615565" cy="18415"/>
                    </a:xfrm>
                    <a:prstGeom prst="rect">
                      <a:avLst/>
                    </a:prstGeom>
                    <a:noFill/>
                  </pic:spPr>
                </pic:pic>
              </a:graphicData>
            </a:graphic>
          </wp:anchor>
        </w:drawing>
      </w:r>
    </w:p>
    <w:p>
      <w:pPr>
        <w:spacing w:after="0" w:line="203" w:lineRule="exact"/>
        <w:rPr>
          <w:sz w:val="20"/>
          <w:szCs w:val="20"/>
          <w:color w:val="auto"/>
        </w:rPr>
      </w:pPr>
    </w:p>
    <w:p>
      <w:pPr>
        <w:sectPr>
          <w:pgSz w:w="11880" w:h="15480" w:orient="portrait"/>
          <w:cols w:equalWidth="0" w:num="2">
            <w:col w:w="6000" w:space="720"/>
            <w:col w:w="3240"/>
          </w:cols>
          <w:pgMar w:left="960" w:top="250" w:right="960" w:bottom="0" w:gutter="0" w:footer="0" w:header="0"/>
          <w:type w:val="continuous"/>
        </w:sectPr>
      </w:pPr>
    </w:p>
    <w:p>
      <w:pPr>
        <w:ind w:right="80" w:firstLine="306"/>
        <w:spacing w:after="0" w:line="274" w:lineRule="auto"/>
        <w:rPr>
          <w:sz w:val="20"/>
          <w:szCs w:val="20"/>
          <w:color w:val="auto"/>
        </w:rPr>
      </w:pPr>
      <w:r>
        <w:rPr>
          <w:rFonts w:ascii="Times New Roman" w:cs="Times New Roman" w:eastAsia="Times New Roman" w:hAnsi="Times New Roman"/>
          <w:sz w:val="19"/>
          <w:szCs w:val="19"/>
          <w:color w:val="231F20"/>
        </w:rPr>
        <w:t>Options to purchase the following number of shares were outstanding but excluded from the computation of diluted earnings per share because the combined exercise prices, unamortized fair values, and assumed tax benefits upon exercise were greater than the average market price for the shares during the periods, so including these options would be anti-dilutive:</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(shares in millions)</w:t>
            </w:r>
          </w:p>
        </w:tc>
        <w:tc>
          <w:tcPr>
            <w:tcW w:w="2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60"/>
        </w:trPr>
        <w:tc>
          <w:tcPr>
            <w:tcW w:w="460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7"/>
                <w:szCs w:val="17"/>
                <w:color w:val="231F20"/>
              </w:rPr>
              <w:t>Years ended March 31,</w:t>
            </w:r>
          </w:p>
        </w:tc>
        <w:tc>
          <w:tcPr>
            <w:tcW w:w="2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2026</w:t>
            </w:r>
          </w:p>
        </w:tc>
        <w:tc>
          <w:tcPr>
            <w:tcW w:w="14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2025</w:t>
            </w:r>
          </w:p>
        </w:tc>
        <w:tc>
          <w:tcPr>
            <w:tcW w:w="640" w:type="dxa"/>
            <w:vAlign w:val="bottom"/>
            <w:tcBorders>
              <w:bottom w:val="single" w:sz="8" w:color="231F20"/>
            </w:tcBorders>
          </w:tcPr>
          <w:p>
            <w:pPr>
              <w:spacing w:after="0"/>
              <w:rPr>
                <w:sz w:val="22"/>
                <w:szCs w:val="22"/>
                <w:color w:val="auto"/>
              </w:rPr>
            </w:pPr>
          </w:p>
        </w:tc>
        <w:tc>
          <w:tcPr>
            <w:tcW w:w="1160" w:type="dxa"/>
            <w:vAlign w:val="bottom"/>
            <w:tcBorders>
              <w:bottom w:val="single" w:sz="8" w:color="231F20"/>
            </w:tcBorders>
          </w:tcPr>
          <w:p>
            <w:pPr>
              <w:jc w:val="right"/>
              <w:ind w:right="388"/>
              <w:spacing w:after="0"/>
              <w:rPr>
                <w:sz w:val="20"/>
                <w:szCs w:val="20"/>
                <w:color w:val="auto"/>
              </w:rPr>
            </w:pPr>
            <w:r>
              <w:rPr>
                <w:rFonts w:ascii="Times New Roman" w:cs="Times New Roman" w:eastAsia="Times New Roman" w:hAnsi="Times New Roman"/>
                <w:sz w:val="17"/>
                <w:szCs w:val="17"/>
                <w:color w:val="231F20"/>
              </w:rPr>
              <w:t>2024</w:t>
            </w:r>
          </w:p>
        </w:tc>
      </w:tr>
      <w:tr>
        <w:trPr>
          <w:trHeight w:val="257"/>
        </w:trPr>
        <w:tc>
          <w:tcPr>
            <w:tcW w:w="460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Number of ordinary share options</w:t>
            </w:r>
          </w:p>
        </w:tc>
        <w:tc>
          <w:tcPr>
            <w:tcW w:w="2140" w:type="dxa"/>
            <w:vAlign w:val="bottom"/>
          </w:tcPr>
          <w:p>
            <w:pPr>
              <w:spacing w:after="0"/>
              <w:rPr>
                <w:sz w:val="22"/>
                <w:szCs w:val="22"/>
                <w:color w:val="auto"/>
              </w:rPr>
            </w:pPr>
          </w:p>
        </w:tc>
        <w:tc>
          <w:tcPr>
            <w:tcW w:w="1400" w:type="dxa"/>
            <w:vAlign w:val="bottom"/>
          </w:tcPr>
          <w:p>
            <w:pPr>
              <w:jc w:val="right"/>
              <w:ind w:right="988"/>
              <w:spacing w:after="0"/>
              <w:rPr>
                <w:sz w:val="20"/>
                <w:szCs w:val="20"/>
                <w:color w:val="auto"/>
              </w:rPr>
            </w:pPr>
            <w:r>
              <w:rPr>
                <w:rFonts w:ascii="Times New Roman" w:cs="Times New Roman" w:eastAsia="Times New Roman" w:hAnsi="Times New Roman"/>
                <w:sz w:val="19"/>
                <w:szCs w:val="19"/>
                <w:b w:val="1"/>
                <w:bCs w:val="1"/>
                <w:color w:val="231F20"/>
              </w:rPr>
              <w:t>0.6</w:t>
            </w:r>
          </w:p>
        </w:tc>
        <w:tc>
          <w:tcPr>
            <w:tcW w:w="640" w:type="dxa"/>
            <w:vAlign w:val="bottom"/>
          </w:tcPr>
          <w:p>
            <w:pPr>
              <w:jc w:val="right"/>
              <w:ind w:right="223"/>
              <w:spacing w:after="0"/>
              <w:rPr>
                <w:sz w:val="20"/>
                <w:szCs w:val="20"/>
                <w:color w:val="auto"/>
              </w:rPr>
            </w:pPr>
            <w:r>
              <w:rPr>
                <w:rFonts w:ascii="Times New Roman" w:cs="Times New Roman" w:eastAsia="Times New Roman" w:hAnsi="Times New Roman"/>
                <w:sz w:val="19"/>
                <w:szCs w:val="19"/>
                <w:color w:val="231F20"/>
              </w:rPr>
              <w:t>0.7</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0.6</w:t>
            </w: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Additional Authorized Shares</w:t>
      </w:r>
    </w:p>
    <w:p>
      <w:pPr>
        <w:spacing w:after="0" w:line="138" w:lineRule="exact"/>
        <w:rPr>
          <w:sz w:val="20"/>
          <w:szCs w:val="20"/>
          <w:color w:val="auto"/>
        </w:rPr>
      </w:pPr>
    </w:p>
    <w:p>
      <w:pPr>
        <w:jc w:val="both"/>
        <w:ind w:firstLine="262"/>
        <w:spacing w:after="0" w:line="274" w:lineRule="auto"/>
        <w:rPr>
          <w:sz w:val="20"/>
          <w:szCs w:val="20"/>
          <w:color w:val="auto"/>
        </w:rPr>
      </w:pPr>
      <w:r>
        <w:rPr>
          <w:rFonts w:ascii="Times New Roman" w:cs="Times New Roman" w:eastAsia="Times New Roman" w:hAnsi="Times New Roman"/>
          <w:sz w:val="19"/>
          <w:szCs w:val="19"/>
          <w:color w:val="231F20"/>
        </w:rPr>
        <w:t>The Company has an additional authorized share capital of 50,000,000 preferred shares of $0.001 par value each, plus 25,000 deferred ordinary shares of €1.00 par value each, in order to satisfy minimum statutory capital requirements for all Irish public limited companies.</w:t>
      </w:r>
    </w:p>
    <w:p>
      <w:pPr>
        <w:sectPr>
          <w:pgSz w:w="11880" w:h="15480" w:orient="portrait"/>
          <w:cols w:equalWidth="0" w:num="1">
            <w:col w:w="9960"/>
          </w:cols>
          <w:pgMar w:left="960" w:top="250" w:right="960" w:bottom="0" w:gutter="0" w:footer="0" w:header="0"/>
          <w:type w:val="continuous"/>
        </w:sect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95</w:t>
      </w:r>
    </w:p>
    <w:p>
      <w:pPr>
        <w:sectPr>
          <w:pgSz w:w="11880" w:h="15480" w:orient="portrait"/>
          <w:cols w:equalWidth="0" w:num="1">
            <w:col w:w="9960"/>
          </w:cols>
          <w:pgMar w:left="960" w:top="250" w:right="960" w:bottom="0" w:gutter="0" w:footer="0" w:header="0"/>
          <w:type w:val="continuous"/>
        </w:sectPr>
      </w:pPr>
    </w:p>
    <w:bookmarkStart w:id="96" w:name="page97"/>
    <w:bookmarkEnd w:id="96"/>
    <w:p>
      <w:pPr>
        <w:jc w:val="center"/>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15. REPURCHASES OF ORDINARY SHARES</w:t>
      </w:r>
    </w:p>
    <w:p>
      <w:pPr>
        <w:spacing w:after="0" w:line="138" w:lineRule="exact"/>
        <w:rPr>
          <w:sz w:val="20"/>
          <w:szCs w:val="20"/>
          <w:color w:val="auto"/>
        </w:rPr>
      </w:pPr>
    </w:p>
    <w:p>
      <w:pPr>
        <w:ind w:right="200" w:firstLine="349"/>
        <w:spacing w:after="0" w:line="268" w:lineRule="auto"/>
        <w:rPr>
          <w:sz w:val="20"/>
          <w:szCs w:val="20"/>
          <w:color w:val="auto"/>
        </w:rPr>
      </w:pPr>
      <w:r>
        <w:rPr>
          <w:rFonts w:ascii="Times New Roman" w:cs="Times New Roman" w:eastAsia="Times New Roman" w:hAnsi="Times New Roman"/>
          <w:sz w:val="19"/>
          <w:szCs w:val="19"/>
          <w:color w:val="231F20"/>
        </w:rPr>
        <w:t>On May 3, 2023 our Board of Directors terminated the previous share repurchase program and authorized a new share repurchase program (the "Outgoing Repurchase Program") for the purchase of up to $500.0 million (exclusive of fees, commissions, and other charges), with no specified expiration date. As of March 31, 2026, there was $75.0 million (exclusive of fees, commissions, and other charges) of remaining availability under the Outgoing Repurchase Program.</w:t>
      </w:r>
    </w:p>
    <w:p>
      <w:pPr>
        <w:spacing w:after="0" w:line="72" w:lineRule="exact"/>
        <w:rPr>
          <w:sz w:val="20"/>
          <w:szCs w:val="20"/>
          <w:color w:val="auto"/>
        </w:rPr>
      </w:pPr>
    </w:p>
    <w:p>
      <w:pPr>
        <w:ind w:right="40" w:firstLine="349"/>
        <w:spacing w:after="0" w:line="293" w:lineRule="auto"/>
        <w:rPr>
          <w:sz w:val="20"/>
          <w:szCs w:val="20"/>
          <w:color w:val="auto"/>
        </w:rPr>
      </w:pPr>
      <w:r>
        <w:rPr>
          <w:rFonts w:ascii="Times New Roman" w:cs="Times New Roman" w:eastAsia="Times New Roman" w:hAnsi="Times New Roman"/>
          <w:sz w:val="19"/>
          <w:szCs w:val="19"/>
          <w:color w:val="231F20"/>
        </w:rPr>
        <w:t>Under the Outgoing Repurchase Program, the Company could repurchase its shares from time to time through open market purchases, including 10b5-1 plans. It also permitted share repurchases to be activated, suspended or discontinued at any time.</w:t>
      </w:r>
    </w:p>
    <w:p>
      <w:pPr>
        <w:spacing w:after="0" w:line="49" w:lineRule="exact"/>
        <w:rPr>
          <w:sz w:val="20"/>
          <w:szCs w:val="20"/>
          <w:color w:val="auto"/>
        </w:rPr>
      </w:pPr>
    </w:p>
    <w:p>
      <w:pPr>
        <w:ind w:right="720" w:firstLine="349"/>
        <w:spacing w:after="0" w:line="274" w:lineRule="auto"/>
        <w:rPr>
          <w:sz w:val="20"/>
          <w:szCs w:val="20"/>
          <w:color w:val="auto"/>
        </w:rPr>
      </w:pPr>
      <w:r>
        <w:rPr>
          <w:rFonts w:ascii="Times New Roman" w:cs="Times New Roman" w:eastAsia="Times New Roman" w:hAnsi="Times New Roman"/>
          <w:sz w:val="19"/>
          <w:szCs w:val="19"/>
          <w:color w:val="231F20"/>
        </w:rPr>
        <w:t>On May 5, 2026, the Board of Directors terminated the Outgoing Repurchase Program and authorized a new share repurchase program (the "New Repurchase Program") for the purchase of up to $1,000.0 million (exclusive of fees, commissions, and other charges).</w:t>
      </w:r>
    </w:p>
    <w:p>
      <w:pPr>
        <w:spacing w:after="0" w:line="67" w:lineRule="exact"/>
        <w:rPr>
          <w:sz w:val="20"/>
          <w:szCs w:val="20"/>
          <w:color w:val="auto"/>
        </w:rPr>
      </w:pPr>
    </w:p>
    <w:p>
      <w:pPr>
        <w:ind w:right="120" w:firstLine="349"/>
        <w:spacing w:after="0" w:line="274" w:lineRule="auto"/>
        <w:rPr>
          <w:sz w:val="20"/>
          <w:szCs w:val="20"/>
          <w:color w:val="auto"/>
        </w:rPr>
      </w:pPr>
      <w:r>
        <w:rPr>
          <w:rFonts w:ascii="Times New Roman" w:cs="Times New Roman" w:eastAsia="Times New Roman" w:hAnsi="Times New Roman"/>
          <w:sz w:val="19"/>
          <w:szCs w:val="19"/>
          <w:color w:val="231F20"/>
        </w:rPr>
        <w:t>Under the New Repurchase Program, we may repurchase our shares from time to time through open market purchases, including 10b5-1 plans. Any share repurchases may be activated, suspended or discontinued at any time. There is no limitation to the number of shares that can be repurchased in a year and there is no expiration date for the New Repurchase Program.</w:t>
      </w:r>
    </w:p>
    <w:p>
      <w:pPr>
        <w:spacing w:after="0" w:line="67" w:lineRule="exact"/>
        <w:rPr>
          <w:sz w:val="20"/>
          <w:szCs w:val="20"/>
          <w:color w:val="auto"/>
        </w:rPr>
      </w:pPr>
    </w:p>
    <w:p>
      <w:pPr>
        <w:ind w:right="20" w:firstLine="349"/>
        <w:spacing w:after="0" w:line="265" w:lineRule="auto"/>
        <w:rPr>
          <w:sz w:val="20"/>
          <w:szCs w:val="20"/>
          <w:color w:val="auto"/>
        </w:rPr>
      </w:pPr>
      <w:r>
        <w:rPr>
          <w:rFonts w:ascii="Times New Roman" w:cs="Times New Roman" w:eastAsia="Times New Roman" w:hAnsi="Times New Roman"/>
          <w:sz w:val="19"/>
          <w:szCs w:val="19"/>
          <w:color w:val="231F20"/>
        </w:rPr>
        <w:t>During fiscal 2026, we repurchased 0.9 million of our ordinary shares for the aggregate amount of $225.0 million (exclusive of fees, commissions, and other charges) pursuant to authorizations under the Outgoing Repurchase Program. During fiscal 2025, we repurchased 0.9 million of our ordinary shares for the aggregate amount of $200.0 million (exclusive of fees, commissions, and other charges) pursuant to the authorizations under the Outgoing Repurchase Program. During fiscal 2024, we had no share repurchase activity pursuant to Outgoing Repurchase Program authorizations.</w:t>
      </w:r>
    </w:p>
    <w:p>
      <w:pPr>
        <w:spacing w:after="0" w:line="75" w:lineRule="exact"/>
        <w:rPr>
          <w:sz w:val="20"/>
          <w:szCs w:val="20"/>
          <w:color w:val="auto"/>
        </w:rPr>
      </w:pPr>
    </w:p>
    <w:p>
      <w:pPr>
        <w:ind w:right="80" w:firstLine="398"/>
        <w:spacing w:after="0" w:line="265" w:lineRule="auto"/>
        <w:rPr>
          <w:sz w:val="20"/>
          <w:szCs w:val="20"/>
          <w:color w:val="auto"/>
        </w:rPr>
      </w:pPr>
      <w:r>
        <w:rPr>
          <w:rFonts w:ascii="Times New Roman" w:cs="Times New Roman" w:eastAsia="Times New Roman" w:hAnsi="Times New Roman"/>
          <w:sz w:val="19"/>
          <w:szCs w:val="19"/>
          <w:color w:val="231F20"/>
        </w:rPr>
        <w:t>During fiscal 2026, we obtained 0.1 million of our ordinary shares in the aggregate amount of $12.5 million in connection with share-based compensation award programs. During fiscal 2025, we obtained 0.1 million of our ordinary shares in the aggregate amount of $11.3 million in connection with share-based compensation award programs. During fiscal 2024, we obtained 0.1 million of our ordinary shares in the aggregate amount of $11.8 million in connection with share-based compensation award programs.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16. SHARE-BASED COMPENSATION</w:t>
      </w:r>
    </w:p>
    <w:p>
      <w:pPr>
        <w:spacing w:after="0" w:line="138" w:lineRule="exact"/>
        <w:rPr>
          <w:sz w:val="20"/>
          <w:szCs w:val="20"/>
          <w:color w:val="auto"/>
        </w:rPr>
      </w:pPr>
    </w:p>
    <w:p>
      <w:pPr>
        <w:ind w:right="60" w:firstLine="306"/>
        <w:spacing w:after="0" w:line="265" w:lineRule="auto"/>
        <w:rPr>
          <w:sz w:val="20"/>
          <w:szCs w:val="20"/>
          <w:color w:val="auto"/>
        </w:rPr>
      </w:pPr>
      <w:r>
        <w:rPr>
          <w:rFonts w:ascii="Times New Roman" w:cs="Times New Roman" w:eastAsia="Times New Roman" w:hAnsi="Times New Roman"/>
          <w:sz w:val="19"/>
          <w:szCs w:val="19"/>
          <w:color w:val="231F20"/>
        </w:rPr>
        <w:t>We maintain a long-term incentive plan that makes available shares for grants, at the discretion of the Board of Directors or Compensation and Organizational Development Committee of the Board of Directors, to officers, directors, and key employees in the form of stock options, restricted shares, restricted share units, stock appreciation rights and share grants. We satisfy share award incentives through the issuance of new ordinary shares. In recent years, grants have been limited to stock options, restricted shares, and restricted share units.</w:t>
      </w:r>
    </w:p>
    <w:p>
      <w:pPr>
        <w:spacing w:after="0" w:line="75"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9"/>
          <w:szCs w:val="19"/>
          <w:color w:val="231F20"/>
        </w:rPr>
        <w:t>Stock option awards to employees generally vest and become nonforfeitable in increments of 25% per year over a four-year period, with full vesting four years after the date of grant. Historically, restricted stock awards to employee recipients generally cliff vested on the fourth anniversary of the grant date if the recipient remained in continuous employment through that date.</w:t>
      </w:r>
    </w:p>
    <w:p>
      <w:pPr>
        <w:ind w:right="160"/>
        <w:spacing w:after="0" w:line="258" w:lineRule="auto"/>
        <w:rPr>
          <w:sz w:val="20"/>
          <w:szCs w:val="20"/>
          <w:color w:val="auto"/>
        </w:rPr>
      </w:pPr>
      <w:r>
        <w:rPr>
          <w:rFonts w:ascii="Times New Roman" w:cs="Times New Roman" w:eastAsia="Times New Roman" w:hAnsi="Times New Roman"/>
          <w:sz w:val="19"/>
          <w:szCs w:val="19"/>
          <w:color w:val="231F20"/>
        </w:rPr>
        <w:t>Beginning with fiscal 2024 grants, Company restricted stock (and restricted stock units) generally cliff vest over a three year period after the grant date. However, employees who are grantees of restricted stock and have attained age 55 and been employed for at least five years at the time of the grant or meet these criteria during the term of the grant and are employed in the U.S. or in a few other foreign jurisdictions, or employees who have 25 years of service at the time of grant or meet that criterion during the term of the grant, will be subject to installment vesting rules over the applicable vesting period. Awards to certain employees in the U.S. or a few other jurisdictions may provide for continued vesting after “retirement,” if certain conditions are met. As of March 31, 2026, 1.7 million shares remained available for grant under the long-term incentive plan.</w:t>
      </w:r>
    </w:p>
    <w:p>
      <w:pPr>
        <w:spacing w:after="0" w:line="82" w:lineRule="exact"/>
        <w:rPr>
          <w:sz w:val="20"/>
          <w:szCs w:val="20"/>
          <w:color w:val="auto"/>
        </w:rPr>
      </w:pPr>
    </w:p>
    <w:p>
      <w:pPr>
        <w:ind w:right="80" w:firstLine="349"/>
        <w:spacing w:after="0" w:line="262" w:lineRule="auto"/>
        <w:rPr>
          <w:sz w:val="20"/>
          <w:szCs w:val="20"/>
          <w:color w:val="auto"/>
        </w:rPr>
      </w:pPr>
      <w:r>
        <w:rPr>
          <w:rFonts w:ascii="Times New Roman" w:cs="Times New Roman" w:eastAsia="Times New Roman" w:hAnsi="Times New Roman"/>
          <w:sz w:val="19"/>
          <w:szCs w:val="19"/>
          <w:color w:val="231F20"/>
        </w:rPr>
        <w:t>The fair value of share-based stock option compensation awards was estimated at their grant date using the Black-Scholes-Merton option pricing model. This model was developed for use in estimating the fair value of traded options that have no vesting restrictions and are fully transferable, characteristics that are not present in our option grants. If the model permitted consideration of the unique characteristics of employee stock options, the resulting estimate of the fair value of the stock options could be different. The value of the portion of the award that is ultimately expected to vest is recognized as expense over the requisite service periods in our Consolidated Statements of Income. The expense is classified as Cost of revenues or Selling, general, and administrative expenses in a manner consistent with the employee’s compensation and benefits.</w:t>
      </w:r>
    </w:p>
    <w:p>
      <w:pPr>
        <w:sectPr>
          <w:pgSz w:w="11880" w:h="15480" w:orient="portrait"/>
          <w:cols w:equalWidth="0" w:num="1">
            <w:col w:w="9960"/>
          </w:cols>
          <w:pgMar w:left="960" w:top="48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96</w:t>
      </w:r>
    </w:p>
    <w:p>
      <w:pPr>
        <w:sectPr>
          <w:pgSz w:w="11880" w:h="15480" w:orient="portrait"/>
          <w:cols w:equalWidth="0" w:num="1">
            <w:col w:w="9960"/>
          </w:cols>
          <w:pgMar w:left="960" w:top="483" w:right="960" w:bottom="0" w:gutter="0" w:footer="0" w:header="0"/>
          <w:type w:val="continuous"/>
        </w:sectPr>
      </w:pPr>
    </w:p>
    <w:bookmarkStart w:id="97" w:name="page98"/>
    <w:bookmarkEnd w:id="97"/>
    <w:p>
      <w:pPr>
        <w:jc w:val="center"/>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The following weighted-average assumptions were used for options granted during fiscal 2026, fiscal 2025 and fiscal 2024:</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400" w:type="dxa"/>
            <w:vAlign w:val="bottom"/>
            <w:tcBorders>
              <w:bottom w:val="single" w:sz="8" w:color="231F20"/>
            </w:tcBorders>
          </w:tcPr>
          <w:p>
            <w:pPr>
              <w:spacing w:after="0"/>
              <w:rPr>
                <w:sz w:val="20"/>
                <w:szCs w:val="20"/>
                <w:color w:val="auto"/>
              </w:rPr>
            </w:pPr>
          </w:p>
        </w:tc>
        <w:tc>
          <w:tcPr>
            <w:tcW w:w="2960" w:type="dxa"/>
            <w:vAlign w:val="bottom"/>
            <w:tcBorders>
              <w:bottom w:val="single" w:sz="8" w:color="231F20"/>
            </w:tcBorders>
          </w:tcPr>
          <w:p>
            <w:pPr>
              <w:jc w:val="right"/>
              <w:ind w:right="265"/>
              <w:spacing w:after="0"/>
              <w:rPr>
                <w:sz w:val="20"/>
                <w:szCs w:val="20"/>
                <w:color w:val="auto"/>
              </w:rPr>
            </w:pPr>
            <w:r>
              <w:rPr>
                <w:rFonts w:ascii="Times New Roman" w:cs="Times New Roman" w:eastAsia="Times New Roman" w:hAnsi="Times New Roman"/>
                <w:sz w:val="17"/>
                <w:szCs w:val="17"/>
                <w:color w:val="231F20"/>
              </w:rPr>
              <w:t>Fiscal 2026</w:t>
            </w:r>
          </w:p>
        </w:tc>
        <w:tc>
          <w:tcPr>
            <w:tcW w:w="1380" w:type="dxa"/>
            <w:vAlign w:val="bottom"/>
            <w:tcBorders>
              <w:bottom w:val="single" w:sz="8" w:color="231F20"/>
            </w:tcBorders>
          </w:tcPr>
          <w:p>
            <w:pPr>
              <w:jc w:val="right"/>
              <w:ind w:right="305"/>
              <w:spacing w:after="0"/>
              <w:rPr>
                <w:sz w:val="20"/>
                <w:szCs w:val="20"/>
                <w:color w:val="auto"/>
              </w:rPr>
            </w:pPr>
            <w:r>
              <w:rPr>
                <w:rFonts w:ascii="Times New Roman" w:cs="Times New Roman" w:eastAsia="Times New Roman" w:hAnsi="Times New Roman"/>
                <w:sz w:val="17"/>
                <w:szCs w:val="17"/>
                <w:color w:val="231F20"/>
              </w:rPr>
              <w:t>Fiscal 2025</w:t>
            </w:r>
          </w:p>
        </w:tc>
        <w:tc>
          <w:tcPr>
            <w:tcW w:w="1220" w:type="dxa"/>
            <w:vAlign w:val="bottom"/>
            <w:tcBorders>
              <w:bottom w:val="single" w:sz="8" w:color="231F20"/>
            </w:tcBorders>
          </w:tcPr>
          <w:p>
            <w:pPr>
              <w:jc w:val="right"/>
              <w:ind w:right="145"/>
              <w:spacing w:after="0"/>
              <w:rPr>
                <w:sz w:val="20"/>
                <w:szCs w:val="20"/>
                <w:color w:val="auto"/>
              </w:rPr>
            </w:pPr>
            <w:r>
              <w:rPr>
                <w:rFonts w:ascii="Times New Roman" w:cs="Times New Roman" w:eastAsia="Times New Roman" w:hAnsi="Times New Roman"/>
                <w:sz w:val="17"/>
                <w:szCs w:val="17"/>
                <w:color w:val="231F20"/>
              </w:rPr>
              <w:t>Fiscal 2024</w:t>
            </w:r>
          </w:p>
        </w:tc>
      </w:tr>
      <w:tr>
        <w:trPr>
          <w:trHeight w:val="215"/>
        </w:trPr>
        <w:tc>
          <w:tcPr>
            <w:tcW w:w="4400" w:type="dxa"/>
            <w:vAlign w:val="bottom"/>
          </w:tcPr>
          <w:p>
            <w:pPr>
              <w:ind w:left="60"/>
              <w:spacing w:after="0" w:line="215" w:lineRule="exact"/>
              <w:rPr>
                <w:sz w:val="20"/>
                <w:szCs w:val="20"/>
                <w:color w:val="auto"/>
              </w:rPr>
            </w:pPr>
            <w:r>
              <w:rPr>
                <w:rFonts w:ascii="Times New Roman" w:cs="Times New Roman" w:eastAsia="Times New Roman" w:hAnsi="Times New Roman"/>
                <w:sz w:val="19"/>
                <w:szCs w:val="19"/>
                <w:color w:val="231F20"/>
              </w:rPr>
              <w:t>Risk-free interest rate</w:t>
            </w:r>
          </w:p>
        </w:tc>
        <w:tc>
          <w:tcPr>
            <w:tcW w:w="2960" w:type="dxa"/>
            <w:vAlign w:val="bottom"/>
          </w:tcPr>
          <w:p>
            <w:pPr>
              <w:jc w:val="right"/>
              <w:ind w:right="65"/>
              <w:spacing w:after="0" w:line="215" w:lineRule="exact"/>
              <w:rPr>
                <w:sz w:val="20"/>
                <w:szCs w:val="20"/>
                <w:color w:val="auto"/>
              </w:rPr>
            </w:pPr>
            <w:r>
              <w:rPr>
                <w:rFonts w:ascii="Times New Roman" w:cs="Times New Roman" w:eastAsia="Times New Roman" w:hAnsi="Times New Roman"/>
                <w:sz w:val="19"/>
                <w:szCs w:val="19"/>
                <w:b w:val="1"/>
                <w:bCs w:val="1"/>
                <w:color w:val="231F20"/>
              </w:rPr>
              <w:t>4.02 %</w:t>
            </w:r>
          </w:p>
        </w:tc>
        <w:tc>
          <w:tcPr>
            <w:tcW w:w="1380" w:type="dxa"/>
            <w:vAlign w:val="bottom"/>
          </w:tcPr>
          <w:p>
            <w:pPr>
              <w:jc w:val="right"/>
              <w:ind w:right="85"/>
              <w:spacing w:after="0" w:line="215" w:lineRule="exact"/>
              <w:rPr>
                <w:sz w:val="20"/>
                <w:szCs w:val="20"/>
                <w:color w:val="auto"/>
              </w:rPr>
            </w:pPr>
            <w:r>
              <w:rPr>
                <w:rFonts w:ascii="Times New Roman" w:cs="Times New Roman" w:eastAsia="Times New Roman" w:hAnsi="Times New Roman"/>
                <w:sz w:val="19"/>
                <w:szCs w:val="19"/>
                <w:color w:val="231F20"/>
              </w:rPr>
              <w:t>4.21 %</w:t>
            </w:r>
          </w:p>
        </w:tc>
        <w:tc>
          <w:tcPr>
            <w:tcW w:w="1220" w:type="dxa"/>
            <w:vAlign w:val="bottom"/>
          </w:tcPr>
          <w:p>
            <w:pPr>
              <w:jc w:val="right"/>
              <w:spacing w:after="0" w:line="215" w:lineRule="exact"/>
              <w:rPr>
                <w:sz w:val="20"/>
                <w:szCs w:val="20"/>
                <w:color w:val="auto"/>
              </w:rPr>
            </w:pPr>
            <w:r>
              <w:rPr>
                <w:rFonts w:ascii="Times New Roman" w:cs="Times New Roman" w:eastAsia="Times New Roman" w:hAnsi="Times New Roman"/>
                <w:sz w:val="19"/>
                <w:szCs w:val="19"/>
                <w:color w:val="231F20"/>
              </w:rPr>
              <w:t>3.59 %</w:t>
            </w:r>
          </w:p>
        </w:tc>
      </w:tr>
      <w:tr>
        <w:trPr>
          <w:trHeight w:val="257"/>
        </w:trPr>
        <w:tc>
          <w:tcPr>
            <w:tcW w:w="440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Expected life of options</w:t>
            </w:r>
          </w:p>
        </w:tc>
        <w:tc>
          <w:tcPr>
            <w:tcW w:w="2960" w:type="dxa"/>
            <w:vAlign w:val="bottom"/>
          </w:tcPr>
          <w:p>
            <w:pPr>
              <w:jc w:val="right"/>
              <w:ind w:right="85"/>
              <w:spacing w:after="0"/>
              <w:rPr>
                <w:sz w:val="20"/>
                <w:szCs w:val="20"/>
                <w:color w:val="auto"/>
              </w:rPr>
            </w:pPr>
            <w:r>
              <w:rPr>
                <w:rFonts w:ascii="Times New Roman" w:cs="Times New Roman" w:eastAsia="Times New Roman" w:hAnsi="Times New Roman"/>
                <w:sz w:val="19"/>
                <w:szCs w:val="19"/>
                <w:b w:val="1"/>
                <w:bCs w:val="1"/>
                <w:color w:val="231F20"/>
              </w:rPr>
              <w:t>6.1 years</w:t>
            </w:r>
          </w:p>
        </w:tc>
        <w:tc>
          <w:tcPr>
            <w:tcW w:w="1380" w:type="dxa"/>
            <w:vAlign w:val="bottom"/>
          </w:tcPr>
          <w:p>
            <w:pPr>
              <w:jc w:val="right"/>
              <w:ind w:right="125"/>
              <w:spacing w:after="0"/>
              <w:rPr>
                <w:sz w:val="20"/>
                <w:szCs w:val="20"/>
                <w:color w:val="auto"/>
              </w:rPr>
            </w:pPr>
            <w:r>
              <w:rPr>
                <w:rFonts w:ascii="Times New Roman" w:cs="Times New Roman" w:eastAsia="Times New Roman" w:hAnsi="Times New Roman"/>
                <w:sz w:val="19"/>
                <w:szCs w:val="19"/>
                <w:color w:val="231F20"/>
              </w:rPr>
              <w:t>6.1 years</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6.0 years</w:t>
            </w:r>
          </w:p>
        </w:tc>
      </w:tr>
      <w:tr>
        <w:trPr>
          <w:trHeight w:val="267"/>
        </w:trPr>
        <w:tc>
          <w:tcPr>
            <w:tcW w:w="440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Expected dividend yield of stock</w:t>
            </w:r>
          </w:p>
        </w:tc>
        <w:tc>
          <w:tcPr>
            <w:tcW w:w="2960" w:type="dxa"/>
            <w:vAlign w:val="bottom"/>
          </w:tcPr>
          <w:p>
            <w:pPr>
              <w:jc w:val="right"/>
              <w:ind w:right="65"/>
              <w:spacing w:after="0"/>
              <w:rPr>
                <w:sz w:val="20"/>
                <w:szCs w:val="20"/>
                <w:color w:val="auto"/>
              </w:rPr>
            </w:pPr>
            <w:r>
              <w:rPr>
                <w:rFonts w:ascii="Times New Roman" w:cs="Times New Roman" w:eastAsia="Times New Roman" w:hAnsi="Times New Roman"/>
                <w:sz w:val="19"/>
                <w:szCs w:val="19"/>
                <w:b w:val="1"/>
                <w:bCs w:val="1"/>
                <w:color w:val="231F20"/>
              </w:rPr>
              <w:t>1.12 %</w:t>
            </w:r>
          </w:p>
        </w:tc>
        <w:tc>
          <w:tcPr>
            <w:tcW w:w="1380" w:type="dxa"/>
            <w:vAlign w:val="bottom"/>
          </w:tcPr>
          <w:p>
            <w:pPr>
              <w:jc w:val="right"/>
              <w:ind w:right="85"/>
              <w:spacing w:after="0"/>
              <w:rPr>
                <w:sz w:val="20"/>
                <w:szCs w:val="20"/>
                <w:color w:val="auto"/>
              </w:rPr>
            </w:pPr>
            <w:r>
              <w:rPr>
                <w:rFonts w:ascii="Times New Roman" w:cs="Times New Roman" w:eastAsia="Times New Roman" w:hAnsi="Times New Roman"/>
                <w:sz w:val="19"/>
                <w:szCs w:val="19"/>
                <w:color w:val="231F20"/>
              </w:rPr>
              <w:t>0.94 %</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1.08 %</w:t>
            </w:r>
          </w:p>
        </w:tc>
      </w:tr>
      <w:tr>
        <w:trPr>
          <w:trHeight w:val="257"/>
        </w:trPr>
        <w:tc>
          <w:tcPr>
            <w:tcW w:w="440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Expected volatility of stock</w:t>
            </w:r>
          </w:p>
        </w:tc>
        <w:tc>
          <w:tcPr>
            <w:tcW w:w="2960" w:type="dxa"/>
            <w:vAlign w:val="bottom"/>
          </w:tcPr>
          <w:p>
            <w:pPr>
              <w:jc w:val="right"/>
              <w:ind w:right="65"/>
              <w:spacing w:after="0"/>
              <w:rPr>
                <w:sz w:val="20"/>
                <w:szCs w:val="20"/>
                <w:color w:val="auto"/>
              </w:rPr>
            </w:pPr>
            <w:r>
              <w:rPr>
                <w:rFonts w:ascii="Times New Roman" w:cs="Times New Roman" w:eastAsia="Times New Roman" w:hAnsi="Times New Roman"/>
                <w:sz w:val="19"/>
                <w:szCs w:val="19"/>
                <w:b w:val="1"/>
                <w:bCs w:val="1"/>
                <w:color w:val="231F20"/>
              </w:rPr>
              <w:t>28.16 %</w:t>
            </w:r>
          </w:p>
        </w:tc>
        <w:tc>
          <w:tcPr>
            <w:tcW w:w="1380" w:type="dxa"/>
            <w:vAlign w:val="bottom"/>
          </w:tcPr>
          <w:p>
            <w:pPr>
              <w:jc w:val="right"/>
              <w:ind w:right="85"/>
              <w:spacing w:after="0"/>
              <w:rPr>
                <w:sz w:val="20"/>
                <w:szCs w:val="20"/>
                <w:color w:val="auto"/>
              </w:rPr>
            </w:pPr>
            <w:r>
              <w:rPr>
                <w:rFonts w:ascii="Times New Roman" w:cs="Times New Roman" w:eastAsia="Times New Roman" w:hAnsi="Times New Roman"/>
                <w:sz w:val="19"/>
                <w:szCs w:val="19"/>
                <w:color w:val="231F20"/>
              </w:rPr>
              <w:t>28.42 %</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27.92 %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-650875</wp:posOffset>
            </wp:positionV>
            <wp:extent cx="171640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2">
                      <a:extLst>
                        <a:ext uri="{28A0092B-C50C-407E-A947-70E740481C1C}"/>
                      </a:extLst>
                    </a:blip>
                    <a:srcRect/>
                    <a:stretch>
                      <a:fillRect/>
                    </a:stretch>
                  </pic:blipFill>
                  <pic:spPr bwMode="auto">
                    <a:xfrm>
                      <a:off x="0" y="0"/>
                      <a:ext cx="1716405" cy="25400"/>
                    </a:xfrm>
                    <a:prstGeom prst="rect">
                      <a:avLst/>
                    </a:prstGeom>
                    <a:noFill/>
                  </pic:spPr>
                </pic:pic>
              </a:graphicData>
            </a:graphic>
          </wp:anchor>
        </w:drawing>
      </w:r>
    </w:p>
    <w:p>
      <w:pPr>
        <w:spacing w:after="0" w:line="146" w:lineRule="exact"/>
        <w:rPr>
          <w:sz w:val="20"/>
          <w:szCs w:val="20"/>
          <w:color w:val="auto"/>
        </w:rPr>
      </w:pPr>
    </w:p>
    <w:p>
      <w:pPr>
        <w:ind w:firstLine="349"/>
        <w:spacing w:after="0" w:line="261" w:lineRule="auto"/>
        <w:rPr>
          <w:sz w:val="20"/>
          <w:szCs w:val="20"/>
          <w:color w:val="auto"/>
        </w:rPr>
      </w:pPr>
      <w:r>
        <w:rPr>
          <w:rFonts w:ascii="Times New Roman" w:cs="Times New Roman" w:eastAsia="Times New Roman" w:hAnsi="Times New Roman"/>
          <w:sz w:val="19"/>
          <w:szCs w:val="19"/>
          <w:color w:val="231F20"/>
        </w:rPr>
        <w:t>The risk-free interest rate is based upon the U.S. Treasury yield curve. The expected life of options is reflective of historical experience, vesting schedules and contractual terms. The expected dividend yield of stock represents our best estimate of the expected future dividend yield. The expected volatility of stock is derived by referring to our historical stock prices over a time frame similar to that of the expected life of the grant. An estimated forfeiture rate of 2.21%, 2.07% and 2.22% was applied in fiscal 2026, 2025 and 2024 respectively. This rate is calculated based upon historical activity and represents an estimate of the granted options not expected to vest. If actual forfeitures differ from this calculated rate, we may be required to make additional adjustments to compensation expense in future periods. The assumptions used above are reviewed at the time of each significant option grant, or at least annually.</w:t>
      </w:r>
    </w:p>
    <w:p>
      <w:pPr>
        <w:spacing w:after="0" w:line="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A summary of share option activity is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ind w:right="287"/>
              <w:spacing w:after="0"/>
              <w:rPr>
                <w:sz w:val="20"/>
                <w:szCs w:val="20"/>
                <w:color w:val="auto"/>
              </w:rPr>
            </w:pPr>
            <w:r>
              <w:rPr>
                <w:rFonts w:ascii="Times New Roman" w:cs="Times New Roman" w:eastAsia="Times New Roman" w:hAnsi="Times New Roman"/>
                <w:sz w:val="17"/>
                <w:szCs w:val="17"/>
                <w:color w:val="231F20"/>
              </w:rPr>
              <w:t>Weighted</w:t>
            </w:r>
          </w:p>
        </w:tc>
        <w:tc>
          <w:tcPr>
            <w:tcW w:w="1300" w:type="dxa"/>
            <w:vAlign w:val="bottom"/>
          </w:tcPr>
          <w:p>
            <w:pPr>
              <w:jc w:val="center"/>
              <w:ind w:right="9"/>
              <w:spacing w:after="0"/>
              <w:rPr>
                <w:sz w:val="20"/>
                <w:szCs w:val="20"/>
                <w:color w:val="auto"/>
              </w:rPr>
            </w:pPr>
            <w:r>
              <w:rPr>
                <w:rFonts w:ascii="Times New Roman" w:cs="Times New Roman" w:eastAsia="Times New Roman" w:hAnsi="Times New Roman"/>
                <w:sz w:val="17"/>
                <w:szCs w:val="17"/>
                <w:color w:val="231F20"/>
              </w:rPr>
              <w:t>Average</w:t>
            </w:r>
          </w:p>
        </w:tc>
        <w:tc>
          <w:tcPr>
            <w:tcW w:w="220" w:type="dxa"/>
            <w:vAlign w:val="bottom"/>
          </w:tcPr>
          <w:p>
            <w:pPr>
              <w:spacing w:after="0"/>
              <w:rPr>
                <w:sz w:val="16"/>
                <w:szCs w:val="16"/>
                <w:color w:val="auto"/>
              </w:rPr>
            </w:pPr>
          </w:p>
        </w:tc>
        <w:tc>
          <w:tcPr>
            <w:tcW w:w="1140" w:type="dxa"/>
            <w:vAlign w:val="bottom"/>
          </w:tcPr>
          <w:p>
            <w:pPr>
              <w:jc w:val="center"/>
              <w:ind w:right="89"/>
              <w:spacing w:after="0"/>
              <w:rPr>
                <w:sz w:val="20"/>
                <w:szCs w:val="20"/>
                <w:color w:val="auto"/>
              </w:rPr>
            </w:pPr>
            <w:r>
              <w:rPr>
                <w:rFonts w:ascii="Times New Roman" w:cs="Times New Roman" w:eastAsia="Times New Roman" w:hAnsi="Times New Roman"/>
                <w:sz w:val="17"/>
                <w:szCs w:val="17"/>
                <w:color w:val="231F20"/>
              </w:rPr>
              <w:t>Aggregate</w:t>
            </w:r>
          </w:p>
        </w:tc>
        <w:tc>
          <w:tcPr>
            <w:tcW w:w="0" w:type="dxa"/>
            <w:vAlign w:val="bottom"/>
          </w:tcPr>
          <w:p>
            <w:pPr>
              <w:spacing w:after="0"/>
              <w:rPr>
                <w:sz w:val="1"/>
                <w:szCs w:val="1"/>
                <w:color w:val="auto"/>
              </w:rPr>
            </w:pPr>
          </w:p>
        </w:tc>
      </w:tr>
      <w:tr>
        <w:trPr>
          <w:trHeight w:val="175"/>
        </w:trPr>
        <w:tc>
          <w:tcPr>
            <w:tcW w:w="4420" w:type="dxa"/>
            <w:vAlign w:val="bottom"/>
          </w:tcPr>
          <w:p>
            <w:pPr>
              <w:spacing w:after="0"/>
              <w:rPr>
                <w:sz w:val="15"/>
                <w:szCs w:val="15"/>
                <w:color w:val="auto"/>
              </w:rPr>
            </w:pPr>
          </w:p>
        </w:tc>
        <w:tc>
          <w:tcPr>
            <w:tcW w:w="1400" w:type="dxa"/>
            <w:vAlign w:val="bottom"/>
            <w:vMerge w:val="restart"/>
          </w:tcPr>
          <w:p>
            <w:pPr>
              <w:jc w:val="right"/>
              <w:ind w:right="245"/>
              <w:spacing w:after="0"/>
              <w:rPr>
                <w:sz w:val="20"/>
                <w:szCs w:val="20"/>
                <w:color w:val="auto"/>
              </w:rPr>
            </w:pPr>
            <w:r>
              <w:rPr>
                <w:rFonts w:ascii="Times New Roman" w:cs="Times New Roman" w:eastAsia="Times New Roman" w:hAnsi="Times New Roman"/>
                <w:sz w:val="17"/>
                <w:szCs w:val="17"/>
                <w:color w:val="231F20"/>
              </w:rPr>
              <w:t>Number of</w:t>
            </w:r>
          </w:p>
        </w:tc>
        <w:tc>
          <w:tcPr>
            <w:tcW w:w="240" w:type="dxa"/>
            <w:vAlign w:val="bottom"/>
          </w:tcPr>
          <w:p>
            <w:pPr>
              <w:spacing w:after="0"/>
              <w:rPr>
                <w:sz w:val="15"/>
                <w:szCs w:val="15"/>
                <w:color w:val="auto"/>
              </w:rPr>
            </w:pPr>
          </w:p>
        </w:tc>
        <w:tc>
          <w:tcPr>
            <w:tcW w:w="1220" w:type="dxa"/>
            <w:vAlign w:val="bottom"/>
          </w:tcPr>
          <w:p>
            <w:pPr>
              <w:jc w:val="center"/>
              <w:ind w:right="267"/>
              <w:spacing w:after="0" w:line="175" w:lineRule="exact"/>
              <w:rPr>
                <w:sz w:val="20"/>
                <w:szCs w:val="20"/>
                <w:color w:val="auto"/>
              </w:rPr>
            </w:pPr>
            <w:r>
              <w:rPr>
                <w:rFonts w:ascii="Times New Roman" w:cs="Times New Roman" w:eastAsia="Times New Roman" w:hAnsi="Times New Roman"/>
                <w:sz w:val="17"/>
                <w:szCs w:val="17"/>
                <w:color w:val="231F20"/>
              </w:rPr>
              <w:t>Average</w:t>
            </w:r>
          </w:p>
        </w:tc>
        <w:tc>
          <w:tcPr>
            <w:tcW w:w="1300" w:type="dxa"/>
            <w:vAlign w:val="bottom"/>
          </w:tcPr>
          <w:p>
            <w:pPr>
              <w:jc w:val="center"/>
              <w:ind w:right="9"/>
              <w:spacing w:after="0" w:line="175" w:lineRule="exact"/>
              <w:rPr>
                <w:sz w:val="20"/>
                <w:szCs w:val="20"/>
                <w:color w:val="auto"/>
              </w:rPr>
            </w:pPr>
            <w:r>
              <w:rPr>
                <w:rFonts w:ascii="Times New Roman" w:cs="Times New Roman" w:eastAsia="Times New Roman" w:hAnsi="Times New Roman"/>
                <w:sz w:val="17"/>
                <w:szCs w:val="17"/>
                <w:color w:val="231F20"/>
              </w:rPr>
              <w:t>Remaining</w:t>
            </w:r>
          </w:p>
        </w:tc>
        <w:tc>
          <w:tcPr>
            <w:tcW w:w="220" w:type="dxa"/>
            <w:vAlign w:val="bottom"/>
          </w:tcPr>
          <w:p>
            <w:pPr>
              <w:spacing w:after="0"/>
              <w:rPr>
                <w:sz w:val="15"/>
                <w:szCs w:val="15"/>
                <w:color w:val="auto"/>
              </w:rPr>
            </w:pPr>
          </w:p>
        </w:tc>
        <w:tc>
          <w:tcPr>
            <w:tcW w:w="1140" w:type="dxa"/>
            <w:vAlign w:val="bottom"/>
          </w:tcPr>
          <w:p>
            <w:pPr>
              <w:jc w:val="center"/>
              <w:ind w:right="89"/>
              <w:spacing w:after="0" w:line="175" w:lineRule="exact"/>
              <w:rPr>
                <w:sz w:val="20"/>
                <w:szCs w:val="20"/>
                <w:color w:val="auto"/>
              </w:rPr>
            </w:pPr>
            <w:r>
              <w:rPr>
                <w:rFonts w:ascii="Times New Roman" w:cs="Times New Roman" w:eastAsia="Times New Roman" w:hAnsi="Times New Roman"/>
                <w:sz w:val="17"/>
                <w:szCs w:val="17"/>
                <w:color w:val="231F20"/>
              </w:rPr>
              <w:t>Intrinsic</w:t>
            </w:r>
          </w:p>
        </w:tc>
        <w:tc>
          <w:tcPr>
            <w:tcW w:w="0" w:type="dxa"/>
            <w:vAlign w:val="bottom"/>
          </w:tcPr>
          <w:p>
            <w:pPr>
              <w:spacing w:after="0"/>
              <w:rPr>
                <w:sz w:val="1"/>
                <w:szCs w:val="1"/>
                <w:color w:val="auto"/>
              </w:rPr>
            </w:pPr>
          </w:p>
        </w:tc>
      </w:tr>
      <w:tr>
        <w:trPr>
          <w:trHeight w:val="175"/>
        </w:trPr>
        <w:tc>
          <w:tcPr>
            <w:tcW w:w="442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center"/>
              <w:ind w:right="287"/>
              <w:spacing w:after="0" w:line="175" w:lineRule="exact"/>
              <w:rPr>
                <w:sz w:val="20"/>
                <w:szCs w:val="20"/>
                <w:color w:val="auto"/>
              </w:rPr>
            </w:pPr>
            <w:r>
              <w:rPr>
                <w:rFonts w:ascii="Times New Roman" w:cs="Times New Roman" w:eastAsia="Times New Roman" w:hAnsi="Times New Roman"/>
                <w:sz w:val="17"/>
                <w:szCs w:val="17"/>
                <w:color w:val="231F20"/>
              </w:rPr>
              <w:t>Exercise</w:t>
            </w:r>
          </w:p>
        </w:tc>
        <w:tc>
          <w:tcPr>
            <w:tcW w:w="130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color w:val="231F20"/>
              </w:rPr>
              <w:t>Contractual</w:t>
            </w:r>
          </w:p>
        </w:tc>
        <w:tc>
          <w:tcPr>
            <w:tcW w:w="220" w:type="dxa"/>
            <w:vAlign w:val="bottom"/>
          </w:tcPr>
          <w:p>
            <w:pPr>
              <w:spacing w:after="0"/>
              <w:rPr>
                <w:sz w:val="15"/>
                <w:szCs w:val="15"/>
                <w:color w:val="auto"/>
              </w:rPr>
            </w:pPr>
          </w:p>
        </w:tc>
        <w:tc>
          <w:tcPr>
            <w:tcW w:w="1140" w:type="dxa"/>
            <w:vAlign w:val="bottom"/>
          </w:tcPr>
          <w:p>
            <w:pPr>
              <w:jc w:val="center"/>
              <w:ind w:right="89"/>
              <w:spacing w:after="0" w:line="175" w:lineRule="exact"/>
              <w:rPr>
                <w:sz w:val="20"/>
                <w:szCs w:val="20"/>
                <w:color w:val="auto"/>
              </w:rPr>
            </w:pPr>
            <w:r>
              <w:rPr>
                <w:rFonts w:ascii="Times New Roman" w:cs="Times New Roman" w:eastAsia="Times New Roman" w:hAnsi="Times New Roman"/>
                <w:sz w:val="17"/>
                <w:szCs w:val="17"/>
                <w:color w:val="231F20"/>
                <w:w w:val="98"/>
              </w:rPr>
              <w:t>Value</w:t>
            </w:r>
          </w:p>
        </w:tc>
        <w:tc>
          <w:tcPr>
            <w:tcW w:w="0" w:type="dxa"/>
            <w:vAlign w:val="bottom"/>
          </w:tcPr>
          <w:p>
            <w:pPr>
              <w:spacing w:after="0"/>
              <w:rPr>
                <w:sz w:val="1"/>
                <w:szCs w:val="1"/>
                <w:color w:val="auto"/>
              </w:rPr>
            </w:pPr>
          </w:p>
        </w:tc>
      </w:tr>
      <w:tr>
        <w:trPr>
          <w:trHeight w:val="231"/>
        </w:trPr>
        <w:tc>
          <w:tcPr>
            <w:tcW w:w="4420" w:type="dxa"/>
            <w:vAlign w:val="bottom"/>
            <w:tcBorders>
              <w:bottom w:val="single" w:sz="8" w:color="231F20"/>
            </w:tcBorders>
          </w:tcPr>
          <w:p>
            <w:pPr>
              <w:spacing w:after="0"/>
              <w:rPr>
                <w:sz w:val="20"/>
                <w:szCs w:val="20"/>
                <w:color w:val="auto"/>
              </w:rPr>
            </w:pPr>
          </w:p>
        </w:tc>
        <w:tc>
          <w:tcPr>
            <w:tcW w:w="1400" w:type="dxa"/>
            <w:vAlign w:val="bottom"/>
            <w:tcBorders>
              <w:bottom w:val="single" w:sz="8" w:color="231F20"/>
            </w:tcBorders>
          </w:tcPr>
          <w:p>
            <w:pPr>
              <w:jc w:val="right"/>
              <w:ind w:right="365"/>
              <w:spacing w:after="0"/>
              <w:rPr>
                <w:sz w:val="20"/>
                <w:szCs w:val="20"/>
                <w:color w:val="auto"/>
              </w:rPr>
            </w:pPr>
            <w:r>
              <w:rPr>
                <w:rFonts w:ascii="Times New Roman" w:cs="Times New Roman" w:eastAsia="Times New Roman" w:hAnsi="Times New Roman"/>
                <w:sz w:val="17"/>
                <w:szCs w:val="17"/>
                <w:color w:val="231F20"/>
              </w:rPr>
              <w:t>Options</w:t>
            </w:r>
          </w:p>
        </w:tc>
        <w:tc>
          <w:tcPr>
            <w:tcW w:w="240" w:type="dxa"/>
            <w:vAlign w:val="bottom"/>
            <w:tcBorders>
              <w:bottom w:val="single" w:sz="8" w:color="231F20"/>
            </w:tcBorders>
          </w:tcPr>
          <w:p>
            <w:pPr>
              <w:spacing w:after="0"/>
              <w:rPr>
                <w:sz w:val="20"/>
                <w:szCs w:val="20"/>
                <w:color w:val="auto"/>
              </w:rPr>
            </w:pPr>
          </w:p>
        </w:tc>
        <w:tc>
          <w:tcPr>
            <w:tcW w:w="1220" w:type="dxa"/>
            <w:vAlign w:val="bottom"/>
            <w:tcBorders>
              <w:bottom w:val="single" w:sz="8" w:color="231F20"/>
            </w:tcBorders>
          </w:tcPr>
          <w:p>
            <w:pPr>
              <w:jc w:val="center"/>
              <w:ind w:right="287"/>
              <w:spacing w:after="0"/>
              <w:rPr>
                <w:sz w:val="20"/>
                <w:szCs w:val="20"/>
                <w:color w:val="auto"/>
              </w:rPr>
            </w:pPr>
            <w:r>
              <w:rPr>
                <w:rFonts w:ascii="Times New Roman" w:cs="Times New Roman" w:eastAsia="Times New Roman" w:hAnsi="Times New Roman"/>
                <w:sz w:val="17"/>
                <w:szCs w:val="17"/>
                <w:color w:val="231F20"/>
              </w:rPr>
              <w:t>Price</w:t>
            </w:r>
          </w:p>
        </w:tc>
        <w:tc>
          <w:tcPr>
            <w:tcW w:w="13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7"/>
                <w:szCs w:val="17"/>
                <w:color w:val="231F20"/>
              </w:rPr>
              <w:t>Term</w:t>
            </w:r>
          </w:p>
        </w:tc>
        <w:tc>
          <w:tcPr>
            <w:tcW w:w="220" w:type="dxa"/>
            <w:vAlign w:val="bottom"/>
            <w:tcBorders>
              <w:bottom w:val="single" w:sz="8" w:color="231F20"/>
            </w:tcBorders>
          </w:tcPr>
          <w:p>
            <w:pPr>
              <w:spacing w:after="0"/>
              <w:rPr>
                <w:sz w:val="20"/>
                <w:szCs w:val="20"/>
                <w:color w:val="auto"/>
              </w:rPr>
            </w:pPr>
          </w:p>
        </w:tc>
        <w:tc>
          <w:tcPr>
            <w:tcW w:w="1140" w:type="dxa"/>
            <w:vAlign w:val="bottom"/>
            <w:tcBorders>
              <w:bottom w:val="single" w:sz="8" w:color="231F20"/>
            </w:tcBorders>
          </w:tcPr>
          <w:p>
            <w:pPr>
              <w:jc w:val="center"/>
              <w:ind w:right="89"/>
              <w:spacing w:after="0"/>
              <w:rPr>
                <w:sz w:val="20"/>
                <w:szCs w:val="20"/>
                <w:color w:val="auto"/>
              </w:rPr>
            </w:pPr>
            <w:r>
              <w:rPr>
                <w:rFonts w:ascii="Times New Roman" w:cs="Times New Roman" w:eastAsia="Times New Roman" w:hAnsi="Times New Roman"/>
                <w:sz w:val="17"/>
                <w:szCs w:val="17"/>
                <w:color w:val="231F20"/>
              </w:rPr>
              <w:t>(in millions)</w:t>
            </w:r>
          </w:p>
        </w:tc>
        <w:tc>
          <w:tcPr>
            <w:tcW w:w="0" w:type="dxa"/>
            <w:vAlign w:val="bottom"/>
          </w:tcPr>
          <w:p>
            <w:pPr>
              <w:spacing w:after="0"/>
              <w:rPr>
                <w:sz w:val="1"/>
                <w:szCs w:val="1"/>
                <w:color w:val="auto"/>
              </w:rPr>
            </w:pPr>
          </w:p>
        </w:tc>
      </w:tr>
      <w:tr>
        <w:trPr>
          <w:trHeight w:val="215"/>
        </w:trPr>
        <w:tc>
          <w:tcPr>
            <w:tcW w:w="4420" w:type="dxa"/>
            <w:vAlign w:val="bottom"/>
          </w:tcPr>
          <w:p>
            <w:pPr>
              <w:ind w:left="60"/>
              <w:spacing w:after="0" w:line="215" w:lineRule="exact"/>
              <w:rPr>
                <w:sz w:val="20"/>
                <w:szCs w:val="20"/>
                <w:color w:val="auto"/>
              </w:rPr>
            </w:pPr>
            <w:r>
              <w:rPr>
                <w:rFonts w:ascii="Times New Roman" w:cs="Times New Roman" w:eastAsia="Times New Roman" w:hAnsi="Times New Roman"/>
                <w:sz w:val="19"/>
                <w:szCs w:val="19"/>
                <w:b w:val="1"/>
                <w:bCs w:val="1"/>
                <w:color w:val="231F20"/>
              </w:rPr>
              <w:t>Outstanding at March 31, 2025</w:t>
            </w:r>
          </w:p>
        </w:tc>
        <w:tc>
          <w:tcPr>
            <w:tcW w:w="1400" w:type="dxa"/>
            <w:vAlign w:val="bottom"/>
          </w:tcPr>
          <w:p>
            <w:pPr>
              <w:jc w:val="right"/>
              <w:ind w:right="45"/>
              <w:spacing w:after="0" w:line="215" w:lineRule="exact"/>
              <w:rPr>
                <w:sz w:val="20"/>
                <w:szCs w:val="20"/>
                <w:color w:val="auto"/>
              </w:rPr>
            </w:pPr>
            <w:r>
              <w:rPr>
                <w:rFonts w:ascii="Times New Roman" w:cs="Times New Roman" w:eastAsia="Times New Roman" w:hAnsi="Times New Roman"/>
                <w:sz w:val="19"/>
                <w:szCs w:val="19"/>
                <w:color w:val="231F20"/>
              </w:rPr>
              <w:t>1,823,883</w:t>
            </w:r>
          </w:p>
        </w:tc>
        <w:tc>
          <w:tcPr>
            <w:tcW w:w="240" w:type="dxa"/>
            <w:vAlign w:val="bottom"/>
          </w:tcPr>
          <w:p>
            <w:pPr>
              <w:jc w:val="right"/>
              <w:spacing w:after="0" w:line="215" w:lineRule="exact"/>
              <w:rPr>
                <w:sz w:val="20"/>
                <w:szCs w:val="20"/>
                <w:color w:val="auto"/>
              </w:rPr>
            </w:pPr>
            <w:r>
              <w:rPr>
                <w:rFonts w:ascii="Times New Roman" w:cs="Times New Roman" w:eastAsia="Times New Roman" w:hAnsi="Times New Roman"/>
                <w:sz w:val="19"/>
                <w:szCs w:val="19"/>
                <w:color w:val="231F20"/>
              </w:rPr>
              <w:t>$</w:t>
            </w:r>
          </w:p>
        </w:tc>
        <w:tc>
          <w:tcPr>
            <w:tcW w:w="1220" w:type="dxa"/>
            <w:vAlign w:val="bottom"/>
          </w:tcPr>
          <w:p>
            <w:pPr>
              <w:jc w:val="right"/>
              <w:ind w:right="127"/>
              <w:spacing w:after="0" w:line="215" w:lineRule="exact"/>
              <w:rPr>
                <w:sz w:val="20"/>
                <w:szCs w:val="20"/>
                <w:color w:val="auto"/>
              </w:rPr>
            </w:pPr>
            <w:r>
              <w:rPr>
                <w:rFonts w:ascii="Times New Roman" w:cs="Times New Roman" w:eastAsia="Times New Roman" w:hAnsi="Times New Roman"/>
                <w:sz w:val="19"/>
                <w:szCs w:val="19"/>
                <w:color w:val="231F20"/>
              </w:rPr>
              <w:t>185.51</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4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Granted</w:t>
            </w:r>
          </w:p>
        </w:tc>
        <w:tc>
          <w:tcPr>
            <w:tcW w:w="1400" w:type="dxa"/>
            <w:vAlign w:val="bottom"/>
          </w:tcPr>
          <w:p>
            <w:pPr>
              <w:jc w:val="right"/>
              <w:ind w:right="45"/>
              <w:spacing w:after="0"/>
              <w:rPr>
                <w:sz w:val="20"/>
                <w:szCs w:val="20"/>
                <w:color w:val="auto"/>
              </w:rPr>
            </w:pPr>
            <w:r>
              <w:rPr>
                <w:rFonts w:ascii="Times New Roman" w:cs="Times New Roman" w:eastAsia="Times New Roman" w:hAnsi="Times New Roman"/>
                <w:sz w:val="19"/>
                <w:szCs w:val="19"/>
                <w:b w:val="1"/>
                <w:bCs w:val="1"/>
                <w:color w:val="231F20"/>
              </w:rPr>
              <w:t>187,058</w:t>
            </w:r>
          </w:p>
        </w:tc>
        <w:tc>
          <w:tcPr>
            <w:tcW w:w="240" w:type="dxa"/>
            <w:vAlign w:val="bottom"/>
          </w:tcPr>
          <w:p>
            <w:pPr>
              <w:spacing w:after="0"/>
              <w:rPr>
                <w:sz w:val="21"/>
                <w:szCs w:val="21"/>
                <w:color w:val="auto"/>
              </w:rPr>
            </w:pPr>
          </w:p>
        </w:tc>
        <w:tc>
          <w:tcPr>
            <w:tcW w:w="1220" w:type="dxa"/>
            <w:vAlign w:val="bottom"/>
          </w:tcPr>
          <w:p>
            <w:pPr>
              <w:jc w:val="right"/>
              <w:ind w:right="127"/>
              <w:spacing w:after="0"/>
              <w:rPr>
                <w:sz w:val="20"/>
                <w:szCs w:val="20"/>
                <w:color w:val="auto"/>
              </w:rPr>
            </w:pPr>
            <w:r>
              <w:rPr>
                <w:rFonts w:ascii="Times New Roman" w:cs="Times New Roman" w:eastAsia="Times New Roman" w:hAnsi="Times New Roman"/>
                <w:sz w:val="19"/>
                <w:szCs w:val="19"/>
                <w:b w:val="1"/>
                <w:bCs w:val="1"/>
                <w:color w:val="231F20"/>
              </w:rPr>
              <w:t>265.21</w:t>
            </w: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4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Exercised</w:t>
            </w: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(287,514)</w:t>
            </w:r>
          </w:p>
        </w:tc>
        <w:tc>
          <w:tcPr>
            <w:tcW w:w="240" w:type="dxa"/>
            <w:vAlign w:val="bottom"/>
          </w:tcPr>
          <w:p>
            <w:pPr>
              <w:spacing w:after="0"/>
              <w:rPr>
                <w:sz w:val="21"/>
                <w:szCs w:val="21"/>
                <w:color w:val="auto"/>
              </w:rPr>
            </w:pPr>
          </w:p>
        </w:tc>
        <w:tc>
          <w:tcPr>
            <w:tcW w:w="1220" w:type="dxa"/>
            <w:vAlign w:val="bottom"/>
          </w:tcPr>
          <w:p>
            <w:pPr>
              <w:jc w:val="right"/>
              <w:ind w:right="127"/>
              <w:spacing w:after="0"/>
              <w:rPr>
                <w:sz w:val="20"/>
                <w:szCs w:val="20"/>
                <w:color w:val="auto"/>
              </w:rPr>
            </w:pPr>
            <w:r>
              <w:rPr>
                <w:rFonts w:ascii="Times New Roman" w:cs="Times New Roman" w:eastAsia="Times New Roman" w:hAnsi="Times New Roman"/>
                <w:sz w:val="19"/>
                <w:szCs w:val="19"/>
                <w:b w:val="1"/>
                <w:bCs w:val="1"/>
                <w:color w:val="231F20"/>
              </w:rPr>
              <w:t>123.46</w:t>
            </w: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4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Forfeited</w:t>
            </w:r>
          </w:p>
        </w:tc>
        <w:tc>
          <w:tcPr>
            <w:tcW w:w="14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(6,560)</w:t>
            </w:r>
          </w:p>
        </w:tc>
        <w:tc>
          <w:tcPr>
            <w:tcW w:w="240" w:type="dxa"/>
            <w:vAlign w:val="bottom"/>
          </w:tcPr>
          <w:p>
            <w:pPr>
              <w:spacing w:after="0"/>
              <w:rPr>
                <w:sz w:val="22"/>
                <w:szCs w:val="22"/>
                <w:color w:val="auto"/>
              </w:rPr>
            </w:pPr>
          </w:p>
        </w:tc>
        <w:tc>
          <w:tcPr>
            <w:tcW w:w="1220" w:type="dxa"/>
            <w:vAlign w:val="bottom"/>
          </w:tcPr>
          <w:p>
            <w:pPr>
              <w:jc w:val="right"/>
              <w:ind w:right="127"/>
              <w:spacing w:after="0"/>
              <w:rPr>
                <w:sz w:val="20"/>
                <w:szCs w:val="20"/>
                <w:color w:val="auto"/>
              </w:rPr>
            </w:pPr>
            <w:r>
              <w:rPr>
                <w:rFonts w:ascii="Times New Roman" w:cs="Times New Roman" w:eastAsia="Times New Roman" w:hAnsi="Times New Roman"/>
                <w:sz w:val="19"/>
                <w:szCs w:val="19"/>
                <w:b w:val="1"/>
                <w:bCs w:val="1"/>
                <w:color w:val="231F20"/>
              </w:rPr>
              <w:t>245.47</w:t>
            </w: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420" w:type="dxa"/>
            <w:vAlign w:val="bottom"/>
          </w:tcPr>
          <w:p>
            <w:pPr>
              <w:ind w:left="60"/>
              <w:spacing w:after="0" w:line="214" w:lineRule="exact"/>
              <w:rPr>
                <w:sz w:val="20"/>
                <w:szCs w:val="20"/>
                <w:color w:val="auto"/>
              </w:rPr>
            </w:pPr>
            <w:r>
              <w:rPr>
                <w:rFonts w:ascii="Times New Roman" w:cs="Times New Roman" w:eastAsia="Times New Roman" w:hAnsi="Times New Roman"/>
                <w:sz w:val="19"/>
                <w:szCs w:val="19"/>
                <w:b w:val="1"/>
                <w:bCs w:val="1"/>
                <w:color w:val="231F20"/>
              </w:rPr>
              <w:t>Outstanding at March 31, 2026</w:t>
            </w:r>
          </w:p>
        </w:tc>
        <w:tc>
          <w:tcPr>
            <w:tcW w:w="1400" w:type="dxa"/>
            <w:vAlign w:val="bottom"/>
          </w:tcPr>
          <w:p>
            <w:pPr>
              <w:jc w:val="right"/>
              <w:ind w:right="45"/>
              <w:spacing w:after="0" w:line="214" w:lineRule="exact"/>
              <w:rPr>
                <w:sz w:val="20"/>
                <w:szCs w:val="20"/>
                <w:color w:val="auto"/>
              </w:rPr>
            </w:pPr>
            <w:r>
              <w:rPr>
                <w:rFonts w:ascii="Times New Roman" w:cs="Times New Roman" w:eastAsia="Times New Roman" w:hAnsi="Times New Roman"/>
                <w:sz w:val="19"/>
                <w:szCs w:val="19"/>
                <w:b w:val="1"/>
                <w:bCs w:val="1"/>
                <w:color w:val="231F20"/>
              </w:rPr>
              <w:t>1,716,867</w:t>
            </w:r>
          </w:p>
        </w:tc>
        <w:tc>
          <w:tcPr>
            <w:tcW w:w="24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w:t>
            </w:r>
          </w:p>
        </w:tc>
        <w:tc>
          <w:tcPr>
            <w:tcW w:w="1220" w:type="dxa"/>
            <w:vAlign w:val="bottom"/>
          </w:tcPr>
          <w:p>
            <w:pPr>
              <w:jc w:val="right"/>
              <w:ind w:right="127"/>
              <w:spacing w:after="0" w:line="214" w:lineRule="exact"/>
              <w:rPr>
                <w:sz w:val="20"/>
                <w:szCs w:val="20"/>
                <w:color w:val="auto"/>
              </w:rPr>
            </w:pPr>
            <w:r>
              <w:rPr>
                <w:rFonts w:ascii="Times New Roman" w:cs="Times New Roman" w:eastAsia="Times New Roman" w:hAnsi="Times New Roman"/>
                <w:sz w:val="19"/>
                <w:szCs w:val="19"/>
                <w:b w:val="1"/>
                <w:bCs w:val="1"/>
                <w:color w:val="231F20"/>
              </w:rPr>
              <w:t>204.51</w:t>
            </w:r>
          </w:p>
        </w:tc>
        <w:tc>
          <w:tcPr>
            <w:tcW w:w="1300" w:type="dxa"/>
            <w:vAlign w:val="bottom"/>
          </w:tcPr>
          <w:p>
            <w:pPr>
              <w:ind w:left="480"/>
              <w:spacing w:after="0" w:line="214" w:lineRule="exact"/>
              <w:rPr>
                <w:sz w:val="20"/>
                <w:szCs w:val="20"/>
                <w:color w:val="auto"/>
              </w:rPr>
            </w:pPr>
            <w:r>
              <w:rPr>
                <w:rFonts w:ascii="Times New Roman" w:cs="Times New Roman" w:eastAsia="Times New Roman" w:hAnsi="Times New Roman"/>
                <w:sz w:val="19"/>
                <w:szCs w:val="19"/>
                <w:b w:val="1"/>
                <w:bCs w:val="1"/>
                <w:color w:val="231F20"/>
              </w:rPr>
              <w:t>5.7 years</w:t>
            </w:r>
          </w:p>
        </w:tc>
        <w:tc>
          <w:tcPr>
            <w:tcW w:w="22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w:t>
            </w:r>
          </w:p>
        </w:tc>
        <w:tc>
          <w:tcPr>
            <w:tcW w:w="114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231F20"/>
              </w:rPr>
              <w:t>49.7</w:t>
            </w:r>
          </w:p>
        </w:tc>
        <w:tc>
          <w:tcPr>
            <w:tcW w:w="0" w:type="dxa"/>
            <w:vAlign w:val="bottom"/>
          </w:tcPr>
          <w:p>
            <w:pPr>
              <w:spacing w:after="0"/>
              <w:rPr>
                <w:sz w:val="1"/>
                <w:szCs w:val="1"/>
                <w:color w:val="auto"/>
              </w:rPr>
            </w:pPr>
          </w:p>
        </w:tc>
      </w:tr>
      <w:tr>
        <w:trPr>
          <w:trHeight w:val="257"/>
        </w:trPr>
        <w:tc>
          <w:tcPr>
            <w:tcW w:w="44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Exercisable at March 31, 2026</w:t>
            </w:r>
          </w:p>
        </w:tc>
        <w:tc>
          <w:tcPr>
            <w:tcW w:w="1400" w:type="dxa"/>
            <w:vAlign w:val="bottom"/>
          </w:tcPr>
          <w:p>
            <w:pPr>
              <w:jc w:val="right"/>
              <w:ind w:right="45"/>
              <w:spacing w:after="0"/>
              <w:rPr>
                <w:sz w:val="20"/>
                <w:szCs w:val="20"/>
                <w:color w:val="auto"/>
              </w:rPr>
            </w:pPr>
            <w:r>
              <w:rPr>
                <w:rFonts w:ascii="Times New Roman" w:cs="Times New Roman" w:eastAsia="Times New Roman" w:hAnsi="Times New Roman"/>
                <w:sz w:val="19"/>
                <w:szCs w:val="19"/>
                <w:b w:val="1"/>
                <w:bCs w:val="1"/>
                <w:color w:val="231F20"/>
              </w:rPr>
              <w:t>1,223,025</w:t>
            </w: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1220" w:type="dxa"/>
            <w:vAlign w:val="bottom"/>
          </w:tcPr>
          <w:p>
            <w:pPr>
              <w:jc w:val="right"/>
              <w:ind w:right="127"/>
              <w:spacing w:after="0"/>
              <w:rPr>
                <w:sz w:val="20"/>
                <w:szCs w:val="20"/>
                <w:color w:val="auto"/>
              </w:rPr>
            </w:pPr>
            <w:r>
              <w:rPr>
                <w:rFonts w:ascii="Times New Roman" w:cs="Times New Roman" w:eastAsia="Times New Roman" w:hAnsi="Times New Roman"/>
                <w:sz w:val="19"/>
                <w:szCs w:val="19"/>
                <w:b w:val="1"/>
                <w:bCs w:val="1"/>
                <w:color w:val="231F20"/>
              </w:rPr>
              <w:t>186.44</w:t>
            </w:r>
          </w:p>
        </w:tc>
        <w:tc>
          <w:tcPr>
            <w:tcW w:w="1300" w:type="dxa"/>
            <w:vAlign w:val="bottom"/>
          </w:tcPr>
          <w:p>
            <w:pPr>
              <w:ind w:left="480"/>
              <w:spacing w:after="0"/>
              <w:rPr>
                <w:sz w:val="20"/>
                <w:szCs w:val="20"/>
                <w:color w:val="auto"/>
              </w:rPr>
            </w:pPr>
            <w:r>
              <w:rPr>
                <w:rFonts w:ascii="Times New Roman" w:cs="Times New Roman" w:eastAsia="Times New Roman" w:hAnsi="Times New Roman"/>
                <w:sz w:val="19"/>
                <w:szCs w:val="19"/>
                <w:b w:val="1"/>
                <w:bCs w:val="1"/>
                <w:color w:val="231F20"/>
              </w:rPr>
              <w:t>4.7 years</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49.6</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We estimate that 0.5 million of the non-vested stock options outstanding at March 31, 2026 will ultimately vest.</w:t>
      </w:r>
    </w:p>
    <w:p>
      <w:pPr>
        <w:spacing w:after="0" w:line="131" w:lineRule="exact"/>
        <w:rPr>
          <w:sz w:val="20"/>
          <w:szCs w:val="20"/>
          <w:color w:val="auto"/>
        </w:rPr>
      </w:pPr>
    </w:p>
    <w:p>
      <w:pPr>
        <w:ind w:right="80" w:firstLine="349"/>
        <w:spacing w:after="0" w:line="268" w:lineRule="auto"/>
        <w:rPr>
          <w:sz w:val="20"/>
          <w:szCs w:val="20"/>
          <w:color w:val="auto"/>
        </w:rPr>
      </w:pPr>
      <w:r>
        <w:rPr>
          <w:rFonts w:ascii="Times New Roman" w:cs="Times New Roman" w:eastAsia="Times New Roman" w:hAnsi="Times New Roman"/>
          <w:sz w:val="19"/>
          <w:szCs w:val="19"/>
          <w:color w:val="231F20"/>
        </w:rPr>
        <w:t>The aggregate intrinsic value in the table above represents the total pre-tax difference between the $221.13 closing price of our ordinary shares on March 31, 2026 over the exercise prices of the stock options, multiplied by the number of options outstanding or outstanding and exercisable, as applicable. The aggregate intrinsic value is not recorded for financial accounting purposes, and the value changes daily based on the daily changes in the fair market value of our ordinary shares.</w:t>
      </w:r>
    </w:p>
    <w:p>
      <w:pPr>
        <w:spacing w:after="0" w:line="72" w:lineRule="exact"/>
        <w:rPr>
          <w:sz w:val="20"/>
          <w:szCs w:val="20"/>
          <w:color w:val="auto"/>
        </w:rPr>
      </w:pPr>
    </w:p>
    <w:p>
      <w:pPr>
        <w:ind w:right="40" w:firstLine="349"/>
        <w:spacing w:after="0" w:line="266" w:lineRule="auto"/>
        <w:rPr>
          <w:sz w:val="20"/>
          <w:szCs w:val="20"/>
          <w:color w:val="auto"/>
        </w:rPr>
      </w:pPr>
      <w:r>
        <w:rPr>
          <w:rFonts w:ascii="Times New Roman" w:cs="Times New Roman" w:eastAsia="Times New Roman" w:hAnsi="Times New Roman"/>
          <w:sz w:val="19"/>
          <w:szCs w:val="19"/>
          <w:color w:val="231F20"/>
        </w:rPr>
        <w:t>The total intrinsic value of stock options exercised during the years ended March 31, 2026, 2025 and 2024 was $36.7 million, $30.7 million and $18.2 million, respectively. Net cash proceeds from the exercise of stock options were $32.9 million, $25.5 million and $10.5 million for the years ended March 31, 2026, 2025 and 2024, respectively. The tax benefit from stock option exercises was $8.0 million, $7.6 million and $5.5 million for the years ended March 31, 2026, 2025 and 2024, respectively.</w:t>
      </w:r>
    </w:p>
    <w:p>
      <w:pPr>
        <w:spacing w:after="0" w:line="312" w:lineRule="exact"/>
        <w:rPr>
          <w:sz w:val="20"/>
          <w:szCs w:val="20"/>
          <w:color w:val="auto"/>
        </w:rPr>
      </w:pPr>
    </w:p>
    <w:p>
      <w:pPr>
        <w:ind w:right="560" w:firstLine="349"/>
        <w:spacing w:after="0" w:line="293" w:lineRule="auto"/>
        <w:rPr>
          <w:sz w:val="20"/>
          <w:szCs w:val="20"/>
          <w:color w:val="auto"/>
        </w:rPr>
      </w:pPr>
      <w:r>
        <w:rPr>
          <w:rFonts w:ascii="Times New Roman" w:cs="Times New Roman" w:eastAsia="Times New Roman" w:hAnsi="Times New Roman"/>
          <w:sz w:val="19"/>
          <w:szCs w:val="19"/>
          <w:color w:val="231F20"/>
        </w:rPr>
        <w:t>The weighted average grant date fair value of stock option grants was $69.59, $67.81 and $54.60 for the years ended March 31, 2026, 2025 and 2024, respectively.</w:t>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A summary of the non-vested restricted share and restricted share unit activity is presented below:</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tcPr>
          <w:p>
            <w:pPr>
              <w:spacing w:after="0"/>
              <w:rPr>
                <w:sz w:val="17"/>
                <w:szCs w:val="17"/>
                <w:color w:val="auto"/>
              </w:rPr>
            </w:pPr>
          </w:p>
        </w:tc>
        <w:tc>
          <w:tcPr>
            <w:tcW w:w="1520" w:type="dxa"/>
            <w:vAlign w:val="bottom"/>
          </w:tcPr>
          <w:p>
            <w:pPr>
              <w:jc w:val="center"/>
              <w:ind w:right="7"/>
              <w:spacing w:after="0"/>
              <w:rPr>
                <w:sz w:val="20"/>
                <w:szCs w:val="20"/>
                <w:color w:val="auto"/>
              </w:rPr>
            </w:pPr>
            <w:r>
              <w:rPr>
                <w:rFonts w:ascii="Times New Roman" w:cs="Times New Roman" w:eastAsia="Times New Roman" w:hAnsi="Times New Roman"/>
                <w:sz w:val="17"/>
                <w:szCs w:val="17"/>
                <w:color w:val="231F20"/>
              </w:rPr>
              <w:t>Number of</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231F20"/>
              </w:rPr>
              <w:t>Number of</w:t>
            </w: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231F20"/>
              </w:rPr>
              <w:t>Weighted-Average</w:t>
            </w:r>
          </w:p>
        </w:tc>
      </w:tr>
      <w:tr>
        <w:trPr>
          <w:trHeight w:val="175"/>
        </w:trPr>
        <w:tc>
          <w:tcPr>
            <w:tcW w:w="5500" w:type="dxa"/>
            <w:vAlign w:val="bottom"/>
          </w:tcPr>
          <w:p>
            <w:pPr>
              <w:spacing w:after="0"/>
              <w:rPr>
                <w:sz w:val="15"/>
                <w:szCs w:val="15"/>
                <w:color w:val="auto"/>
              </w:rPr>
            </w:pPr>
          </w:p>
        </w:tc>
        <w:tc>
          <w:tcPr>
            <w:tcW w:w="1520" w:type="dxa"/>
            <w:vAlign w:val="bottom"/>
          </w:tcPr>
          <w:p>
            <w:pPr>
              <w:jc w:val="center"/>
              <w:ind w:right="7"/>
              <w:spacing w:after="0" w:line="175" w:lineRule="exact"/>
              <w:rPr>
                <w:sz w:val="20"/>
                <w:szCs w:val="20"/>
                <w:color w:val="auto"/>
              </w:rPr>
            </w:pPr>
            <w:r>
              <w:rPr>
                <w:rFonts w:ascii="Times New Roman" w:cs="Times New Roman" w:eastAsia="Times New Roman" w:hAnsi="Times New Roman"/>
                <w:sz w:val="17"/>
                <w:szCs w:val="17"/>
                <w:color w:val="231F20"/>
              </w:rPr>
              <w:t>Restricted</w:t>
            </w:r>
          </w:p>
        </w:tc>
        <w:tc>
          <w:tcPr>
            <w:tcW w:w="1440" w:type="dxa"/>
            <w:vAlign w:val="bottom"/>
          </w:tcPr>
          <w:p>
            <w:pPr>
              <w:jc w:val="center"/>
              <w:ind w:right="7"/>
              <w:spacing w:after="0" w:line="175" w:lineRule="exact"/>
              <w:rPr>
                <w:sz w:val="20"/>
                <w:szCs w:val="20"/>
                <w:color w:val="auto"/>
              </w:rPr>
            </w:pPr>
            <w:r>
              <w:rPr>
                <w:rFonts w:ascii="Times New Roman" w:cs="Times New Roman" w:eastAsia="Times New Roman" w:hAnsi="Times New Roman"/>
                <w:sz w:val="17"/>
                <w:szCs w:val="17"/>
                <w:color w:val="231F20"/>
              </w:rPr>
              <w:t>Restricted Share</w:t>
            </w:r>
          </w:p>
        </w:tc>
        <w:tc>
          <w:tcPr>
            <w:tcW w:w="260" w:type="dxa"/>
            <w:vAlign w:val="bottom"/>
          </w:tcPr>
          <w:p>
            <w:pPr>
              <w:spacing w:after="0"/>
              <w:rPr>
                <w:sz w:val="15"/>
                <w:szCs w:val="15"/>
                <w:color w:val="auto"/>
              </w:rPr>
            </w:pPr>
          </w:p>
        </w:tc>
        <w:tc>
          <w:tcPr>
            <w:tcW w:w="1200" w:type="dxa"/>
            <w:vAlign w:val="bottom"/>
          </w:tcPr>
          <w:p>
            <w:pPr>
              <w:jc w:val="right"/>
              <w:ind w:right="246"/>
              <w:spacing w:after="0" w:line="175" w:lineRule="exact"/>
              <w:rPr>
                <w:sz w:val="20"/>
                <w:szCs w:val="20"/>
                <w:color w:val="auto"/>
              </w:rPr>
            </w:pPr>
            <w:r>
              <w:rPr>
                <w:rFonts w:ascii="Times New Roman" w:cs="Times New Roman" w:eastAsia="Times New Roman" w:hAnsi="Times New Roman"/>
                <w:sz w:val="17"/>
                <w:szCs w:val="17"/>
                <w:color w:val="231F20"/>
              </w:rPr>
              <w:t>Grant Date</w:t>
            </w:r>
          </w:p>
        </w:tc>
      </w:tr>
      <w:tr>
        <w:trPr>
          <w:trHeight w:val="231"/>
        </w:trPr>
        <w:tc>
          <w:tcPr>
            <w:tcW w:w="5500" w:type="dxa"/>
            <w:vAlign w:val="bottom"/>
            <w:tcBorders>
              <w:bottom w:val="single" w:sz="8" w:color="231F20"/>
            </w:tcBorders>
          </w:tcPr>
          <w:p>
            <w:pPr>
              <w:spacing w:after="0"/>
              <w:rPr>
                <w:sz w:val="20"/>
                <w:szCs w:val="20"/>
                <w:color w:val="auto"/>
              </w:rPr>
            </w:pPr>
          </w:p>
        </w:tc>
        <w:tc>
          <w:tcPr>
            <w:tcW w:w="1520" w:type="dxa"/>
            <w:vAlign w:val="bottom"/>
            <w:tcBorders>
              <w:bottom w:val="single" w:sz="8" w:color="231F20"/>
            </w:tcBorders>
          </w:tcPr>
          <w:p>
            <w:pPr>
              <w:jc w:val="center"/>
              <w:ind w:right="7"/>
              <w:spacing w:after="0"/>
              <w:rPr>
                <w:sz w:val="20"/>
                <w:szCs w:val="20"/>
                <w:color w:val="auto"/>
              </w:rPr>
            </w:pPr>
            <w:r>
              <w:rPr>
                <w:rFonts w:ascii="Times New Roman" w:cs="Times New Roman" w:eastAsia="Times New Roman" w:hAnsi="Times New Roman"/>
                <w:sz w:val="17"/>
                <w:szCs w:val="17"/>
                <w:color w:val="231F20"/>
              </w:rPr>
              <w:t>Shares</w:t>
            </w:r>
          </w:p>
        </w:tc>
        <w:tc>
          <w:tcPr>
            <w:tcW w:w="1440" w:type="dxa"/>
            <w:vAlign w:val="bottom"/>
            <w:tcBorders>
              <w:bottom w:val="single" w:sz="8" w:color="231F20"/>
            </w:tcBorders>
          </w:tcPr>
          <w:p>
            <w:pPr>
              <w:jc w:val="center"/>
              <w:ind w:right="7"/>
              <w:spacing w:after="0"/>
              <w:rPr>
                <w:sz w:val="20"/>
                <w:szCs w:val="20"/>
                <w:color w:val="auto"/>
              </w:rPr>
            </w:pPr>
            <w:r>
              <w:rPr>
                <w:rFonts w:ascii="Times New Roman" w:cs="Times New Roman" w:eastAsia="Times New Roman" w:hAnsi="Times New Roman"/>
                <w:sz w:val="17"/>
                <w:szCs w:val="17"/>
                <w:color w:val="231F20"/>
              </w:rPr>
              <w:t>Units</w:t>
            </w:r>
          </w:p>
        </w:tc>
        <w:tc>
          <w:tcPr>
            <w:tcW w:w="260" w:type="dxa"/>
            <w:vAlign w:val="bottom"/>
            <w:tcBorders>
              <w:bottom w:val="single" w:sz="8" w:color="231F20"/>
            </w:tcBorders>
          </w:tcPr>
          <w:p>
            <w:pPr>
              <w:spacing w:after="0"/>
              <w:rPr>
                <w:sz w:val="20"/>
                <w:szCs w:val="20"/>
                <w:color w:val="auto"/>
              </w:rPr>
            </w:pPr>
          </w:p>
        </w:tc>
        <w:tc>
          <w:tcPr>
            <w:tcW w:w="1200" w:type="dxa"/>
            <w:vAlign w:val="bottom"/>
            <w:tcBorders>
              <w:bottom w:val="single" w:sz="8" w:color="231F20"/>
            </w:tcBorders>
          </w:tcPr>
          <w:p>
            <w:pPr>
              <w:jc w:val="right"/>
              <w:ind w:right="266"/>
              <w:spacing w:after="0"/>
              <w:rPr>
                <w:sz w:val="20"/>
                <w:szCs w:val="20"/>
                <w:color w:val="auto"/>
              </w:rPr>
            </w:pPr>
            <w:r>
              <w:rPr>
                <w:rFonts w:ascii="Times New Roman" w:cs="Times New Roman" w:eastAsia="Times New Roman" w:hAnsi="Times New Roman"/>
                <w:sz w:val="17"/>
                <w:szCs w:val="17"/>
                <w:color w:val="231F20"/>
              </w:rPr>
              <w:t>Fair Value</w:t>
            </w:r>
          </w:p>
        </w:tc>
      </w:tr>
      <w:tr>
        <w:trPr>
          <w:trHeight w:val="254"/>
        </w:trPr>
        <w:tc>
          <w:tcPr>
            <w:tcW w:w="550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Non-vested at March 31, 2025</w:t>
            </w:r>
          </w:p>
        </w:tc>
        <w:tc>
          <w:tcPr>
            <w:tcW w:w="1520" w:type="dxa"/>
            <w:vAlign w:val="bottom"/>
          </w:tcPr>
          <w:p>
            <w:pPr>
              <w:jc w:val="right"/>
              <w:ind w:right="87"/>
              <w:spacing w:after="0"/>
              <w:rPr>
                <w:sz w:val="20"/>
                <w:szCs w:val="20"/>
                <w:color w:val="auto"/>
              </w:rPr>
            </w:pPr>
            <w:r>
              <w:rPr>
                <w:rFonts w:ascii="Times New Roman" w:cs="Times New Roman" w:eastAsia="Times New Roman" w:hAnsi="Times New Roman"/>
                <w:sz w:val="19"/>
                <w:szCs w:val="19"/>
                <w:color w:val="231F20"/>
              </w:rPr>
              <w:t>449,131</w:t>
            </w:r>
          </w:p>
        </w:tc>
        <w:tc>
          <w:tcPr>
            <w:tcW w:w="1440" w:type="dxa"/>
            <w:vAlign w:val="bottom"/>
          </w:tcPr>
          <w:p>
            <w:pPr>
              <w:jc w:val="right"/>
              <w:ind w:right="47"/>
              <w:spacing w:after="0"/>
              <w:rPr>
                <w:sz w:val="20"/>
                <w:szCs w:val="20"/>
                <w:color w:val="auto"/>
              </w:rPr>
            </w:pPr>
            <w:r>
              <w:rPr>
                <w:rFonts w:ascii="Times New Roman" w:cs="Times New Roman" w:eastAsia="Times New Roman" w:hAnsi="Times New Roman"/>
                <w:sz w:val="19"/>
                <w:szCs w:val="19"/>
                <w:color w:val="231F20"/>
              </w:rPr>
              <w:t>29,555</w:t>
            </w:r>
          </w:p>
        </w:tc>
        <w:tc>
          <w:tcPr>
            <w:tcW w:w="2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214.21</w:t>
            </w:r>
          </w:p>
        </w:tc>
      </w:tr>
      <w:tr>
        <w:trPr>
          <w:trHeight w:val="277"/>
        </w:trPr>
        <w:tc>
          <w:tcPr>
            <w:tcW w:w="550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Granted</w:t>
            </w:r>
          </w:p>
        </w:tc>
        <w:tc>
          <w:tcPr>
            <w:tcW w:w="1520" w:type="dxa"/>
            <w:vAlign w:val="bottom"/>
          </w:tcPr>
          <w:p>
            <w:pPr>
              <w:jc w:val="right"/>
              <w:ind w:right="87"/>
              <w:spacing w:after="0"/>
              <w:rPr>
                <w:sz w:val="20"/>
                <w:szCs w:val="20"/>
                <w:color w:val="auto"/>
              </w:rPr>
            </w:pPr>
            <w:r>
              <w:rPr>
                <w:rFonts w:ascii="Times New Roman" w:cs="Times New Roman" w:eastAsia="Times New Roman" w:hAnsi="Times New Roman"/>
                <w:sz w:val="19"/>
                <w:szCs w:val="19"/>
                <w:b w:val="1"/>
                <w:bCs w:val="1"/>
                <w:color w:val="231F20"/>
              </w:rPr>
              <w:t>167,055</w:t>
            </w:r>
          </w:p>
        </w:tc>
        <w:tc>
          <w:tcPr>
            <w:tcW w:w="1440" w:type="dxa"/>
            <w:vAlign w:val="bottom"/>
          </w:tcPr>
          <w:p>
            <w:pPr>
              <w:jc w:val="right"/>
              <w:ind w:right="47"/>
              <w:spacing w:after="0"/>
              <w:rPr>
                <w:sz w:val="20"/>
                <w:szCs w:val="20"/>
                <w:color w:val="auto"/>
              </w:rPr>
            </w:pPr>
            <w:r>
              <w:rPr>
                <w:rFonts w:ascii="Times New Roman" w:cs="Times New Roman" w:eastAsia="Times New Roman" w:hAnsi="Times New Roman"/>
                <w:sz w:val="19"/>
                <w:szCs w:val="19"/>
                <w:b w:val="1"/>
                <w:bCs w:val="1"/>
                <w:color w:val="231F20"/>
              </w:rPr>
              <w:t>17,298</w:t>
            </w: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241.42</w:t>
            </w:r>
          </w:p>
        </w:tc>
      </w:tr>
      <w:tr>
        <w:trPr>
          <w:trHeight w:val="277"/>
        </w:trPr>
        <w:tc>
          <w:tcPr>
            <w:tcW w:w="550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Vested</w:t>
            </w:r>
          </w:p>
        </w:tc>
        <w:tc>
          <w:tcPr>
            <w:tcW w:w="1520" w:type="dxa"/>
            <w:vAlign w:val="bottom"/>
          </w:tcPr>
          <w:p>
            <w:pPr>
              <w:jc w:val="right"/>
              <w:ind w:right="27"/>
              <w:spacing w:after="0"/>
              <w:rPr>
                <w:sz w:val="20"/>
                <w:szCs w:val="20"/>
                <w:color w:val="auto"/>
              </w:rPr>
            </w:pPr>
            <w:r>
              <w:rPr>
                <w:rFonts w:ascii="Times New Roman" w:cs="Times New Roman" w:eastAsia="Times New Roman" w:hAnsi="Times New Roman"/>
                <w:sz w:val="19"/>
                <w:szCs w:val="19"/>
                <w:b w:val="1"/>
                <w:bCs w:val="1"/>
                <w:color w:val="231F20"/>
              </w:rPr>
              <w:t>(137,143)</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(2,644)</w:t>
            </w: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207.10</w:t>
            </w:r>
          </w:p>
        </w:tc>
      </w:tr>
      <w:tr>
        <w:trPr>
          <w:trHeight w:val="294"/>
        </w:trPr>
        <w:tc>
          <w:tcPr>
            <w:tcW w:w="550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Forfeited</w:t>
            </w:r>
          </w:p>
        </w:tc>
        <w:tc>
          <w:tcPr>
            <w:tcW w:w="1520" w:type="dxa"/>
            <w:vAlign w:val="bottom"/>
            <w:tcBorders>
              <w:bottom w:val="single" w:sz="8" w:color="231F20"/>
            </w:tcBorders>
          </w:tcPr>
          <w:p>
            <w:pPr>
              <w:jc w:val="right"/>
              <w:ind w:right="27"/>
              <w:spacing w:after="0"/>
              <w:rPr>
                <w:sz w:val="20"/>
                <w:szCs w:val="20"/>
                <w:color w:val="auto"/>
              </w:rPr>
            </w:pPr>
            <w:r>
              <w:rPr>
                <w:rFonts w:ascii="Times New Roman" w:cs="Times New Roman" w:eastAsia="Times New Roman" w:hAnsi="Times New Roman"/>
                <w:sz w:val="19"/>
                <w:szCs w:val="19"/>
                <w:b w:val="1"/>
                <w:bCs w:val="1"/>
                <w:color w:val="231F20"/>
              </w:rPr>
              <w:t>(22,963)</w:t>
            </w:r>
          </w:p>
        </w:tc>
        <w:tc>
          <w:tcPr>
            <w:tcW w:w="14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(13,920)</w:t>
            </w:r>
          </w:p>
        </w:tc>
        <w:tc>
          <w:tcPr>
            <w:tcW w:w="260" w:type="dxa"/>
            <w:vAlign w:val="bottom"/>
            <w:tcBorders>
              <w:bottom w:val="single" w:sz="8" w:color="231F20"/>
            </w:tcBorders>
          </w:tcPr>
          <w:p>
            <w:pPr>
              <w:spacing w:after="0"/>
              <w:rPr>
                <w:sz w:val="24"/>
                <w:szCs w:val="24"/>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220.81</w:t>
            </w:r>
          </w:p>
        </w:tc>
      </w:tr>
      <w:tr>
        <w:trPr>
          <w:trHeight w:val="266"/>
        </w:trPr>
        <w:tc>
          <w:tcPr>
            <w:tcW w:w="550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Non-vested at March 31, 2026</w:t>
            </w:r>
          </w:p>
        </w:tc>
        <w:tc>
          <w:tcPr>
            <w:tcW w:w="1520" w:type="dxa"/>
            <w:vAlign w:val="bottom"/>
            <w:tcBorders>
              <w:bottom w:val="single" w:sz="8" w:color="231F20"/>
            </w:tcBorders>
          </w:tcPr>
          <w:p>
            <w:pPr>
              <w:jc w:val="right"/>
              <w:ind w:right="87"/>
              <w:spacing w:after="0"/>
              <w:rPr>
                <w:sz w:val="20"/>
                <w:szCs w:val="20"/>
                <w:color w:val="auto"/>
              </w:rPr>
            </w:pPr>
            <w:r>
              <w:rPr>
                <w:rFonts w:ascii="Times New Roman" w:cs="Times New Roman" w:eastAsia="Times New Roman" w:hAnsi="Times New Roman"/>
                <w:sz w:val="19"/>
                <w:szCs w:val="19"/>
                <w:b w:val="1"/>
                <w:bCs w:val="1"/>
                <w:color w:val="231F20"/>
              </w:rPr>
              <w:t>456,080</w:t>
            </w:r>
          </w:p>
        </w:tc>
        <w:tc>
          <w:tcPr>
            <w:tcW w:w="1440" w:type="dxa"/>
            <w:vAlign w:val="bottom"/>
            <w:tcBorders>
              <w:bottom w:val="single" w:sz="8" w:color="231F20"/>
            </w:tcBorders>
          </w:tcPr>
          <w:p>
            <w:pPr>
              <w:jc w:val="right"/>
              <w:ind w:right="47"/>
              <w:spacing w:after="0"/>
              <w:rPr>
                <w:sz w:val="20"/>
                <w:szCs w:val="20"/>
                <w:color w:val="auto"/>
              </w:rPr>
            </w:pPr>
            <w:r>
              <w:rPr>
                <w:rFonts w:ascii="Times New Roman" w:cs="Times New Roman" w:eastAsia="Times New Roman" w:hAnsi="Times New Roman"/>
                <w:sz w:val="19"/>
                <w:szCs w:val="19"/>
                <w:b w:val="1"/>
                <w:bCs w:val="1"/>
                <w:color w:val="231F20"/>
              </w:rPr>
              <w:t>30,289</w:t>
            </w:r>
          </w:p>
        </w:tc>
        <w:tc>
          <w:tcPr>
            <w:tcW w:w="26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9"/>
                <w:szCs w:val="19"/>
                <w:b w:val="1"/>
                <w:bCs w:val="1"/>
                <w:color w:val="231F20"/>
              </w:rPr>
              <w:t>$</w:t>
            </w: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226.73</w:t>
            </w:r>
          </w:p>
        </w:tc>
      </w:tr>
    </w:tbl>
    <w:p>
      <w:pPr>
        <w:spacing w:after="0" w:line="134" w:lineRule="exact"/>
        <w:rPr>
          <w:sz w:val="20"/>
          <w:szCs w:val="20"/>
          <w:color w:val="auto"/>
        </w:rPr>
      </w:pPr>
    </w:p>
    <w:p>
      <w:pPr>
        <w:jc w:val="both"/>
        <w:ind w:right="120" w:firstLine="349"/>
        <w:spacing w:after="0" w:line="293" w:lineRule="auto"/>
        <w:rPr>
          <w:sz w:val="20"/>
          <w:szCs w:val="20"/>
          <w:color w:val="auto"/>
        </w:rPr>
      </w:pPr>
      <w:r>
        <w:rPr>
          <w:rFonts w:ascii="Times New Roman" w:cs="Times New Roman" w:eastAsia="Times New Roman" w:hAnsi="Times New Roman"/>
          <w:sz w:val="19"/>
          <w:szCs w:val="19"/>
          <w:color w:val="231F20"/>
        </w:rPr>
        <w:t>Restricted shares and restricted share unit grants are valued based on the closing stock price at the grant date. The value of restricted shares and units at the time of grant that vested during fiscal 2026 was $31.3 million.</w:t>
      </w:r>
    </w:p>
    <w:p>
      <w:pPr>
        <w:sectPr>
          <w:pgSz w:w="11880" w:h="15480" w:orient="portrait"/>
          <w:cols w:equalWidth="0" w:num="1">
            <w:col w:w="9960"/>
          </w:cols>
          <w:pgMar w:left="960" w:top="250" w:right="960" w:bottom="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97</w:t>
      </w:r>
    </w:p>
    <w:p>
      <w:pPr>
        <w:sectPr>
          <w:pgSz w:w="11880" w:h="15480" w:orient="portrait"/>
          <w:cols w:equalWidth="0" w:num="1">
            <w:col w:w="9960"/>
          </w:cols>
          <w:pgMar w:left="960" w:top="250" w:right="960" w:bottom="0" w:gutter="0" w:footer="0" w:header="0"/>
          <w:type w:val="continuous"/>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40" w:firstLine="349"/>
        <w:spacing w:after="0" w:line="274" w:lineRule="auto"/>
        <w:rPr>
          <w:sz w:val="20"/>
          <w:szCs w:val="20"/>
          <w:color w:val="auto"/>
        </w:rPr>
      </w:pPr>
      <w:r>
        <w:rPr>
          <w:rFonts w:ascii="Times New Roman" w:cs="Times New Roman" w:eastAsia="Times New Roman" w:hAnsi="Times New Roman"/>
          <w:sz w:val="19"/>
          <w:szCs w:val="19"/>
          <w:color w:val="231F20"/>
        </w:rPr>
        <w:t>As of March 31, 2026, there was a total of $42.6 million in unrecognized compensation cost related to non-vested share-based compensation granted under our share-based compensation plans. We expect to recognize the cost over a weighted average period of 1.5 years.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17. FINANCIAL AND OTHER GUARANTEES</w:t>
      </w:r>
    </w:p>
    <w:p>
      <w:pPr>
        <w:spacing w:after="0" w:line="138" w:lineRule="exact"/>
        <w:rPr>
          <w:sz w:val="20"/>
          <w:szCs w:val="20"/>
          <w:color w:val="auto"/>
        </w:rPr>
      </w:pPr>
    </w:p>
    <w:p>
      <w:pPr>
        <w:ind w:right="120" w:firstLine="349"/>
        <w:spacing w:after="0" w:line="262" w:lineRule="auto"/>
        <w:rPr>
          <w:sz w:val="20"/>
          <w:szCs w:val="20"/>
          <w:color w:val="auto"/>
        </w:rPr>
      </w:pPr>
      <w:r>
        <w:rPr>
          <w:rFonts w:ascii="Times New Roman" w:cs="Times New Roman" w:eastAsia="Times New Roman" w:hAnsi="Times New Roman"/>
          <w:sz w:val="19"/>
          <w:szCs w:val="19"/>
          <w:color w:val="231F20"/>
        </w:rPr>
        <w:t>We generally offer a limited parts and labor warranty on capital equipment. The specific terms and conditions of those warranties vary depending on the product sold and the countries where we conduct business. We record a liability for the estimated cost of product warranties at the time Product revenues are recognized. The amounts we expect to incur on behalf of our Customers for the future estimated cost of these warranties are recorded as a current liability on the accompanying Consolidated Balance Sheets. Factors that affect the amount of our warranty liability include the number and type of installed units, historical and anticipated rates of product failures, and material and service costs per claim. We periodically assess the adequacy of our recorded warranty liabilities and adjust the amounts as necessary.</w:t>
      </w:r>
    </w:p>
    <w:p>
      <w:pPr>
        <w:spacing w:after="0" w:line="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Changes in our warranty liability during the periods presented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2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(in millions)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96"/>
        </w:trPr>
        <w:tc>
          <w:tcPr>
            <w:tcW w:w="582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7"/>
                <w:szCs w:val="17"/>
                <w:color w:val="231F20"/>
              </w:rPr>
              <w:t>Years Ended March 31,</w:t>
            </w:r>
          </w:p>
        </w:tc>
        <w:tc>
          <w:tcPr>
            <w:tcW w:w="32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ind w:right="445"/>
              <w:spacing w:after="0"/>
              <w:rPr>
                <w:sz w:val="20"/>
                <w:szCs w:val="20"/>
                <w:color w:val="auto"/>
              </w:rPr>
            </w:pPr>
            <w:r>
              <w:rPr>
                <w:rFonts w:ascii="Times New Roman" w:cs="Times New Roman" w:eastAsia="Times New Roman" w:hAnsi="Times New Roman"/>
                <w:sz w:val="17"/>
                <w:szCs w:val="17"/>
                <w:color w:val="231F20"/>
              </w:rPr>
              <w:t>2026</w:t>
            </w:r>
          </w:p>
        </w:tc>
        <w:tc>
          <w:tcPr>
            <w:tcW w:w="34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ind w:right="445"/>
              <w:spacing w:after="0"/>
              <w:rPr>
                <w:sz w:val="20"/>
                <w:szCs w:val="20"/>
                <w:color w:val="auto"/>
              </w:rPr>
            </w:pPr>
            <w:r>
              <w:rPr>
                <w:rFonts w:ascii="Times New Roman" w:cs="Times New Roman" w:eastAsia="Times New Roman" w:hAnsi="Times New Roman"/>
                <w:sz w:val="17"/>
                <w:szCs w:val="17"/>
                <w:color w:val="231F20"/>
              </w:rPr>
              <w:t>2025</w:t>
            </w:r>
          </w:p>
        </w:tc>
        <w:tc>
          <w:tcPr>
            <w:tcW w:w="34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ind w:right="385"/>
              <w:spacing w:after="0"/>
              <w:rPr>
                <w:sz w:val="20"/>
                <w:szCs w:val="20"/>
                <w:color w:val="auto"/>
              </w:rPr>
            </w:pPr>
            <w:r>
              <w:rPr>
                <w:rFonts w:ascii="Times New Roman" w:cs="Times New Roman" w:eastAsia="Times New Roman" w:hAnsi="Times New Roman"/>
                <w:sz w:val="17"/>
                <w:szCs w:val="17"/>
                <w:color w:val="231F20"/>
              </w:rPr>
              <w:t>2024</w:t>
            </w:r>
          </w:p>
        </w:tc>
      </w:tr>
      <w:tr>
        <w:trPr>
          <w:trHeight w:val="283"/>
        </w:trPr>
        <w:tc>
          <w:tcPr>
            <w:tcW w:w="58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Balance, Beginning of Year</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b w:val="1"/>
                <w:bCs w:val="1"/>
                <w:color w:val="231F20"/>
              </w:rPr>
              <w:t>$</w:t>
            </w:r>
          </w:p>
        </w:tc>
        <w:tc>
          <w:tcPr>
            <w:tcW w:w="1060" w:type="dxa"/>
            <w:vAlign w:val="bottom"/>
          </w:tcPr>
          <w:p>
            <w:pPr>
              <w:jc w:val="right"/>
              <w:ind w:right="45"/>
              <w:spacing w:after="0"/>
              <w:rPr>
                <w:sz w:val="20"/>
                <w:szCs w:val="20"/>
                <w:color w:val="auto"/>
              </w:rPr>
            </w:pPr>
            <w:r>
              <w:rPr>
                <w:rFonts w:ascii="Times New Roman" w:cs="Times New Roman" w:eastAsia="Times New Roman" w:hAnsi="Times New Roman"/>
                <w:sz w:val="19"/>
                <w:szCs w:val="19"/>
                <w:b w:val="1"/>
                <w:bCs w:val="1"/>
                <w:color w:val="231F20"/>
              </w:rPr>
              <w:t>16.3</w:t>
            </w: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6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231F20"/>
              </w:rPr>
              <w:t>15.4</w:t>
            </w: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13.4</w:t>
            </w:r>
          </w:p>
        </w:tc>
      </w:tr>
      <w:tr>
        <w:trPr>
          <w:trHeight w:val="306"/>
        </w:trPr>
        <w:tc>
          <w:tcPr>
            <w:tcW w:w="58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Warranties issued during the period</w:t>
            </w:r>
          </w:p>
        </w:tc>
        <w:tc>
          <w:tcPr>
            <w:tcW w:w="320" w:type="dxa"/>
            <w:vAlign w:val="bottom"/>
          </w:tcPr>
          <w:p>
            <w:pPr>
              <w:spacing w:after="0"/>
              <w:rPr>
                <w:sz w:val="24"/>
                <w:szCs w:val="24"/>
                <w:color w:val="auto"/>
              </w:rPr>
            </w:pPr>
          </w:p>
        </w:tc>
        <w:tc>
          <w:tcPr>
            <w:tcW w:w="1060" w:type="dxa"/>
            <w:vAlign w:val="bottom"/>
          </w:tcPr>
          <w:p>
            <w:pPr>
              <w:jc w:val="right"/>
              <w:ind w:right="45"/>
              <w:spacing w:after="0"/>
              <w:rPr>
                <w:sz w:val="20"/>
                <w:szCs w:val="20"/>
                <w:color w:val="auto"/>
              </w:rPr>
            </w:pPr>
            <w:r>
              <w:rPr>
                <w:rFonts w:ascii="Times New Roman" w:cs="Times New Roman" w:eastAsia="Times New Roman" w:hAnsi="Times New Roman"/>
                <w:sz w:val="19"/>
                <w:szCs w:val="19"/>
                <w:b w:val="1"/>
                <w:bCs w:val="1"/>
                <w:color w:val="231F20"/>
              </w:rPr>
              <w:t>20.9</w:t>
            </w:r>
          </w:p>
        </w:tc>
        <w:tc>
          <w:tcPr>
            <w:tcW w:w="340" w:type="dxa"/>
            <w:vAlign w:val="bottom"/>
          </w:tcPr>
          <w:p>
            <w:pPr>
              <w:spacing w:after="0"/>
              <w:rPr>
                <w:sz w:val="24"/>
                <w:szCs w:val="24"/>
                <w:color w:val="auto"/>
              </w:rPr>
            </w:pPr>
          </w:p>
        </w:tc>
        <w:tc>
          <w:tcPr>
            <w:tcW w:w="106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231F20"/>
              </w:rPr>
              <w:t>19.2</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18.1</w:t>
            </w:r>
          </w:p>
        </w:tc>
      </w:tr>
      <w:tr>
        <w:trPr>
          <w:trHeight w:val="308"/>
        </w:trPr>
        <w:tc>
          <w:tcPr>
            <w:tcW w:w="58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Settlements made during the period</w:t>
            </w:r>
          </w:p>
        </w:tc>
        <w:tc>
          <w:tcPr>
            <w:tcW w:w="32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b w:val="1"/>
                <w:bCs w:val="1"/>
                <w:color w:val="231F20"/>
              </w:rPr>
              <w:t>(19.8)</w:t>
            </w:r>
          </w:p>
        </w:tc>
        <w:tc>
          <w:tcPr>
            <w:tcW w:w="34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(18.2)</w:t>
            </w:r>
          </w:p>
        </w:tc>
        <w:tc>
          <w:tcPr>
            <w:tcW w:w="34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(16.1)</w:t>
            </w:r>
          </w:p>
        </w:tc>
      </w:tr>
      <w:tr>
        <w:trPr>
          <w:trHeight w:val="290"/>
        </w:trPr>
        <w:tc>
          <w:tcPr>
            <w:tcW w:w="58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Balance, End of Year</w:t>
            </w:r>
          </w:p>
        </w:tc>
        <w:tc>
          <w:tcPr>
            <w:tcW w:w="320" w:type="dxa"/>
            <w:vAlign w:val="bottom"/>
            <w:tcBorders>
              <w:bottom w:val="single" w:sz="8" w:color="231F20"/>
            </w:tcBorders>
          </w:tcPr>
          <w:p>
            <w:pPr>
              <w:jc w:val="right"/>
              <w:ind w:right="63"/>
              <w:spacing w:after="0"/>
              <w:rPr>
                <w:sz w:val="20"/>
                <w:szCs w:val="20"/>
                <w:color w:val="auto"/>
              </w:rPr>
            </w:pPr>
            <w:r>
              <w:rPr>
                <w:rFonts w:ascii="Times New Roman" w:cs="Times New Roman" w:eastAsia="Times New Roman" w:hAnsi="Times New Roman"/>
                <w:sz w:val="19"/>
                <w:szCs w:val="19"/>
                <w:b w:val="1"/>
                <w:bCs w:val="1"/>
                <w:color w:val="231F20"/>
              </w:rPr>
              <w:t>$</w:t>
            </w:r>
          </w:p>
        </w:tc>
        <w:tc>
          <w:tcPr>
            <w:tcW w:w="1060" w:type="dxa"/>
            <w:vAlign w:val="bottom"/>
            <w:tcBorders>
              <w:bottom w:val="single" w:sz="8" w:color="231F20"/>
            </w:tcBorders>
          </w:tcPr>
          <w:p>
            <w:pPr>
              <w:jc w:val="right"/>
              <w:ind w:right="45"/>
              <w:spacing w:after="0"/>
              <w:rPr>
                <w:sz w:val="20"/>
                <w:szCs w:val="20"/>
                <w:color w:val="auto"/>
              </w:rPr>
            </w:pPr>
            <w:r>
              <w:rPr>
                <w:rFonts w:ascii="Times New Roman" w:cs="Times New Roman" w:eastAsia="Times New Roman" w:hAnsi="Times New Roman"/>
                <w:sz w:val="19"/>
                <w:szCs w:val="19"/>
                <w:b w:val="1"/>
                <w:bCs w:val="1"/>
                <w:color w:val="231F20"/>
              </w:rPr>
              <w:t>17.5</w:t>
            </w:r>
          </w:p>
        </w:tc>
        <w:tc>
          <w:tcPr>
            <w:tcW w:w="340" w:type="dxa"/>
            <w:vAlign w:val="bottom"/>
            <w:tcBorders>
              <w:bottom w:val="single" w:sz="8" w:color="231F20"/>
            </w:tcBorders>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60" w:type="dxa"/>
            <w:vAlign w:val="bottom"/>
            <w:tcBorders>
              <w:bottom w:val="single" w:sz="8" w:color="231F20"/>
            </w:tcBorders>
          </w:tcPr>
          <w:p>
            <w:pPr>
              <w:jc w:val="right"/>
              <w:ind w:right="45"/>
              <w:spacing w:after="0"/>
              <w:rPr>
                <w:sz w:val="20"/>
                <w:szCs w:val="20"/>
                <w:color w:val="auto"/>
              </w:rPr>
            </w:pPr>
            <w:r>
              <w:rPr>
                <w:rFonts w:ascii="Times New Roman" w:cs="Times New Roman" w:eastAsia="Times New Roman" w:hAnsi="Times New Roman"/>
                <w:sz w:val="19"/>
                <w:szCs w:val="19"/>
                <w:color w:val="231F20"/>
              </w:rPr>
              <w:t>16.3</w:t>
            </w:r>
          </w:p>
        </w:tc>
        <w:tc>
          <w:tcPr>
            <w:tcW w:w="340" w:type="dxa"/>
            <w:vAlign w:val="bottom"/>
            <w:tcBorders>
              <w:bottom w:val="single" w:sz="8" w:color="231F20"/>
            </w:tcBorders>
          </w:tcPr>
          <w:p>
            <w:pPr>
              <w:jc w:val="right"/>
              <w:ind w:right="83"/>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15.4</w:t>
            </w:r>
          </w:p>
        </w:tc>
      </w:tr>
    </w:tbl>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18. DERIVATIVES AND HEDGING</w:t>
      </w:r>
    </w:p>
    <w:p>
      <w:pPr>
        <w:spacing w:after="0" w:line="138" w:lineRule="exact"/>
        <w:rPr>
          <w:sz w:val="20"/>
          <w:szCs w:val="20"/>
          <w:color w:val="auto"/>
        </w:rPr>
      </w:pPr>
    </w:p>
    <w:p>
      <w:pPr>
        <w:ind w:right="60" w:firstLine="349"/>
        <w:spacing w:after="0" w:line="254" w:lineRule="auto"/>
        <w:rPr>
          <w:sz w:val="20"/>
          <w:szCs w:val="20"/>
          <w:color w:val="auto"/>
        </w:rPr>
      </w:pPr>
      <w:r>
        <w:rPr>
          <w:rFonts w:ascii="Times New Roman" w:cs="Times New Roman" w:eastAsia="Times New Roman" w:hAnsi="Times New Roman"/>
          <w:sz w:val="19"/>
          <w:szCs w:val="19"/>
          <w:color w:val="231F20"/>
        </w:rPr>
        <w:t>We utilize foreign currency forward contracts to hedge a portion of our monetary assets and liabilities denominated in foreign currencies, including intercompany transactions. Within each fiscal year, we also utilize foreign currency forward contracts to hedge a portion of our expected non-U.S. dollar-denominated earnings against our reporting currency, the U.S. dollar. Further, we utilize commodity swap contracts to hedge price changes in nickel that impact raw materials included in our Cost of revenues.</w:t>
      </w:r>
    </w:p>
    <w:p>
      <w:pPr>
        <w:spacing w:after="0" w:line="76" w:lineRule="exact"/>
        <w:rPr>
          <w:sz w:val="20"/>
          <w:szCs w:val="20"/>
          <w:color w:val="auto"/>
        </w:rPr>
      </w:pPr>
    </w:p>
    <w:p>
      <w:pPr>
        <w:ind w:right="240" w:firstLine="349"/>
        <w:spacing w:after="0" w:line="274" w:lineRule="auto"/>
        <w:rPr>
          <w:sz w:val="20"/>
          <w:szCs w:val="20"/>
          <w:color w:val="auto"/>
        </w:rPr>
      </w:pPr>
      <w:r>
        <w:rPr>
          <w:rFonts w:ascii="Times New Roman" w:cs="Times New Roman" w:eastAsia="Times New Roman" w:hAnsi="Times New Roman"/>
          <w:sz w:val="19"/>
          <w:szCs w:val="19"/>
          <w:color w:val="231F20"/>
        </w:rPr>
        <w:t>These contracts are not designated as hedging instruments and do not receive hedge accounting treatment; therefore, changes in their fair value are not deferred but are recognized immediately in the Consolidated Statements of Income. We do not use derivative financial instruments for speculative purposes.</w:t>
      </w:r>
    </w:p>
    <w:p>
      <w:pPr>
        <w:spacing w:after="0" w:line="67" w:lineRule="exact"/>
        <w:rPr>
          <w:sz w:val="20"/>
          <w:szCs w:val="20"/>
          <w:color w:val="auto"/>
        </w:rPr>
      </w:pPr>
    </w:p>
    <w:p>
      <w:pPr>
        <w:ind w:right="20" w:firstLine="349"/>
        <w:spacing w:after="0" w:line="274" w:lineRule="auto"/>
        <w:rPr>
          <w:sz w:val="20"/>
          <w:szCs w:val="20"/>
          <w:color w:val="auto"/>
        </w:rPr>
      </w:pPr>
      <w:r>
        <w:rPr>
          <w:rFonts w:ascii="Times New Roman" w:cs="Times New Roman" w:eastAsia="Times New Roman" w:hAnsi="Times New Roman"/>
          <w:sz w:val="19"/>
          <w:szCs w:val="19"/>
          <w:color w:val="231F20"/>
        </w:rPr>
        <w:t>At March 31, 2026, we held foreign currency forward contracts to buy 210.0 million Mexican pesos; and to sell 7.0 million New Zealand dollars and 4.0 million Australian dollars. At March 31, 2026, we held commodity swap contracts to buy 0.6 million pounds of nickel.</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940" w:type="dxa"/>
            <w:vAlign w:val="bottom"/>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3160" w:type="dxa"/>
            <w:vAlign w:val="bottom"/>
            <w:tcBorders>
              <w:bottom w:val="single" w:sz="8" w:color="231F20"/>
            </w:tcBorders>
            <w:gridSpan w:val="3"/>
          </w:tcPr>
          <w:p>
            <w:pPr>
              <w:jc w:val="right"/>
              <w:ind w:right="988"/>
              <w:spacing w:after="0"/>
              <w:rPr>
                <w:sz w:val="20"/>
                <w:szCs w:val="20"/>
                <w:color w:val="auto"/>
              </w:rPr>
            </w:pPr>
            <w:r>
              <w:rPr>
                <w:rFonts w:ascii="Times New Roman" w:cs="Times New Roman" w:eastAsia="Times New Roman" w:hAnsi="Times New Roman"/>
                <w:sz w:val="17"/>
                <w:szCs w:val="17"/>
                <w:color w:val="231F20"/>
              </w:rPr>
              <w:t>Asset Derivatives</w:t>
            </w:r>
          </w:p>
        </w:tc>
        <w:tc>
          <w:tcPr>
            <w:tcW w:w="60" w:type="dxa"/>
            <w:vAlign w:val="bottom"/>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3260" w:type="dxa"/>
            <w:vAlign w:val="bottom"/>
            <w:tcBorders>
              <w:bottom w:val="single" w:sz="8" w:color="231F20"/>
            </w:tcBorders>
            <w:gridSpan w:val="2"/>
          </w:tcPr>
          <w:p>
            <w:pPr>
              <w:jc w:val="center"/>
              <w:ind w:right="168"/>
              <w:spacing w:after="0"/>
              <w:rPr>
                <w:sz w:val="20"/>
                <w:szCs w:val="20"/>
                <w:color w:val="auto"/>
              </w:rPr>
            </w:pPr>
            <w:r>
              <w:rPr>
                <w:rFonts w:ascii="Times New Roman" w:cs="Times New Roman" w:eastAsia="Times New Roman" w:hAnsi="Times New Roman"/>
                <w:sz w:val="17"/>
                <w:szCs w:val="17"/>
                <w:color w:val="231F20"/>
              </w:rPr>
              <w:t>Liability Derivatives</w:t>
            </w:r>
          </w:p>
        </w:tc>
      </w:tr>
      <w:tr>
        <w:trPr>
          <w:trHeight w:val="214"/>
        </w:trPr>
        <w:tc>
          <w:tcPr>
            <w:tcW w:w="2940" w:type="dxa"/>
            <w:vAlign w:val="bottom"/>
          </w:tcPr>
          <w:p>
            <w:pPr>
              <w:ind w:left="60"/>
              <w:spacing w:after="0" w:line="214" w:lineRule="exact"/>
              <w:rPr>
                <w:sz w:val="20"/>
                <w:szCs w:val="20"/>
                <w:color w:val="auto"/>
              </w:rPr>
            </w:pPr>
            <w:r>
              <w:rPr>
                <w:rFonts w:ascii="Times New Roman" w:cs="Times New Roman" w:eastAsia="Times New Roman" w:hAnsi="Times New Roman"/>
                <w:sz w:val="19"/>
                <w:szCs w:val="19"/>
                <w:color w:val="231F20"/>
              </w:rPr>
              <w:t>(in millions)</w:t>
            </w:r>
          </w:p>
        </w:tc>
        <w:tc>
          <w:tcPr>
            <w:tcW w:w="240" w:type="dxa"/>
            <w:vAlign w:val="bottom"/>
          </w:tcPr>
          <w:p>
            <w:pPr>
              <w:spacing w:after="0"/>
              <w:rPr>
                <w:sz w:val="18"/>
                <w:szCs w:val="18"/>
                <w:color w:val="auto"/>
              </w:rPr>
            </w:pPr>
          </w:p>
        </w:tc>
        <w:tc>
          <w:tcPr>
            <w:tcW w:w="1540" w:type="dxa"/>
            <w:vAlign w:val="bottom"/>
          </w:tcPr>
          <w:p>
            <w:pPr>
              <w:jc w:val="right"/>
              <w:ind w:right="349"/>
              <w:spacing w:after="0"/>
              <w:rPr>
                <w:sz w:val="20"/>
                <w:szCs w:val="20"/>
                <w:color w:val="auto"/>
              </w:rPr>
            </w:pPr>
            <w:r>
              <w:rPr>
                <w:rFonts w:ascii="Times New Roman" w:cs="Times New Roman" w:eastAsia="Times New Roman" w:hAnsi="Times New Roman"/>
                <w:sz w:val="17"/>
                <w:szCs w:val="17"/>
                <w:color w:val="231F20"/>
              </w:rPr>
              <w:t>Fair Value at</w:t>
            </w:r>
          </w:p>
        </w:tc>
        <w:tc>
          <w:tcPr>
            <w:tcW w:w="240" w:type="dxa"/>
            <w:vAlign w:val="bottom"/>
          </w:tcPr>
          <w:p>
            <w:pPr>
              <w:spacing w:after="0"/>
              <w:rPr>
                <w:sz w:val="18"/>
                <w:szCs w:val="18"/>
                <w:color w:val="auto"/>
              </w:rPr>
            </w:pPr>
          </w:p>
        </w:tc>
        <w:tc>
          <w:tcPr>
            <w:tcW w:w="1380" w:type="dxa"/>
            <w:vAlign w:val="bottom"/>
          </w:tcPr>
          <w:p>
            <w:pPr>
              <w:jc w:val="right"/>
              <w:ind w:right="228"/>
              <w:spacing w:after="0"/>
              <w:rPr>
                <w:sz w:val="20"/>
                <w:szCs w:val="20"/>
                <w:color w:val="auto"/>
              </w:rPr>
            </w:pPr>
            <w:r>
              <w:rPr>
                <w:rFonts w:ascii="Times New Roman" w:cs="Times New Roman" w:eastAsia="Times New Roman" w:hAnsi="Times New Roman"/>
                <w:sz w:val="17"/>
                <w:szCs w:val="17"/>
                <w:color w:val="231F20"/>
              </w:rPr>
              <w:t>Fair Value at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center"/>
              <w:ind w:right="449"/>
              <w:spacing w:after="0"/>
              <w:rPr>
                <w:sz w:val="20"/>
                <w:szCs w:val="20"/>
                <w:color w:val="auto"/>
              </w:rPr>
            </w:pPr>
            <w:r>
              <w:rPr>
                <w:rFonts w:ascii="Times New Roman" w:cs="Times New Roman" w:eastAsia="Times New Roman" w:hAnsi="Times New Roman"/>
                <w:sz w:val="17"/>
                <w:szCs w:val="17"/>
                <w:color w:val="231F20"/>
              </w:rPr>
              <w:t>Fair Value at</w:t>
            </w:r>
          </w:p>
        </w:tc>
        <w:tc>
          <w:tcPr>
            <w:tcW w:w="1440" w:type="dxa"/>
            <w:vAlign w:val="bottom"/>
          </w:tcPr>
          <w:p>
            <w:pPr>
              <w:jc w:val="right"/>
              <w:ind w:right="288"/>
              <w:spacing w:after="0"/>
              <w:rPr>
                <w:sz w:val="20"/>
                <w:szCs w:val="20"/>
                <w:color w:val="auto"/>
              </w:rPr>
            </w:pPr>
            <w:r>
              <w:rPr>
                <w:rFonts w:ascii="Times New Roman" w:cs="Times New Roman" w:eastAsia="Times New Roman" w:hAnsi="Times New Roman"/>
                <w:sz w:val="17"/>
                <w:szCs w:val="17"/>
                <w:color w:val="231F20"/>
              </w:rPr>
              <w:t>Fair Value at</w:t>
            </w:r>
          </w:p>
        </w:tc>
      </w:tr>
      <w:tr>
        <w:trPr>
          <w:trHeight w:val="232"/>
        </w:trPr>
        <w:tc>
          <w:tcPr>
            <w:tcW w:w="294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7"/>
                <w:szCs w:val="17"/>
                <w:color w:val="231F20"/>
              </w:rPr>
              <w:t>Balance Sheet Location</w:t>
            </w:r>
          </w:p>
        </w:tc>
        <w:tc>
          <w:tcPr>
            <w:tcW w:w="240" w:type="dxa"/>
            <w:vAlign w:val="bottom"/>
            <w:tcBorders>
              <w:bottom w:val="single" w:sz="8" w:color="231F20"/>
            </w:tcBorders>
          </w:tcPr>
          <w:p>
            <w:pPr>
              <w:spacing w:after="0"/>
              <w:rPr>
                <w:sz w:val="20"/>
                <w:szCs w:val="20"/>
                <w:color w:val="auto"/>
              </w:rPr>
            </w:pPr>
          </w:p>
        </w:tc>
        <w:tc>
          <w:tcPr>
            <w:tcW w:w="1540" w:type="dxa"/>
            <w:vAlign w:val="bottom"/>
            <w:tcBorders>
              <w:bottom w:val="single" w:sz="8" w:color="231F20"/>
            </w:tcBorders>
          </w:tcPr>
          <w:p>
            <w:pPr>
              <w:jc w:val="right"/>
              <w:ind w:right="249"/>
              <w:spacing w:after="0"/>
              <w:rPr>
                <w:sz w:val="20"/>
                <w:szCs w:val="20"/>
                <w:color w:val="auto"/>
              </w:rPr>
            </w:pPr>
            <w:r>
              <w:rPr>
                <w:rFonts w:ascii="Times New Roman" w:cs="Times New Roman" w:eastAsia="Times New Roman" w:hAnsi="Times New Roman"/>
                <w:sz w:val="17"/>
                <w:szCs w:val="17"/>
                <w:color w:val="231F20"/>
              </w:rPr>
              <w:t>March 31, 2026</w:t>
            </w:r>
          </w:p>
        </w:tc>
        <w:tc>
          <w:tcPr>
            <w:tcW w:w="240" w:type="dxa"/>
            <w:vAlign w:val="bottom"/>
            <w:tcBorders>
              <w:bottom w:val="single" w:sz="8" w:color="231F20"/>
            </w:tcBorders>
          </w:tcPr>
          <w:p>
            <w:pPr>
              <w:spacing w:after="0"/>
              <w:rPr>
                <w:sz w:val="20"/>
                <w:szCs w:val="20"/>
                <w:color w:val="auto"/>
              </w:rPr>
            </w:pPr>
          </w:p>
        </w:tc>
        <w:tc>
          <w:tcPr>
            <w:tcW w:w="1380" w:type="dxa"/>
            <w:vAlign w:val="bottom"/>
            <w:tcBorders>
              <w:bottom w:val="single" w:sz="8" w:color="231F20"/>
            </w:tcBorders>
          </w:tcPr>
          <w:p>
            <w:pPr>
              <w:jc w:val="right"/>
              <w:ind w:right="128"/>
              <w:spacing w:after="0"/>
              <w:rPr>
                <w:sz w:val="20"/>
                <w:szCs w:val="20"/>
                <w:color w:val="auto"/>
              </w:rPr>
            </w:pPr>
            <w:r>
              <w:rPr>
                <w:rFonts w:ascii="Times New Roman" w:cs="Times New Roman" w:eastAsia="Times New Roman" w:hAnsi="Times New Roman"/>
                <w:sz w:val="17"/>
                <w:szCs w:val="17"/>
                <w:color w:val="231F20"/>
              </w:rPr>
              <w:t>March 31, 2025</w:t>
            </w:r>
          </w:p>
        </w:tc>
        <w:tc>
          <w:tcPr>
            <w:tcW w:w="60" w:type="dxa"/>
            <w:vAlign w:val="bottom"/>
            <w:tcBorders>
              <w:bottom w:val="single" w:sz="8" w:color="231F20"/>
            </w:tcBorders>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1820" w:type="dxa"/>
            <w:vAlign w:val="bottom"/>
            <w:tcBorders>
              <w:bottom w:val="single" w:sz="8" w:color="231F20"/>
            </w:tcBorders>
          </w:tcPr>
          <w:p>
            <w:pPr>
              <w:jc w:val="center"/>
              <w:ind w:right="449"/>
              <w:spacing w:after="0"/>
              <w:rPr>
                <w:sz w:val="20"/>
                <w:szCs w:val="20"/>
                <w:color w:val="auto"/>
              </w:rPr>
            </w:pPr>
            <w:r>
              <w:rPr>
                <w:rFonts w:ascii="Times New Roman" w:cs="Times New Roman" w:eastAsia="Times New Roman" w:hAnsi="Times New Roman"/>
                <w:sz w:val="17"/>
                <w:szCs w:val="17"/>
                <w:color w:val="231F20"/>
              </w:rPr>
              <w:t>March 31, 2026</w:t>
            </w:r>
          </w:p>
        </w:tc>
        <w:tc>
          <w:tcPr>
            <w:tcW w:w="1440" w:type="dxa"/>
            <w:vAlign w:val="bottom"/>
            <w:tcBorders>
              <w:bottom w:val="single" w:sz="8" w:color="231F20"/>
            </w:tcBorders>
          </w:tcPr>
          <w:p>
            <w:pPr>
              <w:jc w:val="right"/>
              <w:ind w:right="188"/>
              <w:spacing w:after="0"/>
              <w:rPr>
                <w:sz w:val="20"/>
                <w:szCs w:val="20"/>
                <w:color w:val="auto"/>
              </w:rPr>
            </w:pPr>
            <w:r>
              <w:rPr>
                <w:rFonts w:ascii="Times New Roman" w:cs="Times New Roman" w:eastAsia="Times New Roman" w:hAnsi="Times New Roman"/>
                <w:sz w:val="17"/>
                <w:szCs w:val="17"/>
                <w:color w:val="231F20"/>
              </w:rPr>
              <w:t>March 31, 2025</w:t>
            </w:r>
          </w:p>
        </w:tc>
      </w:tr>
      <w:tr>
        <w:trPr>
          <w:trHeight w:val="269"/>
        </w:trPr>
        <w:tc>
          <w:tcPr>
            <w:tcW w:w="294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Prepaid &amp; Other</w:t>
            </w: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1540" w:type="dxa"/>
            <w:vAlign w:val="bottom"/>
          </w:tcPr>
          <w:p>
            <w:pPr>
              <w:jc w:val="right"/>
              <w:ind w:right="9"/>
              <w:spacing w:after="0"/>
              <w:rPr>
                <w:sz w:val="20"/>
                <w:szCs w:val="20"/>
                <w:color w:val="auto"/>
              </w:rPr>
            </w:pPr>
            <w:r>
              <w:rPr>
                <w:rFonts w:ascii="Times New Roman" w:cs="Times New Roman" w:eastAsia="Times New Roman" w:hAnsi="Times New Roman"/>
                <w:sz w:val="19"/>
                <w:szCs w:val="19"/>
                <w:b w:val="1"/>
                <w:bCs w:val="1"/>
                <w:color w:val="231F20"/>
              </w:rPr>
              <w:t>0.2</w:t>
            </w: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0.1</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b w:val="1"/>
                <w:bCs w:val="1"/>
                <w:color w:val="231F20"/>
              </w:rPr>
              <w:t>$</w:t>
            </w:r>
          </w:p>
        </w:tc>
        <w:tc>
          <w:tcPr>
            <w:tcW w:w="1820" w:type="dxa"/>
            <w:vAlign w:val="bottom"/>
          </w:tcPr>
          <w:p>
            <w:pPr>
              <w:jc w:val="center"/>
              <w:ind w:left="1109"/>
              <w:spacing w:after="0"/>
              <w:rPr>
                <w:sz w:val="20"/>
                <w:szCs w:val="20"/>
                <w:color w:val="auto"/>
              </w:rPr>
            </w:pP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r>
      <w:tr>
        <w:trPr>
          <w:trHeight w:val="291"/>
        </w:trPr>
        <w:tc>
          <w:tcPr>
            <w:tcW w:w="294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Accrued expenses and other</w:t>
            </w:r>
          </w:p>
        </w:tc>
        <w:tc>
          <w:tcPr>
            <w:tcW w:w="240" w:type="dxa"/>
            <w:vAlign w:val="bottom"/>
          </w:tcPr>
          <w:p>
            <w:pPr>
              <w:spacing w:after="0"/>
              <w:rPr>
                <w:sz w:val="24"/>
                <w:szCs w:val="24"/>
                <w:color w:val="auto"/>
              </w:rPr>
            </w:pPr>
          </w:p>
        </w:tc>
        <w:tc>
          <w:tcPr>
            <w:tcW w:w="1540" w:type="dxa"/>
            <w:vAlign w:val="bottom"/>
          </w:tcPr>
          <w:p>
            <w:pPr>
              <w:jc w:val="right"/>
              <w:ind w:right="9"/>
              <w:spacing w:after="0"/>
              <w:rPr>
                <w:sz w:val="20"/>
                <w:szCs w:val="20"/>
                <w:color w:val="auto"/>
              </w:rPr>
            </w:pPr>
            <w:r>
              <w:rPr>
                <w:rFonts w:ascii="Times New Roman" w:cs="Times New Roman" w:eastAsia="Times New Roman" w:hAnsi="Times New Roman"/>
                <w:sz w:val="19"/>
                <w:szCs w:val="19"/>
                <w:b w:val="1"/>
                <w:bCs w:val="1"/>
                <w:color w:val="231F20"/>
              </w:rPr>
              <w:t>—</w:t>
            </w:r>
          </w:p>
        </w:tc>
        <w:tc>
          <w:tcPr>
            <w:tcW w:w="2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Pr>
          <w:p>
            <w:pPr>
              <w:jc w:val="right"/>
              <w:ind w:right="269"/>
              <w:spacing w:after="0"/>
              <w:rPr>
                <w:sz w:val="20"/>
                <w:szCs w:val="20"/>
                <w:color w:val="auto"/>
              </w:rPr>
            </w:pPr>
            <w:r>
              <w:rPr>
                <w:rFonts w:ascii="Times New Roman" w:cs="Times New Roman" w:eastAsia="Times New Roman" w:hAnsi="Times New Roman"/>
                <w:sz w:val="19"/>
                <w:szCs w:val="19"/>
                <w:b w:val="1"/>
                <w:bCs w:val="1"/>
                <w:color w:val="231F20"/>
              </w:rPr>
              <w:t>0.7</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0.6</w:t>
            </w:r>
          </w:p>
        </w:tc>
      </w:tr>
    </w:tbl>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The following table presents the impact of derivative instruments and their location within the Consolidated Statements of</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Income: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0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3520" w:type="dxa"/>
            <w:vAlign w:val="bottom"/>
            <w:tcBorders>
              <w:bottom w:val="single" w:sz="8" w:color="231F20"/>
            </w:tcBorders>
            <w:gridSpan w:val="5"/>
          </w:tcPr>
          <w:p>
            <w:pPr>
              <w:jc w:val="center"/>
              <w:ind w:right="146"/>
              <w:spacing w:after="0"/>
              <w:rPr>
                <w:sz w:val="20"/>
                <w:szCs w:val="20"/>
                <w:color w:val="auto"/>
              </w:rPr>
            </w:pPr>
            <w:r>
              <w:rPr>
                <w:rFonts w:ascii="Times New Roman" w:cs="Times New Roman" w:eastAsia="Times New Roman" w:hAnsi="Times New Roman"/>
                <w:sz w:val="17"/>
                <w:szCs w:val="17"/>
                <w:color w:val="231F20"/>
              </w:rPr>
              <w:t>Amount of (loss) gain recognized in income</w:t>
            </w:r>
          </w:p>
        </w:tc>
        <w:tc>
          <w:tcPr>
            <w:tcW w:w="0" w:type="dxa"/>
            <w:vAlign w:val="bottom"/>
          </w:tcPr>
          <w:p>
            <w:pPr>
              <w:spacing w:after="0"/>
              <w:rPr>
                <w:sz w:val="1"/>
                <w:szCs w:val="1"/>
                <w:color w:val="auto"/>
              </w:rPr>
            </w:pPr>
          </w:p>
        </w:tc>
      </w:tr>
      <w:tr>
        <w:trPr>
          <w:trHeight w:val="256"/>
        </w:trPr>
        <w:tc>
          <w:tcPr>
            <w:tcW w:w="3020" w:type="dxa"/>
            <w:vAlign w:val="bottom"/>
          </w:tcPr>
          <w:p>
            <w:pPr>
              <w:spacing w:after="0"/>
              <w:rPr>
                <w:sz w:val="22"/>
                <w:szCs w:val="22"/>
                <w:color w:val="auto"/>
              </w:rPr>
            </w:pPr>
          </w:p>
        </w:tc>
        <w:tc>
          <w:tcPr>
            <w:tcW w:w="3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231F20"/>
              </w:rPr>
              <w:t>Location of (loss) gain recognized in</w:t>
            </w:r>
          </w:p>
        </w:tc>
        <w:tc>
          <w:tcPr>
            <w:tcW w:w="240" w:type="dxa"/>
            <w:vAlign w:val="bottom"/>
            <w:tcBorders>
              <w:bottom w:val="single" w:sz="8" w:color="231F20"/>
            </w:tcBorders>
          </w:tcPr>
          <w:p>
            <w:pPr>
              <w:spacing w:after="0"/>
              <w:rPr>
                <w:sz w:val="22"/>
                <w:szCs w:val="22"/>
                <w:color w:val="auto"/>
              </w:rPr>
            </w:pPr>
          </w:p>
        </w:tc>
        <w:tc>
          <w:tcPr>
            <w:tcW w:w="2600" w:type="dxa"/>
            <w:vAlign w:val="bottom"/>
            <w:tcBorders>
              <w:bottom w:val="single" w:sz="8" w:color="231F20"/>
            </w:tcBorders>
            <w:gridSpan w:val="4"/>
          </w:tcPr>
          <w:p>
            <w:pPr>
              <w:jc w:val="center"/>
              <w:ind w:left="609"/>
              <w:spacing w:after="0"/>
              <w:rPr>
                <w:sz w:val="20"/>
                <w:szCs w:val="20"/>
                <w:color w:val="auto"/>
              </w:rPr>
            </w:pPr>
            <w:r>
              <w:rPr>
                <w:rFonts w:ascii="Times New Roman" w:cs="Times New Roman" w:eastAsia="Times New Roman" w:hAnsi="Times New Roman"/>
                <w:sz w:val="17"/>
                <w:szCs w:val="17"/>
                <w:color w:val="231F20"/>
              </w:rPr>
              <w:t>Years Ended March 31,</w:t>
            </w:r>
          </w:p>
        </w:tc>
        <w:tc>
          <w:tcPr>
            <w:tcW w:w="920" w:type="dxa"/>
            <w:vAlign w:val="bottom"/>
            <w:tcBorders>
              <w:bottom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3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231F20"/>
              </w:rPr>
              <w:t>(in millions)</w:t>
            </w:r>
          </w:p>
        </w:tc>
        <w:tc>
          <w:tcPr>
            <w:tcW w:w="316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vMerge w:val="restart"/>
          </w:tcPr>
          <w:p>
            <w:pPr>
              <w:jc w:val="right"/>
              <w:ind w:right="409"/>
              <w:spacing w:after="0"/>
              <w:rPr>
                <w:sz w:val="20"/>
                <w:szCs w:val="20"/>
                <w:color w:val="auto"/>
              </w:rPr>
            </w:pPr>
            <w:r>
              <w:rPr>
                <w:rFonts w:ascii="Times New Roman" w:cs="Times New Roman" w:eastAsia="Times New Roman" w:hAnsi="Times New Roman"/>
                <w:sz w:val="17"/>
                <w:szCs w:val="17"/>
                <w:color w:val="231F20"/>
              </w:rPr>
              <w:t>2026</w:t>
            </w:r>
          </w:p>
        </w:tc>
        <w:tc>
          <w:tcPr>
            <w:tcW w:w="320" w:type="dxa"/>
            <w:vAlign w:val="bottom"/>
          </w:tcPr>
          <w:p>
            <w:pPr>
              <w:spacing w:after="0"/>
              <w:rPr>
                <w:sz w:val="2"/>
                <w:szCs w:val="2"/>
                <w:color w:val="auto"/>
              </w:rPr>
            </w:pPr>
          </w:p>
        </w:tc>
        <w:tc>
          <w:tcPr>
            <w:tcW w:w="940" w:type="dxa"/>
            <w:vAlign w:val="bottom"/>
            <w:vMerge w:val="restart"/>
          </w:tcPr>
          <w:p>
            <w:pPr>
              <w:jc w:val="center"/>
              <w:ind w:right="246"/>
              <w:spacing w:after="0"/>
              <w:rPr>
                <w:sz w:val="20"/>
                <w:szCs w:val="20"/>
                <w:color w:val="auto"/>
              </w:rPr>
            </w:pPr>
            <w:r>
              <w:rPr>
                <w:rFonts w:ascii="Times New Roman" w:cs="Times New Roman" w:eastAsia="Times New Roman" w:hAnsi="Times New Roman"/>
                <w:sz w:val="17"/>
                <w:szCs w:val="17"/>
                <w:color w:val="231F20"/>
              </w:rPr>
              <w:t>2025</w:t>
            </w:r>
          </w:p>
        </w:tc>
        <w:tc>
          <w:tcPr>
            <w:tcW w:w="300" w:type="dxa"/>
            <w:vAlign w:val="bottom"/>
          </w:tcPr>
          <w:p>
            <w:pPr>
              <w:spacing w:after="0"/>
              <w:rPr>
                <w:sz w:val="2"/>
                <w:szCs w:val="2"/>
                <w:color w:val="auto"/>
              </w:rPr>
            </w:pPr>
          </w:p>
        </w:tc>
        <w:tc>
          <w:tcPr>
            <w:tcW w:w="920" w:type="dxa"/>
            <w:vAlign w:val="bottom"/>
            <w:vMerge w:val="restart"/>
          </w:tcPr>
          <w:p>
            <w:pPr>
              <w:jc w:val="right"/>
              <w:ind w:right="326"/>
              <w:spacing w:after="0"/>
              <w:rPr>
                <w:sz w:val="20"/>
                <w:szCs w:val="20"/>
                <w:color w:val="auto"/>
              </w:rPr>
            </w:pPr>
            <w:r>
              <w:rPr>
                <w:rFonts w:ascii="Times New Roman" w:cs="Times New Roman" w:eastAsia="Times New Roman" w:hAnsi="Times New Roman"/>
                <w:sz w:val="17"/>
                <w:szCs w:val="17"/>
                <w:color w:val="231F20"/>
              </w:rPr>
              <w:t>2024</w:t>
            </w:r>
          </w:p>
        </w:tc>
        <w:tc>
          <w:tcPr>
            <w:tcW w:w="0" w:type="dxa"/>
            <w:vAlign w:val="bottom"/>
          </w:tcPr>
          <w:p>
            <w:pPr>
              <w:spacing w:after="0" w:line="20" w:lineRule="exact"/>
              <w:rPr>
                <w:sz w:val="1"/>
                <w:szCs w:val="1"/>
                <w:color w:val="auto"/>
              </w:rPr>
            </w:pPr>
          </w:p>
        </w:tc>
      </w:tr>
      <w:tr>
        <w:trPr>
          <w:trHeight w:val="231"/>
        </w:trPr>
        <w:tc>
          <w:tcPr>
            <w:tcW w:w="3020" w:type="dxa"/>
            <w:vAlign w:val="bottom"/>
            <w:tcBorders>
              <w:bottom w:val="single" w:sz="8" w:color="231F20"/>
            </w:tcBorders>
            <w:vMerge w:val="continue"/>
          </w:tcPr>
          <w:p>
            <w:pPr>
              <w:spacing w:after="0"/>
              <w:rPr>
                <w:sz w:val="20"/>
                <w:szCs w:val="20"/>
                <w:color w:val="auto"/>
              </w:rPr>
            </w:pPr>
          </w:p>
        </w:tc>
        <w:tc>
          <w:tcPr>
            <w:tcW w:w="3400" w:type="dxa"/>
            <w:vAlign w:val="bottom"/>
            <w:tcBorders>
              <w:bottom w:val="single" w:sz="8" w:color="231F20"/>
            </w:tcBorders>
            <w:gridSpan w:val="2"/>
          </w:tcPr>
          <w:p>
            <w:pPr>
              <w:jc w:val="center"/>
              <w:ind w:right="160"/>
              <w:spacing w:after="0"/>
              <w:rPr>
                <w:sz w:val="20"/>
                <w:szCs w:val="20"/>
                <w:color w:val="auto"/>
              </w:rPr>
            </w:pPr>
            <w:r>
              <w:rPr>
                <w:rFonts w:ascii="Times New Roman" w:cs="Times New Roman" w:eastAsia="Times New Roman" w:hAnsi="Times New Roman"/>
                <w:sz w:val="17"/>
                <w:szCs w:val="17"/>
                <w:color w:val="231F20"/>
              </w:rPr>
              <w:t>income</w:t>
            </w:r>
          </w:p>
        </w:tc>
        <w:tc>
          <w:tcPr>
            <w:tcW w:w="1040" w:type="dxa"/>
            <w:vAlign w:val="bottom"/>
            <w:tcBorders>
              <w:bottom w:val="single" w:sz="8" w:color="231F20"/>
            </w:tcBorders>
            <w:vMerge w:val="continue"/>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vMerge w:val="continue"/>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30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Foreign currency forward contracts</w:t>
            </w:r>
          </w:p>
        </w:tc>
        <w:tc>
          <w:tcPr>
            <w:tcW w:w="3400" w:type="dxa"/>
            <w:vAlign w:val="bottom"/>
            <w:gridSpan w:val="2"/>
          </w:tcPr>
          <w:p>
            <w:pPr>
              <w:ind w:left="240"/>
              <w:spacing w:after="0"/>
              <w:rPr>
                <w:sz w:val="20"/>
                <w:szCs w:val="20"/>
                <w:color w:val="auto"/>
              </w:rPr>
            </w:pPr>
            <w:r>
              <w:rPr>
                <w:rFonts w:ascii="Times New Roman" w:cs="Times New Roman" w:eastAsia="Times New Roman" w:hAnsi="Times New Roman"/>
                <w:sz w:val="19"/>
                <w:szCs w:val="19"/>
                <w:color w:val="231F20"/>
              </w:rPr>
              <w:t xml:space="preserve">Selling, general, and administrative  </w:t>
            </w:r>
            <w:r>
              <w:rPr>
                <w:rFonts w:ascii="Times New Roman" w:cs="Times New Roman" w:eastAsia="Times New Roman" w:hAnsi="Times New Roman"/>
                <w:sz w:val="19"/>
                <w:szCs w:val="19"/>
                <w:b w:val="1"/>
                <w:bCs w:val="1"/>
                <w:color w:val="231F2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(0.5)</w:t>
            </w:r>
          </w:p>
        </w:tc>
        <w:tc>
          <w:tcPr>
            <w:tcW w:w="3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231F20"/>
              </w:rPr>
              <w:t>$</w:t>
            </w:r>
          </w:p>
        </w:tc>
        <w:tc>
          <w:tcPr>
            <w:tcW w:w="940" w:type="dxa"/>
            <w:vAlign w:val="bottom"/>
          </w:tcPr>
          <w:p>
            <w:pPr>
              <w:jc w:val="right"/>
              <w:ind w:right="46"/>
              <w:spacing w:after="0"/>
              <w:rPr>
                <w:sz w:val="20"/>
                <w:szCs w:val="20"/>
                <w:color w:val="auto"/>
              </w:rPr>
            </w:pPr>
            <w:r>
              <w:rPr>
                <w:rFonts w:ascii="Times New Roman" w:cs="Times New Roman" w:eastAsia="Times New Roman" w:hAnsi="Times New Roman"/>
                <w:sz w:val="19"/>
                <w:szCs w:val="19"/>
                <w:color w:val="231F20"/>
              </w:rPr>
              <w:t>2.0</w:t>
            </w:r>
          </w:p>
        </w:tc>
        <w:tc>
          <w:tcPr>
            <w:tcW w:w="30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1.3</w:t>
            </w:r>
          </w:p>
        </w:tc>
        <w:tc>
          <w:tcPr>
            <w:tcW w:w="0" w:type="dxa"/>
            <w:vAlign w:val="bottom"/>
          </w:tcPr>
          <w:p>
            <w:pPr>
              <w:spacing w:after="0"/>
              <w:rPr>
                <w:sz w:val="1"/>
                <w:szCs w:val="1"/>
                <w:color w:val="auto"/>
              </w:rPr>
            </w:pPr>
          </w:p>
        </w:tc>
      </w:tr>
      <w:tr>
        <w:trPr>
          <w:trHeight w:val="291"/>
        </w:trPr>
        <w:tc>
          <w:tcPr>
            <w:tcW w:w="30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Commodity swap contracts</w:t>
            </w:r>
          </w:p>
        </w:tc>
        <w:tc>
          <w:tcPr>
            <w:tcW w:w="3400" w:type="dxa"/>
            <w:vAlign w:val="bottom"/>
            <w:gridSpan w:val="2"/>
          </w:tcPr>
          <w:p>
            <w:pPr>
              <w:jc w:val="center"/>
              <w:ind w:right="160"/>
              <w:spacing w:after="0"/>
              <w:rPr>
                <w:sz w:val="20"/>
                <w:szCs w:val="20"/>
                <w:color w:val="auto"/>
              </w:rPr>
            </w:pPr>
            <w:r>
              <w:rPr>
                <w:rFonts w:ascii="Times New Roman" w:cs="Times New Roman" w:eastAsia="Times New Roman" w:hAnsi="Times New Roman"/>
                <w:sz w:val="19"/>
                <w:szCs w:val="19"/>
                <w:color w:val="231F20"/>
              </w:rPr>
              <w:t>Cost of revenues</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(0.6)</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(0.2)</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940"/>
          </w:cols>
          <w:pgMar w:left="960" w:top="25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98</w:t>
      </w:r>
    </w:p>
    <w:p>
      <w:pPr>
        <w:sectPr>
          <w:pgSz w:w="11880" w:h="15480" w:orient="portrait"/>
          <w:cols w:equalWidth="0" w:num="1">
            <w:col w:w="9940"/>
          </w:cols>
          <w:pgMar w:left="960" w:top="250" w:right="980" w:bottom="0" w:gutter="0" w:footer="0" w:header="0"/>
          <w:type w:val="continuous"/>
        </w:sectPr>
      </w:pPr>
    </w:p>
    <w:bookmarkStart w:id="99" w:name="page100"/>
    <w:bookmarkEnd w:id="99"/>
    <w:p>
      <w:pPr>
        <w:jc w:val="center"/>
        <w:ind w:right="280"/>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8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7"/>
          <w:szCs w:val="27"/>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19. FAIR VALUE MEASUREMENTS</w:t>
      </w:r>
    </w:p>
    <w:p>
      <w:pPr>
        <w:spacing w:after="0" w:line="138" w:lineRule="exact"/>
        <w:rPr>
          <w:sz w:val="20"/>
          <w:szCs w:val="20"/>
          <w:color w:val="auto"/>
        </w:rPr>
      </w:pPr>
    </w:p>
    <w:p>
      <w:pPr>
        <w:ind w:right="380" w:firstLine="349"/>
        <w:spacing w:after="0" w:line="261" w:lineRule="auto"/>
        <w:rPr>
          <w:sz w:val="20"/>
          <w:szCs w:val="20"/>
          <w:color w:val="auto"/>
        </w:rPr>
      </w:pPr>
      <w:r>
        <w:rPr>
          <w:rFonts w:ascii="Times New Roman" w:cs="Times New Roman" w:eastAsia="Times New Roman" w:hAnsi="Times New Roman"/>
          <w:sz w:val="19"/>
          <w:szCs w:val="19"/>
          <w:color w:val="231F20"/>
        </w:rPr>
        <w:t>Fair value is defined as the price that would be received to sell an asset or that would be paid to transfer a liability in an orderly transaction between market participants at the measurement date. We estimate the fair value of financial assets and liabilities using available market information and generally accepted valuation methodologies. The inputs used to measure fair value are classified into three tiers.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the entity to develop its own assumptions. The following table shows the fair value of our financial assets and liabilities at March 31, 2026 and March 31, 2025:</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02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(in millions)</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680" w:type="dxa"/>
            <w:vAlign w:val="bottom"/>
            <w:tcBorders>
              <w:bottom w:val="single" w:sz="8" w:color="231F20"/>
            </w:tcBorders>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680" w:type="dxa"/>
            <w:vAlign w:val="bottom"/>
            <w:tcBorders>
              <w:bottom w:val="single" w:sz="8" w:color="231F20"/>
            </w:tcBorders>
          </w:tcPr>
          <w:p>
            <w:pPr>
              <w:spacing w:after="0"/>
              <w:rPr>
                <w:sz w:val="20"/>
                <w:szCs w:val="20"/>
                <w:color w:val="auto"/>
              </w:rPr>
            </w:pPr>
          </w:p>
        </w:tc>
        <w:tc>
          <w:tcPr>
            <w:tcW w:w="2040" w:type="dxa"/>
            <w:vAlign w:val="bottom"/>
            <w:tcBorders>
              <w:bottom w:val="single" w:sz="8" w:color="231F20"/>
            </w:tcBorders>
            <w:gridSpan w:val="5"/>
          </w:tcPr>
          <w:p>
            <w:pPr>
              <w:ind w:left="120"/>
              <w:spacing w:after="0"/>
              <w:rPr>
                <w:sz w:val="20"/>
                <w:szCs w:val="20"/>
                <w:color w:val="auto"/>
              </w:rPr>
            </w:pPr>
            <w:r>
              <w:rPr>
                <w:rFonts w:ascii="Times New Roman" w:cs="Times New Roman" w:eastAsia="Times New Roman" w:hAnsi="Times New Roman"/>
                <w:sz w:val="17"/>
                <w:szCs w:val="17"/>
                <w:color w:val="231F20"/>
              </w:rPr>
              <w:t>Fair Value Measurements</w:t>
            </w:r>
          </w:p>
        </w:tc>
        <w:tc>
          <w:tcPr>
            <w:tcW w:w="840" w:type="dxa"/>
            <w:vAlign w:val="bottom"/>
            <w:tcBorders>
              <w:bottom w:val="single" w:sz="8" w:color="231F20"/>
            </w:tcBorders>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66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3"/>
          </w:tcPr>
          <w:p>
            <w:pPr>
              <w:jc w:val="center"/>
              <w:ind w:right="81"/>
              <w:spacing w:after="0"/>
              <w:rPr>
                <w:sz w:val="20"/>
                <w:szCs w:val="20"/>
                <w:color w:val="auto"/>
              </w:rPr>
            </w:pPr>
            <w:r>
              <w:rPr>
                <w:rFonts w:ascii="Times New Roman" w:cs="Times New Roman" w:eastAsia="Times New Roman" w:hAnsi="Times New Roman"/>
                <w:sz w:val="17"/>
                <w:szCs w:val="17"/>
                <w:color w:val="231F20"/>
              </w:rPr>
              <w:t>Quoted Prices</w:t>
            </w:r>
          </w:p>
        </w:tc>
        <w:tc>
          <w:tcPr>
            <w:tcW w:w="200" w:type="dxa"/>
            <w:vAlign w:val="bottom"/>
          </w:tcPr>
          <w:p>
            <w:pPr>
              <w:spacing w:after="0"/>
              <w:rPr>
                <w:sz w:val="24"/>
                <w:szCs w:val="24"/>
                <w:color w:val="auto"/>
              </w:rPr>
            </w:pPr>
          </w:p>
        </w:tc>
        <w:tc>
          <w:tcPr>
            <w:tcW w:w="1540" w:type="dxa"/>
            <w:vAlign w:val="bottom"/>
            <w:gridSpan w:val="3"/>
            <w:vMerge w:val="restart"/>
          </w:tcPr>
          <w:p>
            <w:pPr>
              <w:jc w:val="center"/>
              <w:ind w:right="101"/>
              <w:spacing w:after="0"/>
              <w:rPr>
                <w:sz w:val="20"/>
                <w:szCs w:val="20"/>
                <w:color w:val="auto"/>
              </w:rPr>
            </w:pPr>
            <w:r>
              <w:rPr>
                <w:rFonts w:ascii="Times New Roman" w:cs="Times New Roman" w:eastAsia="Times New Roman" w:hAnsi="Times New Roman"/>
                <w:sz w:val="17"/>
                <w:szCs w:val="17"/>
                <w:color w:val="231F20"/>
              </w:rPr>
              <w:t>Significant Other</w:t>
            </w:r>
          </w:p>
        </w:tc>
        <w:tc>
          <w:tcPr>
            <w:tcW w:w="300" w:type="dxa"/>
            <w:vAlign w:val="bottom"/>
          </w:tcPr>
          <w:p>
            <w:pPr>
              <w:spacing w:after="0"/>
              <w:rPr>
                <w:sz w:val="24"/>
                <w:szCs w:val="24"/>
                <w:color w:val="auto"/>
              </w:rPr>
            </w:pPr>
          </w:p>
        </w:tc>
        <w:tc>
          <w:tcPr>
            <w:tcW w:w="1680" w:type="dxa"/>
            <w:vAlign w:val="bottom"/>
            <w:gridSpan w:val="3"/>
          </w:tcPr>
          <w:p>
            <w:pPr>
              <w:jc w:val="center"/>
              <w:ind w:right="201"/>
              <w:spacing w:after="0"/>
              <w:rPr>
                <w:sz w:val="20"/>
                <w:szCs w:val="20"/>
                <w:color w:val="auto"/>
              </w:rPr>
            </w:pPr>
            <w:r>
              <w:rPr>
                <w:rFonts w:ascii="Times New Roman" w:cs="Times New Roman" w:eastAsia="Times New Roman" w:hAnsi="Times New Roman"/>
                <w:sz w:val="17"/>
                <w:szCs w:val="17"/>
                <w:color w:val="231F20"/>
              </w:rPr>
              <w:t>Significant</w:t>
            </w:r>
          </w:p>
        </w:tc>
        <w:tc>
          <w:tcPr>
            <w:tcW w:w="0" w:type="dxa"/>
            <w:vAlign w:val="bottom"/>
          </w:tcPr>
          <w:p>
            <w:pPr>
              <w:spacing w:after="0"/>
              <w:rPr>
                <w:sz w:val="1"/>
                <w:szCs w:val="1"/>
                <w:color w:val="auto"/>
              </w:rPr>
            </w:pPr>
          </w:p>
        </w:tc>
      </w:tr>
      <w:tr>
        <w:trPr>
          <w:trHeight w:val="175"/>
        </w:trPr>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3"/>
            <w:vMerge w:val="restart"/>
          </w:tcPr>
          <w:p>
            <w:pPr>
              <w:jc w:val="right"/>
              <w:ind w:right="261"/>
              <w:spacing w:after="0"/>
              <w:rPr>
                <w:sz w:val="20"/>
                <w:szCs w:val="20"/>
                <w:color w:val="auto"/>
              </w:rPr>
            </w:pPr>
            <w:r>
              <w:rPr>
                <w:rFonts w:ascii="Times New Roman" w:cs="Times New Roman" w:eastAsia="Times New Roman" w:hAnsi="Times New Roman"/>
                <w:sz w:val="17"/>
                <w:szCs w:val="17"/>
                <w:color w:val="231F20"/>
              </w:rPr>
              <w:t>Carrying Value</w:t>
            </w:r>
          </w:p>
        </w:tc>
        <w:tc>
          <w:tcPr>
            <w:tcW w:w="220" w:type="dxa"/>
            <w:vAlign w:val="bottom"/>
          </w:tcPr>
          <w:p>
            <w:pPr>
              <w:spacing w:after="0"/>
              <w:rPr>
                <w:sz w:val="15"/>
                <w:szCs w:val="15"/>
                <w:color w:val="auto"/>
              </w:rPr>
            </w:pPr>
          </w:p>
        </w:tc>
        <w:tc>
          <w:tcPr>
            <w:tcW w:w="1540" w:type="dxa"/>
            <w:vAlign w:val="bottom"/>
            <w:gridSpan w:val="3"/>
          </w:tcPr>
          <w:p>
            <w:pPr>
              <w:jc w:val="center"/>
              <w:ind w:right="81"/>
              <w:spacing w:after="0" w:line="175" w:lineRule="exact"/>
              <w:rPr>
                <w:sz w:val="20"/>
                <w:szCs w:val="20"/>
                <w:color w:val="auto"/>
              </w:rPr>
            </w:pPr>
            <w:r>
              <w:rPr>
                <w:rFonts w:ascii="Times New Roman" w:cs="Times New Roman" w:eastAsia="Times New Roman" w:hAnsi="Times New Roman"/>
                <w:sz w:val="17"/>
                <w:szCs w:val="17"/>
                <w:color w:val="231F20"/>
              </w:rPr>
              <w:t>in Active Markets</w:t>
            </w:r>
          </w:p>
        </w:tc>
        <w:tc>
          <w:tcPr>
            <w:tcW w:w="200" w:type="dxa"/>
            <w:vAlign w:val="bottom"/>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3"/>
          </w:tcPr>
          <w:p>
            <w:pPr>
              <w:jc w:val="center"/>
              <w:ind w:right="181"/>
              <w:spacing w:after="0" w:line="175" w:lineRule="exact"/>
              <w:rPr>
                <w:sz w:val="20"/>
                <w:szCs w:val="20"/>
                <w:color w:val="auto"/>
              </w:rPr>
            </w:pPr>
            <w:r>
              <w:rPr>
                <w:rFonts w:ascii="Times New Roman" w:cs="Times New Roman" w:eastAsia="Times New Roman" w:hAnsi="Times New Roman"/>
                <w:sz w:val="17"/>
                <w:szCs w:val="17"/>
                <w:color w:val="231F20"/>
              </w:rPr>
              <w:t>Unobservable</w:t>
            </w:r>
          </w:p>
        </w:tc>
        <w:tc>
          <w:tcPr>
            <w:tcW w:w="0" w:type="dxa"/>
            <w:vAlign w:val="bottom"/>
          </w:tcPr>
          <w:p>
            <w:pPr>
              <w:spacing w:after="0"/>
              <w:rPr>
                <w:sz w:val="1"/>
                <w:szCs w:val="1"/>
                <w:color w:val="auto"/>
              </w:rPr>
            </w:pPr>
          </w:p>
        </w:tc>
      </w:tr>
      <w:tr>
        <w:trPr>
          <w:trHeight w:val="231"/>
        </w:trPr>
        <w:tc>
          <w:tcPr>
            <w:tcW w:w="302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1540" w:type="dxa"/>
            <w:vAlign w:val="bottom"/>
            <w:tcBorders>
              <w:bottom w:val="single" w:sz="8" w:color="231F20"/>
            </w:tcBorders>
            <w:gridSpan w:val="3"/>
            <w:vMerge w:val="continue"/>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1540" w:type="dxa"/>
            <w:vAlign w:val="bottom"/>
            <w:tcBorders>
              <w:bottom w:val="single" w:sz="8" w:color="231F20"/>
            </w:tcBorders>
            <w:gridSpan w:val="3"/>
          </w:tcPr>
          <w:p>
            <w:pPr>
              <w:jc w:val="center"/>
              <w:ind w:right="101"/>
              <w:spacing w:after="0"/>
              <w:rPr>
                <w:sz w:val="20"/>
                <w:szCs w:val="20"/>
                <w:color w:val="auto"/>
              </w:rPr>
            </w:pPr>
            <w:r>
              <w:rPr>
                <w:rFonts w:ascii="Times New Roman" w:cs="Times New Roman" w:eastAsia="Times New Roman" w:hAnsi="Times New Roman"/>
                <w:sz w:val="17"/>
                <w:szCs w:val="17"/>
                <w:color w:val="231F20"/>
              </w:rPr>
              <w:t>for Identical Assets</w:t>
            </w:r>
          </w:p>
        </w:tc>
        <w:tc>
          <w:tcPr>
            <w:tcW w:w="200" w:type="dxa"/>
            <w:vAlign w:val="bottom"/>
            <w:tcBorders>
              <w:bottom w:val="single" w:sz="8" w:color="231F20"/>
            </w:tcBorders>
          </w:tcPr>
          <w:p>
            <w:pPr>
              <w:spacing w:after="0"/>
              <w:rPr>
                <w:sz w:val="20"/>
                <w:szCs w:val="20"/>
                <w:color w:val="auto"/>
              </w:rPr>
            </w:pPr>
          </w:p>
        </w:tc>
        <w:tc>
          <w:tcPr>
            <w:tcW w:w="1540" w:type="dxa"/>
            <w:vAlign w:val="bottom"/>
            <w:tcBorders>
              <w:bottom w:val="single" w:sz="8" w:color="231F20"/>
            </w:tcBorders>
            <w:gridSpan w:val="3"/>
          </w:tcPr>
          <w:p>
            <w:pPr>
              <w:jc w:val="center"/>
              <w:ind w:right="101"/>
              <w:spacing w:after="0"/>
              <w:rPr>
                <w:sz w:val="20"/>
                <w:szCs w:val="20"/>
                <w:color w:val="auto"/>
              </w:rPr>
            </w:pPr>
            <w:r>
              <w:rPr>
                <w:rFonts w:ascii="Times New Roman" w:cs="Times New Roman" w:eastAsia="Times New Roman" w:hAnsi="Times New Roman"/>
                <w:sz w:val="17"/>
                <w:szCs w:val="17"/>
                <w:color w:val="231F20"/>
              </w:rPr>
              <w:t>Observable Inputs</w:t>
            </w:r>
          </w:p>
        </w:tc>
        <w:tc>
          <w:tcPr>
            <w:tcW w:w="30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gridSpan w:val="2"/>
          </w:tcPr>
          <w:p>
            <w:pPr>
              <w:jc w:val="center"/>
              <w:ind w:left="299"/>
              <w:spacing w:after="0"/>
              <w:rPr>
                <w:sz w:val="20"/>
                <w:szCs w:val="20"/>
                <w:color w:val="auto"/>
              </w:rPr>
            </w:pPr>
            <w:r>
              <w:rPr>
                <w:rFonts w:ascii="Times New Roman" w:cs="Times New Roman" w:eastAsia="Times New Roman" w:hAnsi="Times New Roman"/>
                <w:sz w:val="17"/>
                <w:szCs w:val="17"/>
                <w:color w:val="231F20"/>
              </w:rPr>
              <w:t>Inputs</w:t>
            </w:r>
          </w:p>
        </w:tc>
        <w:tc>
          <w:tcPr>
            <w:tcW w:w="66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020" w:type="dxa"/>
            <w:vAlign w:val="bottom"/>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660" w:type="dxa"/>
            <w:vAlign w:val="bottom"/>
            <w:tcBorders>
              <w:bottom w:val="single" w:sz="8" w:color="231F20"/>
            </w:tcBorders>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680" w:type="dxa"/>
            <w:vAlign w:val="bottom"/>
            <w:tcBorders>
              <w:bottom w:val="single" w:sz="8" w:color="231F20"/>
            </w:tcBorders>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1540" w:type="dxa"/>
            <w:vAlign w:val="bottom"/>
            <w:tcBorders>
              <w:bottom w:val="single" w:sz="8" w:color="231F20"/>
            </w:tcBorders>
            <w:gridSpan w:val="3"/>
          </w:tcPr>
          <w:p>
            <w:pPr>
              <w:jc w:val="center"/>
              <w:ind w:right="101"/>
              <w:spacing w:after="0"/>
              <w:rPr>
                <w:sz w:val="20"/>
                <w:szCs w:val="20"/>
                <w:color w:val="auto"/>
              </w:rPr>
            </w:pPr>
            <w:r>
              <w:rPr>
                <w:rFonts w:ascii="Times New Roman" w:cs="Times New Roman" w:eastAsia="Times New Roman" w:hAnsi="Times New Roman"/>
                <w:sz w:val="17"/>
                <w:szCs w:val="17"/>
                <w:color w:val="231F20"/>
              </w:rPr>
              <w:t>Level 1</w:t>
            </w:r>
          </w:p>
        </w:tc>
        <w:tc>
          <w:tcPr>
            <w:tcW w:w="200" w:type="dxa"/>
            <w:vAlign w:val="bottom"/>
            <w:tcBorders>
              <w:bottom w:val="single" w:sz="8" w:color="231F20"/>
            </w:tcBorders>
          </w:tcPr>
          <w:p>
            <w:pPr>
              <w:spacing w:after="0"/>
              <w:rPr>
                <w:sz w:val="19"/>
                <w:szCs w:val="19"/>
                <w:color w:val="auto"/>
              </w:rPr>
            </w:pPr>
          </w:p>
        </w:tc>
        <w:tc>
          <w:tcPr>
            <w:tcW w:w="1540" w:type="dxa"/>
            <w:vAlign w:val="bottom"/>
            <w:tcBorders>
              <w:bottom w:val="single" w:sz="8" w:color="231F20"/>
            </w:tcBorders>
            <w:gridSpan w:val="3"/>
          </w:tcPr>
          <w:p>
            <w:pPr>
              <w:jc w:val="center"/>
              <w:ind w:right="101"/>
              <w:spacing w:after="0"/>
              <w:rPr>
                <w:sz w:val="20"/>
                <w:szCs w:val="20"/>
                <w:color w:val="auto"/>
              </w:rPr>
            </w:pPr>
            <w:r>
              <w:rPr>
                <w:rFonts w:ascii="Times New Roman" w:cs="Times New Roman" w:eastAsia="Times New Roman" w:hAnsi="Times New Roman"/>
                <w:sz w:val="17"/>
                <w:szCs w:val="17"/>
                <w:color w:val="231F20"/>
              </w:rPr>
              <w:t>Level 2</w:t>
            </w:r>
          </w:p>
        </w:tc>
        <w:tc>
          <w:tcPr>
            <w:tcW w:w="30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tcBorders>
            <w:gridSpan w:val="2"/>
          </w:tcPr>
          <w:p>
            <w:pPr>
              <w:jc w:val="center"/>
              <w:ind w:left="319"/>
              <w:spacing w:after="0"/>
              <w:rPr>
                <w:sz w:val="20"/>
                <w:szCs w:val="20"/>
                <w:color w:val="auto"/>
              </w:rPr>
            </w:pPr>
            <w:r>
              <w:rPr>
                <w:rFonts w:ascii="Times New Roman" w:cs="Times New Roman" w:eastAsia="Times New Roman" w:hAnsi="Times New Roman"/>
                <w:sz w:val="17"/>
                <w:szCs w:val="17"/>
                <w:color w:val="231F20"/>
              </w:rPr>
              <w:t>Level 3</w:t>
            </w:r>
          </w:p>
        </w:tc>
        <w:tc>
          <w:tcPr>
            <w:tcW w:w="660" w:type="dxa"/>
            <w:vAlign w:val="bottom"/>
            <w:tcBorders>
              <w:bottom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020" w:type="dxa"/>
            <w:vAlign w:val="bottom"/>
            <w:tcBorders>
              <w:bottom w:val="single" w:sz="8" w:color="231F20"/>
            </w:tcBorders>
          </w:tcPr>
          <w:p>
            <w:pPr>
              <w:ind w:left="100"/>
              <w:spacing w:after="0"/>
              <w:rPr>
                <w:sz w:val="20"/>
                <w:szCs w:val="20"/>
                <w:color w:val="auto"/>
              </w:rPr>
            </w:pPr>
            <w:r>
              <w:rPr>
                <w:rFonts w:ascii="Times New Roman" w:cs="Times New Roman" w:eastAsia="Times New Roman" w:hAnsi="Times New Roman"/>
                <w:sz w:val="17"/>
                <w:szCs w:val="17"/>
                <w:color w:val="231F20"/>
              </w:rPr>
              <w:t>At March 31,</w:t>
            </w:r>
          </w:p>
        </w:tc>
        <w:tc>
          <w:tcPr>
            <w:tcW w:w="200" w:type="dxa"/>
            <w:vAlign w:val="bottom"/>
            <w:tcBorders>
              <w:bottom w:val="single" w:sz="8" w:color="231F20"/>
            </w:tcBorders>
          </w:tcPr>
          <w:p>
            <w:pPr>
              <w:spacing w:after="0"/>
              <w:rPr>
                <w:sz w:val="19"/>
                <w:szCs w:val="19"/>
                <w:color w:val="auto"/>
              </w:rPr>
            </w:pPr>
          </w:p>
        </w:tc>
        <w:tc>
          <w:tcPr>
            <w:tcW w:w="660" w:type="dxa"/>
            <w:vAlign w:val="bottom"/>
            <w:tcBorders>
              <w:bottom w:val="single" w:sz="8" w:color="231F20"/>
            </w:tcBorders>
          </w:tcPr>
          <w:p>
            <w:pPr>
              <w:jc w:val="right"/>
              <w:ind w:right="180"/>
              <w:spacing w:after="0"/>
              <w:rPr>
                <w:sz w:val="20"/>
                <w:szCs w:val="20"/>
                <w:color w:val="auto"/>
              </w:rPr>
            </w:pPr>
            <w:r>
              <w:rPr>
                <w:rFonts w:ascii="Times New Roman" w:cs="Times New Roman" w:eastAsia="Times New Roman" w:hAnsi="Times New Roman"/>
                <w:sz w:val="17"/>
                <w:szCs w:val="17"/>
                <w:color w:val="231F20"/>
              </w:rPr>
              <w:t>2026</w:t>
            </w:r>
          </w:p>
        </w:tc>
        <w:tc>
          <w:tcPr>
            <w:tcW w:w="200" w:type="dxa"/>
            <w:vAlign w:val="bottom"/>
            <w:tcBorders>
              <w:bottom w:val="single" w:sz="8" w:color="231F20"/>
            </w:tcBorders>
          </w:tcPr>
          <w:p>
            <w:pPr>
              <w:spacing w:after="0"/>
              <w:rPr>
                <w:sz w:val="19"/>
                <w:szCs w:val="19"/>
                <w:color w:val="auto"/>
              </w:rPr>
            </w:pPr>
          </w:p>
        </w:tc>
        <w:tc>
          <w:tcPr>
            <w:tcW w:w="680" w:type="dxa"/>
            <w:vAlign w:val="bottom"/>
            <w:tcBorders>
              <w:bottom w:val="single" w:sz="8" w:color="231F20"/>
            </w:tcBorders>
          </w:tcPr>
          <w:p>
            <w:pPr>
              <w:jc w:val="right"/>
              <w:ind w:right="181"/>
              <w:spacing w:after="0"/>
              <w:rPr>
                <w:sz w:val="20"/>
                <w:szCs w:val="20"/>
                <w:color w:val="auto"/>
              </w:rPr>
            </w:pPr>
            <w:r>
              <w:rPr>
                <w:rFonts w:ascii="Times New Roman" w:cs="Times New Roman" w:eastAsia="Times New Roman" w:hAnsi="Times New Roman"/>
                <w:sz w:val="17"/>
                <w:szCs w:val="17"/>
                <w:color w:val="231F20"/>
              </w:rPr>
              <w:t>2025</w:t>
            </w:r>
          </w:p>
        </w:tc>
        <w:tc>
          <w:tcPr>
            <w:tcW w:w="220" w:type="dxa"/>
            <w:vAlign w:val="bottom"/>
            <w:tcBorders>
              <w:bottom w:val="single" w:sz="8" w:color="231F20"/>
            </w:tcBorders>
          </w:tcPr>
          <w:p>
            <w:pPr>
              <w:spacing w:after="0"/>
              <w:rPr>
                <w:sz w:val="19"/>
                <w:szCs w:val="19"/>
                <w:color w:val="auto"/>
              </w:rPr>
            </w:pPr>
          </w:p>
        </w:tc>
        <w:tc>
          <w:tcPr>
            <w:tcW w:w="680" w:type="dxa"/>
            <w:vAlign w:val="bottom"/>
            <w:tcBorders>
              <w:bottom w:val="single" w:sz="8" w:color="231F20"/>
            </w:tcBorders>
          </w:tcPr>
          <w:p>
            <w:pPr>
              <w:jc w:val="right"/>
              <w:ind w:right="159"/>
              <w:spacing w:after="0"/>
              <w:rPr>
                <w:sz w:val="20"/>
                <w:szCs w:val="20"/>
                <w:color w:val="auto"/>
              </w:rPr>
            </w:pPr>
            <w:r>
              <w:rPr>
                <w:rFonts w:ascii="Times New Roman" w:cs="Times New Roman" w:eastAsia="Times New Roman" w:hAnsi="Times New Roman"/>
                <w:sz w:val="17"/>
                <w:szCs w:val="17"/>
                <w:color w:val="231F20"/>
              </w:rPr>
              <w:t>2026</w:t>
            </w:r>
          </w:p>
        </w:tc>
        <w:tc>
          <w:tcPr>
            <w:tcW w:w="180" w:type="dxa"/>
            <w:vAlign w:val="bottom"/>
            <w:tcBorders>
              <w:bottom w:val="single" w:sz="8" w:color="231F20"/>
            </w:tcBorders>
          </w:tcPr>
          <w:p>
            <w:pPr>
              <w:spacing w:after="0"/>
              <w:rPr>
                <w:sz w:val="19"/>
                <w:szCs w:val="19"/>
                <w:color w:val="auto"/>
              </w:rPr>
            </w:pPr>
          </w:p>
        </w:tc>
        <w:tc>
          <w:tcPr>
            <w:tcW w:w="680" w:type="dxa"/>
            <w:vAlign w:val="bottom"/>
            <w:tcBorders>
              <w:bottom w:val="single" w:sz="8" w:color="231F20"/>
            </w:tcBorders>
          </w:tcPr>
          <w:p>
            <w:pPr>
              <w:jc w:val="right"/>
              <w:ind w:right="181"/>
              <w:spacing w:after="0"/>
              <w:rPr>
                <w:sz w:val="20"/>
                <w:szCs w:val="20"/>
                <w:color w:val="auto"/>
              </w:rPr>
            </w:pPr>
            <w:r>
              <w:rPr>
                <w:rFonts w:ascii="Times New Roman" w:cs="Times New Roman" w:eastAsia="Times New Roman" w:hAnsi="Times New Roman"/>
                <w:sz w:val="17"/>
                <w:szCs w:val="17"/>
                <w:color w:val="231F20"/>
              </w:rPr>
              <w:t>2025</w:t>
            </w:r>
          </w:p>
        </w:tc>
        <w:tc>
          <w:tcPr>
            <w:tcW w:w="200" w:type="dxa"/>
            <w:vAlign w:val="bottom"/>
            <w:tcBorders>
              <w:bottom w:val="single" w:sz="8" w:color="231F20"/>
            </w:tcBorders>
          </w:tcPr>
          <w:p>
            <w:pPr>
              <w:spacing w:after="0"/>
              <w:rPr>
                <w:sz w:val="19"/>
                <w:szCs w:val="19"/>
                <w:color w:val="auto"/>
              </w:rPr>
            </w:pPr>
          </w:p>
        </w:tc>
        <w:tc>
          <w:tcPr>
            <w:tcW w:w="680" w:type="dxa"/>
            <w:vAlign w:val="bottom"/>
            <w:tcBorders>
              <w:bottom w:val="single" w:sz="8" w:color="231F20"/>
            </w:tcBorders>
          </w:tcPr>
          <w:p>
            <w:pPr>
              <w:jc w:val="right"/>
              <w:ind w:right="159"/>
              <w:spacing w:after="0"/>
              <w:rPr>
                <w:sz w:val="20"/>
                <w:szCs w:val="20"/>
                <w:color w:val="auto"/>
              </w:rPr>
            </w:pPr>
            <w:r>
              <w:rPr>
                <w:rFonts w:ascii="Times New Roman" w:cs="Times New Roman" w:eastAsia="Times New Roman" w:hAnsi="Times New Roman"/>
                <w:sz w:val="17"/>
                <w:szCs w:val="17"/>
                <w:color w:val="231F20"/>
              </w:rPr>
              <w:t>2026</w:t>
            </w:r>
          </w:p>
        </w:tc>
        <w:tc>
          <w:tcPr>
            <w:tcW w:w="180" w:type="dxa"/>
            <w:vAlign w:val="bottom"/>
            <w:tcBorders>
              <w:bottom w:val="single" w:sz="8" w:color="231F20"/>
            </w:tcBorders>
          </w:tcPr>
          <w:p>
            <w:pPr>
              <w:spacing w:after="0"/>
              <w:rPr>
                <w:sz w:val="19"/>
                <w:szCs w:val="19"/>
                <w:color w:val="auto"/>
              </w:rPr>
            </w:pPr>
          </w:p>
        </w:tc>
        <w:tc>
          <w:tcPr>
            <w:tcW w:w="680" w:type="dxa"/>
            <w:vAlign w:val="bottom"/>
            <w:tcBorders>
              <w:bottom w:val="single" w:sz="8" w:color="231F20"/>
            </w:tcBorders>
          </w:tcPr>
          <w:p>
            <w:pPr>
              <w:jc w:val="right"/>
              <w:ind w:right="201"/>
              <w:spacing w:after="0"/>
              <w:rPr>
                <w:sz w:val="20"/>
                <w:szCs w:val="20"/>
                <w:color w:val="auto"/>
              </w:rPr>
            </w:pPr>
            <w:r>
              <w:rPr>
                <w:rFonts w:ascii="Times New Roman" w:cs="Times New Roman" w:eastAsia="Times New Roman" w:hAnsi="Times New Roman"/>
                <w:sz w:val="17"/>
                <w:szCs w:val="17"/>
                <w:color w:val="231F20"/>
              </w:rPr>
              <w:t>2025</w:t>
            </w:r>
          </w:p>
        </w:tc>
        <w:tc>
          <w:tcPr>
            <w:tcW w:w="300" w:type="dxa"/>
            <w:vAlign w:val="bottom"/>
            <w:tcBorders>
              <w:bottom w:val="single" w:sz="8" w:color="231F20"/>
            </w:tcBorders>
          </w:tcPr>
          <w:p>
            <w:pPr>
              <w:spacing w:after="0"/>
              <w:rPr>
                <w:sz w:val="19"/>
                <w:szCs w:val="19"/>
                <w:color w:val="auto"/>
              </w:rPr>
            </w:pPr>
          </w:p>
        </w:tc>
        <w:tc>
          <w:tcPr>
            <w:tcW w:w="840" w:type="dxa"/>
            <w:vAlign w:val="bottom"/>
            <w:tcBorders>
              <w:bottom w:val="single" w:sz="8" w:color="231F20"/>
            </w:tcBorders>
          </w:tcPr>
          <w:p>
            <w:pPr>
              <w:jc w:val="right"/>
              <w:ind w:right="299"/>
              <w:spacing w:after="0"/>
              <w:rPr>
                <w:sz w:val="20"/>
                <w:szCs w:val="20"/>
                <w:color w:val="auto"/>
              </w:rPr>
            </w:pPr>
            <w:r>
              <w:rPr>
                <w:rFonts w:ascii="Times New Roman" w:cs="Times New Roman" w:eastAsia="Times New Roman" w:hAnsi="Times New Roman"/>
                <w:sz w:val="17"/>
                <w:szCs w:val="17"/>
                <w:color w:val="231F20"/>
              </w:rPr>
              <w:t>2026</w:t>
            </w:r>
          </w:p>
        </w:tc>
        <w:tc>
          <w:tcPr>
            <w:tcW w:w="180" w:type="dxa"/>
            <w:vAlign w:val="bottom"/>
            <w:tcBorders>
              <w:bottom w:val="single" w:sz="8" w:color="231F20"/>
            </w:tcBorders>
          </w:tcPr>
          <w:p>
            <w:pPr>
              <w:spacing w:after="0"/>
              <w:rPr>
                <w:sz w:val="19"/>
                <w:szCs w:val="19"/>
                <w:color w:val="auto"/>
              </w:rPr>
            </w:pPr>
          </w:p>
        </w:tc>
        <w:tc>
          <w:tcPr>
            <w:tcW w:w="660" w:type="dxa"/>
            <w:vAlign w:val="bottom"/>
            <w:tcBorders>
              <w:bottom w:val="single" w:sz="8" w:color="231F20"/>
            </w:tcBorders>
          </w:tcPr>
          <w:p>
            <w:pPr>
              <w:jc w:val="right"/>
              <w:ind w:right="161"/>
              <w:spacing w:after="0"/>
              <w:rPr>
                <w:sz w:val="20"/>
                <w:szCs w:val="20"/>
                <w:color w:val="auto"/>
              </w:rPr>
            </w:pPr>
            <w:r>
              <w:rPr>
                <w:rFonts w:ascii="Times New Roman" w:cs="Times New Roman" w:eastAsia="Times New Roman" w:hAnsi="Times New Roman"/>
                <w:sz w:val="17"/>
                <w:szCs w:val="17"/>
                <w:color w:val="231F20"/>
              </w:rPr>
              <w:t>2025</w:t>
            </w:r>
          </w:p>
        </w:tc>
        <w:tc>
          <w:tcPr>
            <w:tcW w:w="0" w:type="dxa"/>
            <w:vAlign w:val="bottom"/>
          </w:tcPr>
          <w:p>
            <w:pPr>
              <w:spacing w:after="0"/>
              <w:rPr>
                <w:sz w:val="1"/>
                <w:szCs w:val="1"/>
                <w:color w:val="auto"/>
              </w:rPr>
            </w:pPr>
          </w:p>
        </w:tc>
      </w:tr>
      <w:tr>
        <w:trPr>
          <w:trHeight w:val="204"/>
        </w:trPr>
        <w:tc>
          <w:tcPr>
            <w:tcW w:w="30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231F20"/>
              </w:rPr>
              <w:t>Assets:</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020" w:type="dxa"/>
            <w:vAlign w:val="bottom"/>
          </w:tcPr>
          <w:p>
            <w:pPr>
              <w:ind w:left="180"/>
              <w:spacing w:after="0"/>
              <w:rPr>
                <w:sz w:val="20"/>
                <w:szCs w:val="20"/>
                <w:color w:val="auto"/>
              </w:rPr>
            </w:pPr>
            <w:r>
              <w:rPr>
                <w:rFonts w:ascii="Times New Roman" w:cs="Times New Roman" w:eastAsia="Times New Roman" w:hAnsi="Times New Roman"/>
                <w:sz w:val="16"/>
                <w:szCs w:val="16"/>
                <w:color w:val="231F20"/>
              </w:rPr>
              <w:t>Cash and cash equivalents</w:t>
            </w:r>
          </w:p>
        </w:tc>
        <w:tc>
          <w:tcPr>
            <w:tcW w:w="20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439.6</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171.7</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439.6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231F20"/>
              </w:rPr>
              <w:t>171.7</w:t>
            </w: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231F20"/>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231F20"/>
              </w:rPr>
              <w:t>—</w:t>
            </w:r>
          </w:p>
        </w:tc>
        <w:tc>
          <w:tcPr>
            <w:tcW w:w="30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231F20"/>
              </w:rPr>
              <w:t>$</w:t>
            </w:r>
          </w:p>
        </w:tc>
        <w:tc>
          <w:tcPr>
            <w:tcW w:w="840" w:type="dxa"/>
            <w:vAlign w:val="bottom"/>
          </w:tcPr>
          <w:p>
            <w:pPr>
              <w:jc w:val="center"/>
              <w:ind w:left="479"/>
              <w:spacing w:after="0"/>
              <w:rPr>
                <w:sz w:val="20"/>
                <w:szCs w:val="20"/>
                <w:color w:val="auto"/>
              </w:rPr>
            </w:pPr>
            <w:r>
              <w:rPr>
                <w:rFonts w:ascii="Times New Roman" w:cs="Times New Roman" w:eastAsia="Times New Roman" w:hAnsi="Times New Roman"/>
                <w:sz w:val="16"/>
                <w:szCs w:val="16"/>
                <w:b w:val="1"/>
                <w:bCs w:val="1"/>
                <w:color w:val="231F20"/>
                <w:w w:val="99"/>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290"/>
        </w:trPr>
        <w:tc>
          <w:tcPr>
            <w:tcW w:w="3020" w:type="dxa"/>
            <w:vAlign w:val="bottom"/>
          </w:tcPr>
          <w:p>
            <w:pPr>
              <w:ind w:left="180"/>
              <w:spacing w:after="0"/>
              <w:rPr>
                <w:sz w:val="20"/>
                <w:szCs w:val="20"/>
                <w:color w:val="auto"/>
              </w:rPr>
            </w:pPr>
            <w:r>
              <w:rPr>
                <w:rFonts w:ascii="Times New Roman" w:cs="Times New Roman" w:eastAsia="Times New Roman" w:hAnsi="Times New Roman"/>
                <w:sz w:val="16"/>
                <w:szCs w:val="16"/>
                <w:color w:val="231F20"/>
              </w:rPr>
              <w:t xml:space="preserve">Forward and swap contracts </w:t>
            </w:r>
            <w:r>
              <w:rPr>
                <w:rFonts w:ascii="Times New Roman" w:cs="Times New Roman" w:eastAsia="Times New Roman" w:hAnsi="Times New Roman"/>
                <w:sz w:val="20"/>
                <w:szCs w:val="20"/>
                <w:color w:val="231F20"/>
                <w:vertAlign w:val="superscript"/>
              </w:rPr>
              <w:t>(1)</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0.2</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0.1</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c>
          <w:tcPr>
            <w:tcW w:w="180" w:type="dxa"/>
            <w:vAlign w:val="bottom"/>
          </w:tcPr>
          <w:p>
            <w:pPr>
              <w:spacing w:after="0"/>
              <w:rPr>
                <w:sz w:val="24"/>
                <w:szCs w:val="24"/>
                <w:color w:val="auto"/>
              </w:rPr>
            </w:pP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0.2</w:t>
            </w:r>
          </w:p>
        </w:tc>
        <w:tc>
          <w:tcPr>
            <w:tcW w:w="180" w:type="dxa"/>
            <w:vAlign w:val="bottom"/>
          </w:tcPr>
          <w:p>
            <w:pPr>
              <w:spacing w:after="0"/>
              <w:rPr>
                <w:sz w:val="24"/>
                <w:szCs w:val="24"/>
                <w:color w:val="auto"/>
              </w:rPr>
            </w:pP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231F20"/>
              </w:rPr>
              <w:t>0.1</w:t>
            </w:r>
          </w:p>
        </w:tc>
        <w:tc>
          <w:tcPr>
            <w:tcW w:w="300" w:type="dxa"/>
            <w:vAlign w:val="bottom"/>
          </w:tcPr>
          <w:p>
            <w:pPr>
              <w:spacing w:after="0"/>
              <w:rPr>
                <w:sz w:val="24"/>
                <w:szCs w:val="24"/>
                <w:color w:val="auto"/>
              </w:rPr>
            </w:pPr>
          </w:p>
        </w:tc>
        <w:tc>
          <w:tcPr>
            <w:tcW w:w="840" w:type="dxa"/>
            <w:vAlign w:val="bottom"/>
          </w:tcPr>
          <w:p>
            <w:pPr>
              <w:jc w:val="center"/>
              <w:ind w:left="479"/>
              <w:spacing w:after="0"/>
              <w:rPr>
                <w:sz w:val="20"/>
                <w:szCs w:val="20"/>
                <w:color w:val="auto"/>
              </w:rPr>
            </w:pPr>
            <w:r>
              <w:rPr>
                <w:rFonts w:ascii="Times New Roman" w:cs="Times New Roman" w:eastAsia="Times New Roman" w:hAnsi="Times New Roman"/>
                <w:sz w:val="16"/>
                <w:szCs w:val="16"/>
                <w:b w:val="1"/>
                <w:bCs w:val="1"/>
                <w:color w:val="231F20"/>
                <w:w w:val="99"/>
              </w:rPr>
              <w:t>—</w:t>
            </w:r>
          </w:p>
        </w:tc>
        <w:tc>
          <w:tcPr>
            <w:tcW w:w="180" w:type="dxa"/>
            <w:vAlign w:val="bottom"/>
          </w:tcPr>
          <w:p>
            <w:pPr>
              <w:spacing w:after="0"/>
              <w:rPr>
                <w:sz w:val="24"/>
                <w:szCs w:val="24"/>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247"/>
        </w:trPr>
        <w:tc>
          <w:tcPr>
            <w:tcW w:w="3020" w:type="dxa"/>
            <w:vAlign w:val="bottom"/>
          </w:tcPr>
          <w:p>
            <w:pPr>
              <w:ind w:left="180"/>
              <w:spacing w:after="0"/>
              <w:rPr>
                <w:sz w:val="20"/>
                <w:szCs w:val="20"/>
                <w:color w:val="auto"/>
              </w:rPr>
            </w:pPr>
            <w:r>
              <w:rPr>
                <w:rFonts w:ascii="Times New Roman" w:cs="Times New Roman" w:eastAsia="Times New Roman" w:hAnsi="Times New Roman"/>
                <w:sz w:val="16"/>
                <w:szCs w:val="16"/>
                <w:color w:val="231F20"/>
              </w:rPr>
              <w:t xml:space="preserve">Deferred compensation plan </w:t>
            </w:r>
            <w:r>
              <w:rPr>
                <w:rFonts w:ascii="Times New Roman" w:cs="Times New Roman" w:eastAsia="Times New Roman" w:hAnsi="Times New Roman"/>
                <w:sz w:val="20"/>
                <w:szCs w:val="20"/>
                <w:color w:val="231F20"/>
                <w:vertAlign w:val="superscript"/>
              </w:rPr>
              <w:t>(2)</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1.3</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1.3</w:t>
            </w:r>
          </w:p>
        </w:tc>
        <w:tc>
          <w:tcPr>
            <w:tcW w:w="180" w:type="dxa"/>
            <w:vAlign w:val="bottom"/>
          </w:tcPr>
          <w:p>
            <w:pPr>
              <w:spacing w:after="0"/>
              <w:rPr>
                <w:sz w:val="21"/>
                <w:szCs w:val="21"/>
                <w:color w:val="auto"/>
              </w:rPr>
            </w:pP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231F20"/>
              </w:rPr>
              <w:t>1.1</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c>
          <w:tcPr>
            <w:tcW w:w="180" w:type="dxa"/>
            <w:vAlign w:val="bottom"/>
          </w:tcPr>
          <w:p>
            <w:pPr>
              <w:spacing w:after="0"/>
              <w:rPr>
                <w:sz w:val="21"/>
                <w:szCs w:val="21"/>
                <w:color w:val="auto"/>
              </w:rPr>
            </w:pP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231F20"/>
              </w:rPr>
              <w:t>—</w:t>
            </w:r>
          </w:p>
        </w:tc>
        <w:tc>
          <w:tcPr>
            <w:tcW w:w="300" w:type="dxa"/>
            <w:vAlign w:val="bottom"/>
          </w:tcPr>
          <w:p>
            <w:pPr>
              <w:spacing w:after="0"/>
              <w:rPr>
                <w:sz w:val="21"/>
                <w:szCs w:val="21"/>
                <w:color w:val="auto"/>
              </w:rPr>
            </w:pPr>
          </w:p>
        </w:tc>
        <w:tc>
          <w:tcPr>
            <w:tcW w:w="840" w:type="dxa"/>
            <w:vAlign w:val="bottom"/>
          </w:tcPr>
          <w:p>
            <w:pPr>
              <w:jc w:val="center"/>
              <w:ind w:left="479"/>
              <w:spacing w:after="0"/>
              <w:rPr>
                <w:sz w:val="20"/>
                <w:szCs w:val="20"/>
                <w:color w:val="auto"/>
              </w:rPr>
            </w:pPr>
            <w:r>
              <w:rPr>
                <w:rFonts w:ascii="Times New Roman" w:cs="Times New Roman" w:eastAsia="Times New Roman" w:hAnsi="Times New Roman"/>
                <w:sz w:val="16"/>
                <w:szCs w:val="16"/>
                <w:b w:val="1"/>
                <w:bCs w:val="1"/>
                <w:color w:val="231F20"/>
                <w:w w:val="99"/>
              </w:rPr>
              <w:t>—</w:t>
            </w:r>
          </w:p>
        </w:tc>
        <w:tc>
          <w:tcPr>
            <w:tcW w:w="180" w:type="dxa"/>
            <w:vAlign w:val="bottom"/>
          </w:tcPr>
          <w:p>
            <w:pPr>
              <w:spacing w:after="0"/>
              <w:rPr>
                <w:sz w:val="21"/>
                <w:szCs w:val="21"/>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204"/>
        </w:trPr>
        <w:tc>
          <w:tcPr>
            <w:tcW w:w="3020" w:type="dxa"/>
            <w:vAlign w:val="bottom"/>
          </w:tcPr>
          <w:p>
            <w:pPr>
              <w:ind w:left="180"/>
              <w:spacing w:after="0"/>
              <w:rPr>
                <w:sz w:val="20"/>
                <w:szCs w:val="20"/>
                <w:color w:val="auto"/>
              </w:rPr>
            </w:pPr>
            <w:r>
              <w:rPr>
                <w:rFonts w:ascii="Times New Roman" w:cs="Times New Roman" w:eastAsia="Times New Roman" w:hAnsi="Times New Roman"/>
                <w:sz w:val="16"/>
                <w:szCs w:val="16"/>
                <w:color w:val="231F20"/>
              </w:rPr>
              <w:t>Other investments</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3.2</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3.0</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3.2</w:t>
            </w:r>
          </w:p>
        </w:tc>
        <w:tc>
          <w:tcPr>
            <w:tcW w:w="180" w:type="dxa"/>
            <w:vAlign w:val="bottom"/>
          </w:tcPr>
          <w:p>
            <w:pPr>
              <w:spacing w:after="0"/>
              <w:rPr>
                <w:sz w:val="17"/>
                <w:szCs w:val="17"/>
                <w:color w:val="auto"/>
              </w:rPr>
            </w:pP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231F20"/>
              </w:rPr>
              <w:t>3.0</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c>
          <w:tcPr>
            <w:tcW w:w="180" w:type="dxa"/>
            <w:vAlign w:val="bottom"/>
          </w:tcPr>
          <w:p>
            <w:pPr>
              <w:spacing w:after="0"/>
              <w:rPr>
                <w:sz w:val="17"/>
                <w:szCs w:val="17"/>
                <w:color w:val="auto"/>
              </w:rPr>
            </w:pP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231F20"/>
              </w:rPr>
              <w:t>—</w:t>
            </w:r>
          </w:p>
        </w:tc>
        <w:tc>
          <w:tcPr>
            <w:tcW w:w="300" w:type="dxa"/>
            <w:vAlign w:val="bottom"/>
          </w:tcPr>
          <w:p>
            <w:pPr>
              <w:spacing w:after="0"/>
              <w:rPr>
                <w:sz w:val="17"/>
                <w:szCs w:val="17"/>
                <w:color w:val="auto"/>
              </w:rPr>
            </w:pPr>
          </w:p>
        </w:tc>
        <w:tc>
          <w:tcPr>
            <w:tcW w:w="840" w:type="dxa"/>
            <w:vAlign w:val="bottom"/>
          </w:tcPr>
          <w:p>
            <w:pPr>
              <w:jc w:val="center"/>
              <w:ind w:left="479"/>
              <w:spacing w:after="0"/>
              <w:rPr>
                <w:sz w:val="20"/>
                <w:szCs w:val="20"/>
                <w:color w:val="auto"/>
              </w:rPr>
            </w:pPr>
            <w:r>
              <w:rPr>
                <w:rFonts w:ascii="Times New Roman" w:cs="Times New Roman" w:eastAsia="Times New Roman" w:hAnsi="Times New Roman"/>
                <w:sz w:val="16"/>
                <w:szCs w:val="16"/>
                <w:b w:val="1"/>
                <w:bCs w:val="1"/>
                <w:color w:val="231F20"/>
                <w:w w:val="99"/>
              </w:rPr>
              <w:t>—</w:t>
            </w:r>
          </w:p>
        </w:tc>
        <w:tc>
          <w:tcPr>
            <w:tcW w:w="180" w:type="dxa"/>
            <w:vAlign w:val="bottom"/>
          </w:tcPr>
          <w:p>
            <w:pPr>
              <w:spacing w:after="0"/>
              <w:rPr>
                <w:sz w:val="17"/>
                <w:szCs w:val="17"/>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276"/>
        </w:trPr>
        <w:tc>
          <w:tcPr>
            <w:tcW w:w="30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231F20"/>
              </w:rPr>
              <w:t>Liabilities:</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020" w:type="dxa"/>
            <w:vAlign w:val="bottom"/>
          </w:tcPr>
          <w:p>
            <w:pPr>
              <w:ind w:left="180"/>
              <w:spacing w:after="0"/>
              <w:rPr>
                <w:sz w:val="20"/>
                <w:szCs w:val="20"/>
                <w:color w:val="auto"/>
              </w:rPr>
            </w:pPr>
            <w:r>
              <w:rPr>
                <w:rFonts w:ascii="Times New Roman" w:cs="Times New Roman" w:eastAsia="Times New Roman" w:hAnsi="Times New Roman"/>
                <w:sz w:val="16"/>
                <w:szCs w:val="16"/>
                <w:color w:val="231F20"/>
              </w:rPr>
              <w:t xml:space="preserve">Forward and swap contracts </w:t>
            </w:r>
            <w:r>
              <w:rPr>
                <w:rFonts w:ascii="Times New Roman" w:cs="Times New Roman" w:eastAsia="Times New Roman" w:hAnsi="Times New Roman"/>
                <w:sz w:val="20"/>
                <w:szCs w:val="20"/>
                <w:color w:val="231F20"/>
                <w:vertAlign w:val="superscript"/>
              </w:rPr>
              <w:t>(1)</w:t>
            </w:r>
          </w:p>
        </w:tc>
        <w:tc>
          <w:tcPr>
            <w:tcW w:w="20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0.7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0.6</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231F20"/>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0.7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231F20"/>
              </w:rPr>
              <w:t>0.6</w:t>
            </w:r>
          </w:p>
        </w:tc>
        <w:tc>
          <w:tcPr>
            <w:tcW w:w="30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231F20"/>
              </w:rPr>
              <w:t>$</w:t>
            </w:r>
          </w:p>
        </w:tc>
        <w:tc>
          <w:tcPr>
            <w:tcW w:w="840" w:type="dxa"/>
            <w:vAlign w:val="bottom"/>
          </w:tcPr>
          <w:p>
            <w:pPr>
              <w:jc w:val="center"/>
              <w:ind w:left="479"/>
              <w:spacing w:after="0"/>
              <w:rPr>
                <w:sz w:val="20"/>
                <w:szCs w:val="20"/>
                <w:color w:val="auto"/>
              </w:rPr>
            </w:pPr>
            <w:r>
              <w:rPr>
                <w:rFonts w:ascii="Times New Roman" w:cs="Times New Roman" w:eastAsia="Times New Roman" w:hAnsi="Times New Roman"/>
                <w:sz w:val="16"/>
                <w:szCs w:val="16"/>
                <w:b w:val="1"/>
                <w:bCs w:val="1"/>
                <w:color w:val="231F20"/>
                <w:w w:val="99"/>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247"/>
        </w:trPr>
        <w:tc>
          <w:tcPr>
            <w:tcW w:w="3020" w:type="dxa"/>
            <w:vAlign w:val="bottom"/>
          </w:tcPr>
          <w:p>
            <w:pPr>
              <w:ind w:left="180"/>
              <w:spacing w:after="0"/>
              <w:rPr>
                <w:sz w:val="20"/>
                <w:szCs w:val="20"/>
                <w:color w:val="auto"/>
              </w:rPr>
            </w:pPr>
            <w:r>
              <w:rPr>
                <w:rFonts w:ascii="Times New Roman" w:cs="Times New Roman" w:eastAsia="Times New Roman" w:hAnsi="Times New Roman"/>
                <w:sz w:val="16"/>
                <w:szCs w:val="16"/>
                <w:color w:val="231F20"/>
              </w:rPr>
              <w:t xml:space="preserve">Deferred compensation plan </w:t>
            </w:r>
            <w:r>
              <w:rPr>
                <w:rFonts w:ascii="Times New Roman" w:cs="Times New Roman" w:eastAsia="Times New Roman" w:hAnsi="Times New Roman"/>
                <w:sz w:val="20"/>
                <w:szCs w:val="20"/>
                <w:color w:val="231F20"/>
                <w:vertAlign w:val="superscript"/>
              </w:rPr>
              <w:t>(2)</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1.5</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1.2</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1.5</w:t>
            </w:r>
          </w:p>
        </w:tc>
        <w:tc>
          <w:tcPr>
            <w:tcW w:w="180" w:type="dxa"/>
            <w:vAlign w:val="bottom"/>
          </w:tcPr>
          <w:p>
            <w:pPr>
              <w:spacing w:after="0"/>
              <w:rPr>
                <w:sz w:val="21"/>
                <w:szCs w:val="21"/>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1.2</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c>
          <w:tcPr>
            <w:tcW w:w="180" w:type="dxa"/>
            <w:vAlign w:val="bottom"/>
          </w:tcPr>
          <w:p>
            <w:pPr>
              <w:spacing w:after="0"/>
              <w:rPr>
                <w:sz w:val="21"/>
                <w:szCs w:val="21"/>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247"/>
        </w:trPr>
        <w:tc>
          <w:tcPr>
            <w:tcW w:w="3020" w:type="dxa"/>
            <w:vAlign w:val="bottom"/>
          </w:tcPr>
          <w:p>
            <w:pPr>
              <w:ind w:left="180"/>
              <w:spacing w:after="0"/>
              <w:rPr>
                <w:sz w:val="20"/>
                <w:szCs w:val="20"/>
                <w:color w:val="auto"/>
              </w:rPr>
            </w:pPr>
            <w:r>
              <w:rPr>
                <w:rFonts w:ascii="Times New Roman" w:cs="Times New Roman" w:eastAsia="Times New Roman" w:hAnsi="Times New Roman"/>
                <w:sz w:val="16"/>
                <w:szCs w:val="16"/>
                <w:color w:val="231F20"/>
              </w:rPr>
              <w:t xml:space="preserve">Total debt </w:t>
            </w:r>
            <w:r>
              <w:rPr>
                <w:rFonts w:ascii="Times New Roman" w:cs="Times New Roman" w:eastAsia="Times New Roman" w:hAnsi="Times New Roman"/>
                <w:sz w:val="20"/>
                <w:szCs w:val="20"/>
                <w:color w:val="231F20"/>
                <w:vertAlign w:val="superscript"/>
              </w:rPr>
              <w:t>(3)</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1,931.7</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2,043.7</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c>
          <w:tcPr>
            <w:tcW w:w="180" w:type="dxa"/>
            <w:vAlign w:val="bottom"/>
          </w:tcPr>
          <w:p>
            <w:pPr>
              <w:spacing w:after="0"/>
              <w:rPr>
                <w:sz w:val="21"/>
                <w:szCs w:val="21"/>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1,666.4</w:t>
            </w:r>
          </w:p>
        </w:tc>
        <w:tc>
          <w:tcPr>
            <w:tcW w:w="180" w:type="dxa"/>
            <w:vAlign w:val="bottom"/>
          </w:tcPr>
          <w:p>
            <w:pPr>
              <w:spacing w:after="0"/>
              <w:rPr>
                <w:sz w:val="21"/>
                <w:szCs w:val="21"/>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1,756.5</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275"/>
        </w:trPr>
        <w:tc>
          <w:tcPr>
            <w:tcW w:w="3020" w:type="dxa"/>
            <w:vAlign w:val="bottom"/>
          </w:tcPr>
          <w:p>
            <w:pPr>
              <w:ind w:left="180"/>
              <w:spacing w:after="0"/>
              <w:rPr>
                <w:sz w:val="20"/>
                <w:szCs w:val="20"/>
                <w:color w:val="auto"/>
              </w:rPr>
            </w:pPr>
            <w:r>
              <w:rPr>
                <w:rFonts w:ascii="Times New Roman" w:cs="Times New Roman" w:eastAsia="Times New Roman" w:hAnsi="Times New Roman"/>
                <w:sz w:val="16"/>
                <w:szCs w:val="16"/>
                <w:color w:val="231F20"/>
              </w:rPr>
              <w:t xml:space="preserve">Contingent consideration obligations </w:t>
            </w:r>
            <w:r>
              <w:rPr>
                <w:rFonts w:ascii="Times New Roman" w:cs="Times New Roman" w:eastAsia="Times New Roman" w:hAnsi="Times New Roman"/>
                <w:sz w:val="20"/>
                <w:szCs w:val="20"/>
                <w:color w:val="231F20"/>
                <w:vertAlign w:val="superscript"/>
              </w:rPr>
              <w:t>(4)</w:t>
            </w: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6.1</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3.2</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c>
          <w:tcPr>
            <w:tcW w:w="180" w:type="dxa"/>
            <w:vAlign w:val="bottom"/>
          </w:tcPr>
          <w:p>
            <w:pPr>
              <w:spacing w:after="0"/>
              <w:rPr>
                <w:sz w:val="23"/>
                <w:szCs w:val="23"/>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Pr>
          <w:p>
            <w:pPr>
              <w:spacing w:after="0"/>
              <w:rPr>
                <w:sz w:val="23"/>
                <w:szCs w:val="23"/>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w:t>
            </w: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6.1</w:t>
            </w: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3.2</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80" w:right="400" w:hanging="177"/>
        <w:spacing w:after="0" w:line="230" w:lineRule="auto"/>
        <w:tabs>
          <w:tab w:leader="none" w:pos="201" w:val="left"/>
        </w:tabs>
        <w:numPr>
          <w:ilvl w:val="0"/>
          <w:numId w:val="32"/>
        </w:numPr>
        <w:rPr>
          <w:rFonts w:ascii="Times New Roman" w:cs="Times New Roman" w:eastAsia="Times New Roman" w:hAnsi="Times New Roman"/>
          <w:sz w:val="25"/>
          <w:szCs w:val="25"/>
          <w:color w:val="231F20"/>
          <w:vertAlign w:val="superscript"/>
        </w:rPr>
      </w:pPr>
      <w:r>
        <w:rPr>
          <w:rFonts w:ascii="Times New Roman" w:cs="Times New Roman" w:eastAsia="Times New Roman" w:hAnsi="Times New Roman"/>
          <w:sz w:val="19"/>
          <w:szCs w:val="19"/>
          <w:color w:val="231F20"/>
        </w:rPr>
        <w:t>The fair values of forward and swap contracts are based on period-end forward rates and reflect the value of the amount that we would pay or receive for the contracts involving the same notional amounts and maturity dates.</w:t>
      </w:r>
    </w:p>
    <w:p>
      <w:pPr>
        <w:spacing w:after="0" w:line="97" w:lineRule="exact"/>
        <w:rPr>
          <w:rFonts w:ascii="Times New Roman" w:cs="Times New Roman" w:eastAsia="Times New Roman" w:hAnsi="Times New Roman"/>
          <w:sz w:val="25"/>
          <w:szCs w:val="25"/>
          <w:color w:val="231F20"/>
          <w:vertAlign w:val="superscript"/>
        </w:rPr>
      </w:pPr>
    </w:p>
    <w:p>
      <w:pPr>
        <w:ind w:left="180" w:right="300" w:hanging="177"/>
        <w:spacing w:after="0" w:line="266" w:lineRule="auto"/>
        <w:tabs>
          <w:tab w:leader="none" w:pos="184" w:val="left"/>
        </w:tabs>
        <w:numPr>
          <w:ilvl w:val="0"/>
          <w:numId w:val="32"/>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We maintain a frozen domestic non-qualified deferred compensation plan covering certain employees, which allowed for the deferral of payment of previously earned compensation for an employee-specified term or until retirement or termination. Amounts deferred can be allocated to various hypothetical investment options (compensation deferrals have been frozen under the plan). We hold investments to satisfy the future obligations of the plan. Employees who made deferrals are entitled to receive distributions of their hypothetical account balances (amounts deferred, together with earnings (losses)). Changes in the fair value of these investments are recorded in the Other expense (income) line of the Consolidated Statements of Income. During fiscal 2026 and fiscal 2025, we recorded gains of $0.2 million and $0.9 million, respectively, related to these investments.</w:t>
      </w:r>
    </w:p>
    <w:p>
      <w:pPr>
        <w:spacing w:after="0" w:line="310" w:lineRule="exact"/>
        <w:rPr>
          <w:sz w:val="20"/>
          <w:szCs w:val="20"/>
          <w:color w:val="auto"/>
        </w:rPr>
      </w:pPr>
    </w:p>
    <w:p>
      <w:pPr>
        <w:ind w:left="180" w:right="380" w:hanging="174"/>
        <w:spacing w:after="0" w:line="230" w:lineRule="auto"/>
        <w:rPr>
          <w:sz w:val="20"/>
          <w:szCs w:val="20"/>
          <w:color w:val="auto"/>
        </w:rPr>
      </w:pPr>
      <w:r>
        <w:rPr>
          <w:rFonts w:ascii="Times New Roman" w:cs="Times New Roman" w:eastAsia="Times New Roman" w:hAnsi="Times New Roman"/>
          <w:sz w:val="25"/>
          <w:szCs w:val="25"/>
          <w:color w:val="231F20"/>
          <w:vertAlign w:val="superscript"/>
        </w:rPr>
        <w:t>(3)</w:t>
      </w:r>
      <w:r>
        <w:rPr>
          <w:rFonts w:ascii="Times New Roman" w:cs="Times New Roman" w:eastAsia="Times New Roman" w:hAnsi="Times New Roman"/>
          <w:sz w:val="19"/>
          <w:szCs w:val="19"/>
          <w:color w:val="231F20"/>
        </w:rPr>
        <w:t>We estimate the fair value of our debt using discounted cash flow analyses, based on our current incremental borrowing rates for similar types of borrowing arrangements.</w:t>
      </w:r>
    </w:p>
    <w:p>
      <w:pPr>
        <w:spacing w:after="0" w:line="97" w:lineRule="exact"/>
        <w:rPr>
          <w:sz w:val="20"/>
          <w:szCs w:val="20"/>
          <w:color w:val="auto"/>
        </w:rPr>
      </w:pPr>
    </w:p>
    <w:p>
      <w:pPr>
        <w:ind w:left="180" w:right="520" w:hanging="177"/>
        <w:spacing w:after="0" w:line="247" w:lineRule="auto"/>
        <w:tabs>
          <w:tab w:leader="none" w:pos="201" w:val="left"/>
        </w:tabs>
        <w:numPr>
          <w:ilvl w:val="0"/>
          <w:numId w:val="33"/>
        </w:numPr>
        <w:rPr>
          <w:rFonts w:ascii="Times New Roman" w:cs="Times New Roman" w:eastAsia="Times New Roman" w:hAnsi="Times New Roman"/>
          <w:sz w:val="25"/>
          <w:szCs w:val="25"/>
          <w:color w:val="231F20"/>
          <w:vertAlign w:val="superscript"/>
        </w:rPr>
      </w:pPr>
      <w:r>
        <w:rPr>
          <w:rFonts w:ascii="Times New Roman" w:cs="Times New Roman" w:eastAsia="Times New Roman" w:hAnsi="Times New Roman"/>
          <w:sz w:val="19"/>
          <w:szCs w:val="19"/>
          <w:color w:val="231F20"/>
        </w:rPr>
        <w:t>As of March 31, 2026 and 2025, we had contingent consideration obligations of $6.1 million and $3.2 million arising from business acquisitions, respectively. The fair values are based on discounted cash flow analyses reflecting the possible achievement of specified performance measures or events and captures the contractual nature of the contingencies, commercial risk, and the time value of money. Contingent consideration obligations are classified in the Consolidated Balance Sheets as Accrued expense (short-term) and Other liabilities (long-term), as appropriate based on the contractual payment dates.</w:t>
      </w:r>
    </w:p>
    <w:p>
      <w:pPr>
        <w:spacing w:after="0" w:line="93" w:lineRule="exact"/>
        <w:rPr>
          <w:sz w:val="20"/>
          <w:szCs w:val="20"/>
          <w:color w:val="auto"/>
        </w:rPr>
      </w:pPr>
    </w:p>
    <w:p>
      <w:pPr>
        <w:ind w:left="180" w:right="500" w:firstLine="349"/>
        <w:spacing w:after="0" w:line="268" w:lineRule="auto"/>
        <w:rPr>
          <w:sz w:val="20"/>
          <w:szCs w:val="20"/>
          <w:color w:val="auto"/>
        </w:rPr>
      </w:pPr>
      <w:r>
        <w:rPr>
          <w:rFonts w:ascii="Times New Roman" w:cs="Times New Roman" w:eastAsia="Times New Roman" w:hAnsi="Times New Roman"/>
          <w:sz w:val="19"/>
          <w:szCs w:val="19"/>
          <w:color w:val="231F20"/>
        </w:rPr>
        <w:t>As of March 31, 2026 and 2025, we also held $45.5 million and $14.3 million of other investments without readily determinable fair values measured at cost less impairment, if any, adjusted to fair value for any observable price changes in orderly transactions for identical or similar investments of the same issuer. These investments are included in the "Other assets" line of our Consolidated Balance Sheets.</w:t>
      </w:r>
    </w:p>
    <w:p>
      <w:pPr>
        <w:sectPr>
          <w:pgSz w:w="11880" w:h="15480" w:orient="portrait"/>
          <w:cols w:equalWidth="0" w:num="1">
            <w:col w:w="10240"/>
          </w:cols>
          <w:pgMar w:left="960" w:top="250" w:right="6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9"/>
          <w:szCs w:val="19"/>
          <w:color w:val="231F20"/>
        </w:rPr>
        <w:t>99</w:t>
      </w:r>
    </w:p>
    <w:p>
      <w:pPr>
        <w:sectPr>
          <w:pgSz w:w="11880" w:h="15480" w:orient="portrait"/>
          <w:cols w:equalWidth="0" w:num="1">
            <w:col w:w="10240"/>
          </w:cols>
          <w:pgMar w:left="960" w:top="250" w:right="680" w:bottom="0" w:gutter="0" w:footer="0" w:header="0"/>
          <w:type w:val="continuous"/>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20. RECLASSIFICATIONS OUT OF ACCUMULATED OTHER COMPREHENSIVE INCOME (LOSS)</w:t>
      </w:r>
    </w:p>
    <w:p>
      <w:pPr>
        <w:spacing w:after="0" w:line="138" w:lineRule="exact"/>
        <w:rPr>
          <w:sz w:val="20"/>
          <w:szCs w:val="20"/>
          <w:color w:val="auto"/>
        </w:rPr>
      </w:pPr>
    </w:p>
    <w:p>
      <w:pPr>
        <w:ind w:right="80" w:firstLine="349"/>
        <w:spacing w:after="0" w:line="268" w:lineRule="auto"/>
        <w:rPr>
          <w:sz w:val="20"/>
          <w:szCs w:val="20"/>
          <w:color w:val="auto"/>
        </w:rPr>
      </w:pPr>
      <w:r>
        <w:rPr>
          <w:rFonts w:ascii="Times New Roman" w:cs="Times New Roman" w:eastAsia="Times New Roman" w:hAnsi="Times New Roman"/>
          <w:sz w:val="19"/>
          <w:szCs w:val="19"/>
          <w:color w:val="231F20"/>
        </w:rPr>
        <w:t>Amounts in Accumulated Other Comprehensive Income (Loss) are presented net of the related tax. Foreign Currency Translation is not adjusted for income taxes. Accumulated other comprehensive income (loss) shown in our Consolidated Statements of Shareholders' Equity and changes in our balances, net of tax, for the years ended March 31, 2026, 2025 and 2024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gridSpan w:val="5"/>
          </w:tcPr>
          <w:p>
            <w:pPr>
              <w:jc w:val="right"/>
              <w:ind w:right="461"/>
              <w:spacing w:after="0"/>
              <w:rPr>
                <w:sz w:val="20"/>
                <w:szCs w:val="20"/>
                <w:color w:val="auto"/>
              </w:rPr>
            </w:pPr>
            <w:r>
              <w:rPr>
                <w:rFonts w:ascii="Times New Roman" w:cs="Times New Roman" w:eastAsia="Times New Roman" w:hAnsi="Times New Roman"/>
                <w:sz w:val="17"/>
                <w:szCs w:val="17"/>
                <w:b w:val="1"/>
                <w:bCs w:val="1"/>
                <w:color w:val="231F20"/>
              </w:rPr>
              <w:t>Defined Benefit</w:t>
            </w:r>
          </w:p>
        </w:tc>
        <w:tc>
          <w:tcPr>
            <w:tcW w:w="140" w:type="dxa"/>
            <w:vAlign w:val="bottom"/>
          </w:tcPr>
          <w:p>
            <w:pPr>
              <w:spacing w:after="0"/>
              <w:rPr>
                <w:sz w:val="17"/>
                <w:szCs w:val="17"/>
                <w:color w:val="auto"/>
              </w:rPr>
            </w:pPr>
          </w:p>
        </w:tc>
        <w:tc>
          <w:tcPr>
            <w:tcW w:w="2160" w:type="dxa"/>
            <w:vAlign w:val="bottom"/>
            <w:gridSpan w:val="5"/>
          </w:tcPr>
          <w:p>
            <w:pPr>
              <w:jc w:val="center"/>
              <w:ind w:right="101"/>
              <w:spacing w:after="0"/>
              <w:rPr>
                <w:sz w:val="20"/>
                <w:szCs w:val="20"/>
                <w:color w:val="auto"/>
              </w:rPr>
            </w:pPr>
            <w:r>
              <w:rPr>
                <w:rFonts w:ascii="Times New Roman" w:cs="Times New Roman" w:eastAsia="Times New Roman" w:hAnsi="Times New Roman"/>
                <w:sz w:val="17"/>
                <w:szCs w:val="17"/>
                <w:b w:val="1"/>
                <w:bCs w:val="1"/>
                <w:color w:val="231F20"/>
              </w:rPr>
              <w:t>Foreign Currency</w:t>
            </w:r>
          </w:p>
        </w:tc>
        <w:tc>
          <w:tcPr>
            <w:tcW w:w="200" w:type="dxa"/>
            <w:vAlign w:val="bottom"/>
          </w:tcPr>
          <w:p>
            <w:pPr>
              <w:spacing w:after="0"/>
              <w:rPr>
                <w:sz w:val="17"/>
                <w:szCs w:val="17"/>
                <w:color w:val="auto"/>
              </w:rPr>
            </w:pPr>
          </w:p>
        </w:tc>
        <w:tc>
          <w:tcPr>
            <w:tcW w:w="2500" w:type="dxa"/>
            <w:vAlign w:val="bottom"/>
            <w:gridSpan w:val="5"/>
          </w:tcPr>
          <w:p>
            <w:pPr>
              <w:jc w:val="center"/>
              <w:ind w:right="141"/>
              <w:spacing w:after="0"/>
              <w:rPr>
                <w:sz w:val="20"/>
                <w:szCs w:val="20"/>
                <w:color w:val="auto"/>
              </w:rPr>
            </w:pPr>
            <w:r>
              <w:rPr>
                <w:rFonts w:ascii="Times New Roman" w:cs="Times New Roman" w:eastAsia="Times New Roman" w:hAnsi="Times New Roman"/>
                <w:sz w:val="17"/>
                <w:szCs w:val="17"/>
                <w:b w:val="1"/>
                <w:bCs w:val="1"/>
                <w:color w:val="231F20"/>
              </w:rPr>
              <w:t>Total Accumulated Other</w:t>
            </w:r>
          </w:p>
        </w:tc>
      </w:tr>
      <w:tr>
        <w:trPr>
          <w:trHeight w:val="232"/>
        </w:trPr>
        <w:tc>
          <w:tcPr>
            <w:tcW w:w="274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tcBorders>
          </w:tcPr>
          <w:p>
            <w:pPr>
              <w:spacing w:after="0"/>
              <w:rPr>
                <w:sz w:val="20"/>
                <w:szCs w:val="20"/>
                <w:color w:val="auto"/>
              </w:rPr>
            </w:pPr>
          </w:p>
        </w:tc>
        <w:tc>
          <w:tcPr>
            <w:tcW w:w="680" w:type="dxa"/>
            <w:vAlign w:val="bottom"/>
            <w:tcBorders>
              <w:bottom w:val="single" w:sz="8" w:color="231F20"/>
            </w:tcBorders>
            <w:gridSpan w:val="2"/>
          </w:tcPr>
          <w:p>
            <w:pPr>
              <w:ind w:left="20"/>
              <w:spacing w:after="0" w:line="231" w:lineRule="exact"/>
              <w:rPr>
                <w:sz w:val="20"/>
                <w:szCs w:val="20"/>
                <w:color w:val="auto"/>
              </w:rPr>
            </w:pPr>
            <w:r>
              <w:rPr>
                <w:rFonts w:ascii="Times New Roman" w:cs="Times New Roman" w:eastAsia="Times New Roman" w:hAnsi="Times New Roman"/>
                <w:sz w:val="17"/>
                <w:szCs w:val="17"/>
                <w:b w:val="1"/>
                <w:bCs w:val="1"/>
                <w:color w:val="231F20"/>
              </w:rPr>
              <w:t xml:space="preserve">Plans </w:t>
            </w:r>
            <w:r>
              <w:rPr>
                <w:rFonts w:ascii="Times New Roman" w:cs="Times New Roman" w:eastAsia="Times New Roman" w:hAnsi="Times New Roman"/>
                <w:sz w:val="22"/>
                <w:szCs w:val="22"/>
                <w:b w:val="1"/>
                <w:bCs w:val="1"/>
                <w:color w:val="231F20"/>
                <w:vertAlign w:val="superscript"/>
              </w:rPr>
              <w:t>(1)</w:t>
            </w:r>
          </w:p>
        </w:tc>
        <w:tc>
          <w:tcPr>
            <w:tcW w:w="14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tcBorders>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1440" w:type="dxa"/>
            <w:vAlign w:val="bottom"/>
            <w:tcBorders>
              <w:bottom w:val="single" w:sz="8" w:color="231F20"/>
            </w:tcBorders>
            <w:gridSpan w:val="3"/>
          </w:tcPr>
          <w:p>
            <w:pPr>
              <w:jc w:val="center"/>
              <w:ind w:left="479"/>
              <w:spacing w:after="0"/>
              <w:rPr>
                <w:sz w:val="20"/>
                <w:szCs w:val="20"/>
                <w:color w:val="auto"/>
              </w:rPr>
            </w:pPr>
            <w:r>
              <w:rPr>
                <w:rFonts w:ascii="Times New Roman" w:cs="Times New Roman" w:eastAsia="Times New Roman" w:hAnsi="Times New Roman"/>
                <w:sz w:val="17"/>
                <w:szCs w:val="17"/>
                <w:b w:val="1"/>
                <w:bCs w:val="1"/>
                <w:color w:val="231F20"/>
              </w:rPr>
              <w:t>Translation</w:t>
            </w:r>
          </w:p>
        </w:tc>
        <w:tc>
          <w:tcPr>
            <w:tcW w:w="10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tcBorders>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2500" w:type="dxa"/>
            <w:vAlign w:val="bottom"/>
            <w:tcBorders>
              <w:bottom w:val="single" w:sz="8" w:color="231F20"/>
            </w:tcBorders>
            <w:gridSpan w:val="5"/>
          </w:tcPr>
          <w:p>
            <w:pPr>
              <w:jc w:val="center"/>
              <w:ind w:right="121"/>
              <w:spacing w:after="0"/>
              <w:rPr>
                <w:sz w:val="20"/>
                <w:szCs w:val="20"/>
                <w:color w:val="auto"/>
              </w:rPr>
            </w:pPr>
            <w:r>
              <w:rPr>
                <w:rFonts w:ascii="Times New Roman" w:cs="Times New Roman" w:eastAsia="Times New Roman" w:hAnsi="Times New Roman"/>
                <w:sz w:val="17"/>
                <w:szCs w:val="17"/>
                <w:b w:val="1"/>
                <w:bCs w:val="1"/>
                <w:color w:val="231F20"/>
              </w:rPr>
              <w:t>Comprehensive Loss</w:t>
            </w:r>
          </w:p>
        </w:tc>
      </w:tr>
      <w:tr>
        <w:trPr>
          <w:trHeight w:val="256"/>
        </w:trPr>
        <w:tc>
          <w:tcPr>
            <w:tcW w:w="274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(in millions)</w:t>
            </w:r>
          </w:p>
        </w:tc>
        <w:tc>
          <w:tcPr>
            <w:tcW w:w="160" w:type="dxa"/>
            <w:vAlign w:val="bottom"/>
            <w:tcBorders>
              <w:bottom w:val="single" w:sz="8" w:color="231F20"/>
            </w:tcBorders>
          </w:tcPr>
          <w:p>
            <w:pPr>
              <w:spacing w:after="0"/>
              <w:rPr>
                <w:sz w:val="22"/>
                <w:szCs w:val="22"/>
                <w:color w:val="auto"/>
              </w:rPr>
            </w:pPr>
          </w:p>
        </w:tc>
        <w:tc>
          <w:tcPr>
            <w:tcW w:w="620" w:type="dxa"/>
            <w:vAlign w:val="bottom"/>
            <w:tcBorders>
              <w:bottom w:val="single" w:sz="8" w:color="231F20"/>
            </w:tcBorders>
          </w:tcPr>
          <w:p>
            <w:pPr>
              <w:jc w:val="right"/>
              <w:ind w:right="140"/>
              <w:spacing w:after="0"/>
              <w:rPr>
                <w:sz w:val="20"/>
                <w:szCs w:val="20"/>
                <w:color w:val="auto"/>
              </w:rPr>
            </w:pPr>
            <w:r>
              <w:rPr>
                <w:rFonts w:ascii="Times New Roman" w:cs="Times New Roman" w:eastAsia="Times New Roman" w:hAnsi="Times New Roman"/>
                <w:sz w:val="17"/>
                <w:szCs w:val="17"/>
                <w:color w:val="231F20"/>
              </w:rPr>
              <w:t>2026</w:t>
            </w:r>
          </w:p>
        </w:tc>
        <w:tc>
          <w:tcPr>
            <w:tcW w:w="120" w:type="dxa"/>
            <w:vAlign w:val="bottom"/>
            <w:tcBorders>
              <w:bottom w:val="single" w:sz="8" w:color="231F20"/>
            </w:tcBorders>
          </w:tcPr>
          <w:p>
            <w:pPr>
              <w:spacing w:after="0"/>
              <w:rPr>
                <w:sz w:val="22"/>
                <w:szCs w:val="22"/>
                <w:color w:val="auto"/>
              </w:rPr>
            </w:pPr>
          </w:p>
        </w:tc>
        <w:tc>
          <w:tcPr>
            <w:tcW w:w="560" w:type="dxa"/>
            <w:vAlign w:val="bottom"/>
            <w:tcBorders>
              <w:bottom w:val="single" w:sz="8" w:color="231F20"/>
            </w:tcBorders>
          </w:tcPr>
          <w:p>
            <w:pPr>
              <w:jc w:val="right"/>
              <w:ind w:right="101"/>
              <w:spacing w:after="0"/>
              <w:rPr>
                <w:sz w:val="20"/>
                <w:szCs w:val="20"/>
                <w:color w:val="auto"/>
              </w:rPr>
            </w:pPr>
            <w:r>
              <w:rPr>
                <w:rFonts w:ascii="Times New Roman" w:cs="Times New Roman" w:eastAsia="Times New Roman" w:hAnsi="Times New Roman"/>
                <w:sz w:val="17"/>
                <w:szCs w:val="17"/>
                <w:color w:val="231F20"/>
              </w:rPr>
              <w:t>2025</w:t>
            </w:r>
          </w:p>
        </w:tc>
        <w:tc>
          <w:tcPr>
            <w:tcW w:w="140" w:type="dxa"/>
            <w:vAlign w:val="bottom"/>
            <w:tcBorders>
              <w:bottom w:val="single" w:sz="8" w:color="231F20"/>
            </w:tcBorders>
          </w:tcPr>
          <w:p>
            <w:pPr>
              <w:spacing w:after="0"/>
              <w:rPr>
                <w:sz w:val="22"/>
                <w:szCs w:val="22"/>
                <w:color w:val="auto"/>
              </w:rPr>
            </w:pPr>
          </w:p>
        </w:tc>
        <w:tc>
          <w:tcPr>
            <w:tcW w:w="620" w:type="dxa"/>
            <w:vAlign w:val="bottom"/>
            <w:tcBorders>
              <w:bottom w:val="single" w:sz="8" w:color="231F20"/>
            </w:tcBorders>
          </w:tcPr>
          <w:p>
            <w:pPr>
              <w:jc w:val="right"/>
              <w:ind w:right="141"/>
              <w:spacing w:after="0"/>
              <w:rPr>
                <w:sz w:val="20"/>
                <w:szCs w:val="20"/>
                <w:color w:val="auto"/>
              </w:rPr>
            </w:pPr>
            <w:r>
              <w:rPr>
                <w:rFonts w:ascii="Times New Roman" w:cs="Times New Roman" w:eastAsia="Times New Roman" w:hAnsi="Times New Roman"/>
                <w:sz w:val="17"/>
                <w:szCs w:val="17"/>
                <w:color w:val="231F20"/>
              </w:rPr>
              <w:t>2024</w:t>
            </w:r>
          </w:p>
        </w:tc>
        <w:tc>
          <w:tcPr>
            <w:tcW w:w="140" w:type="dxa"/>
            <w:vAlign w:val="bottom"/>
            <w:tcBorders>
              <w:bottom w:val="single" w:sz="8" w:color="231F20"/>
            </w:tcBorders>
          </w:tcPr>
          <w:p>
            <w:pPr>
              <w:spacing w:after="0"/>
              <w:rPr>
                <w:sz w:val="22"/>
                <w:szCs w:val="22"/>
                <w:color w:val="auto"/>
              </w:rPr>
            </w:pPr>
          </w:p>
        </w:tc>
        <w:tc>
          <w:tcPr>
            <w:tcW w:w="620" w:type="dxa"/>
            <w:vAlign w:val="bottom"/>
            <w:tcBorders>
              <w:bottom w:val="single" w:sz="8" w:color="231F20"/>
            </w:tcBorders>
          </w:tcPr>
          <w:p>
            <w:pPr>
              <w:jc w:val="right"/>
              <w:ind w:right="139"/>
              <w:spacing w:after="0"/>
              <w:rPr>
                <w:sz w:val="20"/>
                <w:szCs w:val="20"/>
                <w:color w:val="auto"/>
              </w:rPr>
            </w:pPr>
            <w:r>
              <w:rPr>
                <w:rFonts w:ascii="Times New Roman" w:cs="Times New Roman" w:eastAsia="Times New Roman" w:hAnsi="Times New Roman"/>
                <w:sz w:val="17"/>
                <w:szCs w:val="17"/>
                <w:color w:val="231F20"/>
              </w:rPr>
              <w:t>2026</w:t>
            </w:r>
          </w:p>
        </w:tc>
        <w:tc>
          <w:tcPr>
            <w:tcW w:w="160" w:type="dxa"/>
            <w:vAlign w:val="bottom"/>
            <w:tcBorders>
              <w:bottom w:val="single" w:sz="8" w:color="231F20"/>
            </w:tcBorders>
          </w:tcPr>
          <w:p>
            <w:pPr>
              <w:spacing w:after="0"/>
              <w:rPr>
                <w:sz w:val="22"/>
                <w:szCs w:val="22"/>
                <w:color w:val="auto"/>
              </w:rPr>
            </w:pPr>
          </w:p>
        </w:tc>
        <w:tc>
          <w:tcPr>
            <w:tcW w:w="660" w:type="dxa"/>
            <w:vAlign w:val="bottom"/>
            <w:tcBorders>
              <w:bottom w:val="single" w:sz="8" w:color="231F20"/>
            </w:tcBorders>
          </w:tcPr>
          <w:p>
            <w:pPr>
              <w:jc w:val="center"/>
              <w:ind w:right="161"/>
              <w:spacing w:after="0"/>
              <w:rPr>
                <w:sz w:val="20"/>
                <w:szCs w:val="20"/>
                <w:color w:val="auto"/>
              </w:rPr>
            </w:pPr>
            <w:r>
              <w:rPr>
                <w:rFonts w:ascii="Times New Roman" w:cs="Times New Roman" w:eastAsia="Times New Roman" w:hAnsi="Times New Roman"/>
                <w:sz w:val="17"/>
                <w:szCs w:val="17"/>
                <w:color w:val="231F20"/>
                <w:w w:val="99"/>
              </w:rPr>
              <w:t>2025</w:t>
            </w:r>
          </w:p>
        </w:tc>
        <w:tc>
          <w:tcPr>
            <w:tcW w:w="100" w:type="dxa"/>
            <w:vAlign w:val="bottom"/>
            <w:tcBorders>
              <w:bottom w:val="single" w:sz="8" w:color="231F20"/>
            </w:tcBorders>
          </w:tcPr>
          <w:p>
            <w:pPr>
              <w:spacing w:after="0"/>
              <w:rPr>
                <w:sz w:val="22"/>
                <w:szCs w:val="22"/>
                <w:color w:val="auto"/>
              </w:rPr>
            </w:pPr>
          </w:p>
        </w:tc>
        <w:tc>
          <w:tcPr>
            <w:tcW w:w="620" w:type="dxa"/>
            <w:vAlign w:val="bottom"/>
            <w:tcBorders>
              <w:bottom w:val="single" w:sz="8" w:color="231F20"/>
            </w:tcBorders>
          </w:tcPr>
          <w:p>
            <w:pPr>
              <w:jc w:val="right"/>
              <w:ind w:right="141"/>
              <w:spacing w:after="0"/>
              <w:rPr>
                <w:sz w:val="20"/>
                <w:szCs w:val="20"/>
                <w:color w:val="auto"/>
              </w:rPr>
            </w:pPr>
            <w:r>
              <w:rPr>
                <w:rFonts w:ascii="Times New Roman" w:cs="Times New Roman" w:eastAsia="Times New Roman" w:hAnsi="Times New Roman"/>
                <w:sz w:val="17"/>
                <w:szCs w:val="17"/>
                <w:color w:val="231F20"/>
              </w:rPr>
              <w:t>2024</w:t>
            </w:r>
          </w:p>
        </w:tc>
        <w:tc>
          <w:tcPr>
            <w:tcW w:w="200" w:type="dxa"/>
            <w:vAlign w:val="bottom"/>
            <w:tcBorders>
              <w:bottom w:val="single" w:sz="8" w:color="231F20"/>
            </w:tcBorders>
          </w:tcPr>
          <w:p>
            <w:pPr>
              <w:spacing w:after="0"/>
              <w:rPr>
                <w:sz w:val="22"/>
                <w:szCs w:val="22"/>
                <w:color w:val="auto"/>
              </w:rPr>
            </w:pPr>
          </w:p>
        </w:tc>
        <w:tc>
          <w:tcPr>
            <w:tcW w:w="720" w:type="dxa"/>
            <w:vAlign w:val="bottom"/>
            <w:tcBorders>
              <w:bottom w:val="single" w:sz="8" w:color="231F20"/>
            </w:tcBorders>
          </w:tcPr>
          <w:p>
            <w:pPr>
              <w:jc w:val="right"/>
              <w:ind w:right="219"/>
              <w:spacing w:after="0"/>
              <w:rPr>
                <w:sz w:val="20"/>
                <w:szCs w:val="20"/>
                <w:color w:val="auto"/>
              </w:rPr>
            </w:pPr>
            <w:r>
              <w:rPr>
                <w:rFonts w:ascii="Times New Roman" w:cs="Times New Roman" w:eastAsia="Times New Roman" w:hAnsi="Times New Roman"/>
                <w:sz w:val="17"/>
                <w:szCs w:val="17"/>
                <w:color w:val="231F20"/>
              </w:rPr>
              <w:t>2026</w:t>
            </w:r>
          </w:p>
        </w:tc>
        <w:tc>
          <w:tcPr>
            <w:tcW w:w="180" w:type="dxa"/>
            <w:vAlign w:val="bottom"/>
            <w:tcBorders>
              <w:bottom w:val="single" w:sz="8" w:color="231F20"/>
            </w:tcBorders>
          </w:tcPr>
          <w:p>
            <w:pPr>
              <w:spacing w:after="0"/>
              <w:rPr>
                <w:sz w:val="22"/>
                <w:szCs w:val="22"/>
                <w:color w:val="auto"/>
              </w:rPr>
            </w:pPr>
          </w:p>
        </w:tc>
        <w:tc>
          <w:tcPr>
            <w:tcW w:w="720" w:type="dxa"/>
            <w:vAlign w:val="bottom"/>
            <w:tcBorders>
              <w:bottom w:val="single" w:sz="8" w:color="231F20"/>
            </w:tcBorders>
          </w:tcPr>
          <w:p>
            <w:pPr>
              <w:jc w:val="center"/>
              <w:ind w:right="161"/>
              <w:spacing w:after="0"/>
              <w:rPr>
                <w:sz w:val="20"/>
                <w:szCs w:val="20"/>
                <w:color w:val="auto"/>
              </w:rPr>
            </w:pPr>
            <w:r>
              <w:rPr>
                <w:rFonts w:ascii="Times New Roman" w:cs="Times New Roman" w:eastAsia="Times New Roman" w:hAnsi="Times New Roman"/>
                <w:sz w:val="17"/>
                <w:szCs w:val="17"/>
                <w:color w:val="231F20"/>
              </w:rPr>
              <w:t>2025</w:t>
            </w:r>
          </w:p>
        </w:tc>
        <w:tc>
          <w:tcPr>
            <w:tcW w:w="180" w:type="dxa"/>
            <w:vAlign w:val="bottom"/>
            <w:tcBorders>
              <w:bottom w:val="single" w:sz="8" w:color="231F20"/>
            </w:tcBorders>
          </w:tcPr>
          <w:p>
            <w:pPr>
              <w:spacing w:after="0"/>
              <w:rPr>
                <w:sz w:val="22"/>
                <w:szCs w:val="22"/>
                <w:color w:val="auto"/>
              </w:rPr>
            </w:pPr>
          </w:p>
        </w:tc>
        <w:tc>
          <w:tcPr>
            <w:tcW w:w="700" w:type="dxa"/>
            <w:vAlign w:val="bottom"/>
            <w:tcBorders>
              <w:bottom w:val="single" w:sz="8" w:color="231F20"/>
            </w:tcBorders>
          </w:tcPr>
          <w:p>
            <w:pPr>
              <w:jc w:val="right"/>
              <w:ind w:right="201"/>
              <w:spacing w:after="0"/>
              <w:rPr>
                <w:sz w:val="20"/>
                <w:szCs w:val="20"/>
                <w:color w:val="auto"/>
              </w:rPr>
            </w:pPr>
            <w:r>
              <w:rPr>
                <w:rFonts w:ascii="Times New Roman" w:cs="Times New Roman" w:eastAsia="Times New Roman" w:hAnsi="Times New Roman"/>
                <w:sz w:val="17"/>
                <w:szCs w:val="17"/>
                <w:color w:val="231F20"/>
              </w:rPr>
              <w:t>2024</w:t>
            </w:r>
          </w:p>
        </w:tc>
      </w:tr>
      <w:tr>
        <w:trPr>
          <w:trHeight w:val="483"/>
        </w:trPr>
        <w:tc>
          <w:tcPr>
            <w:tcW w:w="27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231F20"/>
              </w:rPr>
              <w:t>Beginning Balance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(0.6)</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231F20"/>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(0.7)</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9"/>
              </w:rPr>
              <w:t>$</w:t>
            </w: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(291.8)</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(327.9)</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(320.7)</w:t>
            </w:r>
          </w:p>
        </w:tc>
        <w:tc>
          <w:tcPr>
            <w:tcW w:w="20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(292.3)</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(328.7)</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(320.7)</w:t>
            </w:r>
          </w:p>
        </w:tc>
      </w:tr>
      <w:tr>
        <w:trPr>
          <w:trHeight w:val="220"/>
        </w:trPr>
        <w:tc>
          <w:tcPr>
            <w:tcW w:w="27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Other Comprehensive (Loss) Income</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46"/>
        </w:trPr>
        <w:tc>
          <w:tcPr>
            <w:tcW w:w="27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before reclassifications</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(0.2)</w:t>
            </w:r>
          </w:p>
        </w:tc>
        <w:tc>
          <w:tcPr>
            <w:tcW w:w="12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0.4</w:t>
            </w:r>
          </w:p>
        </w:tc>
        <w:tc>
          <w:tcPr>
            <w:tcW w:w="140" w:type="dxa"/>
            <w:vAlign w:val="bottom"/>
          </w:tcPr>
          <w:p>
            <w:pPr>
              <w:spacing w:after="0"/>
              <w:rPr>
                <w:sz w:val="21"/>
                <w:szCs w:val="21"/>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0.6</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181.8</w:t>
            </w:r>
          </w:p>
        </w:tc>
        <w:tc>
          <w:tcPr>
            <w:tcW w:w="160" w:type="dxa"/>
            <w:vAlign w:val="bottom"/>
          </w:tcPr>
          <w:p>
            <w:pPr>
              <w:spacing w:after="0"/>
              <w:rPr>
                <w:sz w:val="21"/>
                <w:szCs w:val="21"/>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9.2</w:t>
            </w: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(7.2)</w:t>
            </w:r>
          </w:p>
        </w:tc>
        <w:tc>
          <w:tcPr>
            <w:tcW w:w="200" w:type="dxa"/>
            <w:vAlign w:val="bottom"/>
          </w:tcPr>
          <w:p>
            <w:pPr>
              <w:spacing w:after="0"/>
              <w:rPr>
                <w:sz w:val="21"/>
                <w:szCs w:val="21"/>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231F20"/>
              </w:rPr>
              <w:t>181.6</w:t>
            </w:r>
          </w:p>
        </w:tc>
        <w:tc>
          <w:tcPr>
            <w:tcW w:w="180" w:type="dxa"/>
            <w:vAlign w:val="bottom"/>
          </w:tcPr>
          <w:p>
            <w:pPr>
              <w:spacing w:after="0"/>
              <w:rPr>
                <w:sz w:val="21"/>
                <w:szCs w:val="21"/>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231F20"/>
              </w:rPr>
              <w:t>9.6</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(6.6)</w:t>
            </w:r>
          </w:p>
        </w:tc>
      </w:tr>
      <w:tr>
        <w:trPr>
          <w:trHeight w:val="220"/>
        </w:trPr>
        <w:tc>
          <w:tcPr>
            <w:tcW w:w="27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Amounts reclassified from Accumulated</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52"/>
        </w:trPr>
        <w:tc>
          <w:tcPr>
            <w:tcW w:w="27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Other Comprehensive (Loss) Income</w:t>
            </w:r>
          </w:p>
        </w:tc>
        <w:tc>
          <w:tcPr>
            <w:tcW w:w="160" w:type="dxa"/>
            <w:vAlign w:val="bottom"/>
            <w:tcBorders>
              <w:bottom w:val="single" w:sz="8" w:color="231F20"/>
            </w:tcBorders>
          </w:tcPr>
          <w:p>
            <w:pPr>
              <w:spacing w:after="0"/>
              <w:rPr>
                <w:sz w:val="21"/>
                <w:szCs w:val="21"/>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(0.4)</w:t>
            </w:r>
          </w:p>
        </w:tc>
        <w:tc>
          <w:tcPr>
            <w:tcW w:w="120" w:type="dxa"/>
            <w:vAlign w:val="bottom"/>
            <w:tcBorders>
              <w:bottom w:val="single" w:sz="8" w:color="231F20"/>
            </w:tcBorders>
          </w:tcPr>
          <w:p>
            <w:pPr>
              <w:spacing w:after="0"/>
              <w:rPr>
                <w:sz w:val="21"/>
                <w:szCs w:val="21"/>
                <w:color w:val="auto"/>
              </w:rPr>
            </w:pPr>
          </w:p>
        </w:tc>
        <w:tc>
          <w:tcPr>
            <w:tcW w:w="5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(0.3)</w:t>
            </w:r>
          </w:p>
        </w:tc>
        <w:tc>
          <w:tcPr>
            <w:tcW w:w="140" w:type="dxa"/>
            <w:vAlign w:val="bottom"/>
            <w:tcBorders>
              <w:bottom w:val="single" w:sz="8" w:color="231F20"/>
            </w:tcBorders>
          </w:tcPr>
          <w:p>
            <w:pPr>
              <w:spacing w:after="0"/>
              <w:rPr>
                <w:sz w:val="21"/>
                <w:szCs w:val="21"/>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(1.4)</w:t>
            </w:r>
          </w:p>
        </w:tc>
        <w:tc>
          <w:tcPr>
            <w:tcW w:w="140" w:type="dxa"/>
            <w:vAlign w:val="bottom"/>
            <w:tcBorders>
              <w:bottom w:val="single" w:sz="8" w:color="231F20"/>
            </w:tcBorders>
          </w:tcPr>
          <w:p>
            <w:pPr>
              <w:spacing w:after="0"/>
              <w:rPr>
                <w:sz w:val="21"/>
                <w:szCs w:val="21"/>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(2.0)</w:t>
            </w:r>
          </w:p>
        </w:tc>
        <w:tc>
          <w:tcPr>
            <w:tcW w:w="160" w:type="dxa"/>
            <w:vAlign w:val="bottom"/>
            <w:tcBorders>
              <w:bottom w:val="single" w:sz="8" w:color="231F20"/>
            </w:tcBorders>
          </w:tcPr>
          <w:p>
            <w:pPr>
              <w:spacing w:after="0"/>
              <w:rPr>
                <w:sz w:val="21"/>
                <w:szCs w:val="21"/>
                <w:color w:val="auto"/>
              </w:rPr>
            </w:pPr>
          </w:p>
        </w:tc>
        <w:tc>
          <w:tcPr>
            <w:tcW w:w="660" w:type="dxa"/>
            <w:vAlign w:val="bottom"/>
            <w:tcBorders>
              <w:bottom w:val="single" w:sz="8" w:color="231F20"/>
            </w:tcBorders>
          </w:tcPr>
          <w:p>
            <w:pPr>
              <w:jc w:val="right"/>
              <w:ind w:right="41"/>
              <w:spacing w:after="0"/>
              <w:rPr>
                <w:sz w:val="20"/>
                <w:szCs w:val="20"/>
                <w:color w:val="auto"/>
              </w:rPr>
            </w:pPr>
            <w:r>
              <w:rPr>
                <w:rFonts w:ascii="Times New Roman" w:cs="Times New Roman" w:eastAsia="Times New Roman" w:hAnsi="Times New Roman"/>
                <w:sz w:val="16"/>
                <w:szCs w:val="16"/>
                <w:color w:val="231F20"/>
              </w:rPr>
              <w:t>27.0</w:t>
            </w:r>
          </w:p>
        </w:tc>
        <w:tc>
          <w:tcPr>
            <w:tcW w:w="100" w:type="dxa"/>
            <w:vAlign w:val="bottom"/>
            <w:tcBorders>
              <w:bottom w:val="single" w:sz="8" w:color="231F20"/>
            </w:tcBorders>
          </w:tcPr>
          <w:p>
            <w:pPr>
              <w:spacing w:after="0"/>
              <w:rPr>
                <w:sz w:val="21"/>
                <w:szCs w:val="21"/>
                <w:color w:val="auto"/>
              </w:rPr>
            </w:pPr>
          </w:p>
        </w:tc>
        <w:tc>
          <w:tcPr>
            <w:tcW w:w="62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tcBorders>
              <w:bottom w:val="single" w:sz="8" w:color="231F20"/>
            </w:tcBorders>
          </w:tcPr>
          <w:p>
            <w:pPr>
              <w:spacing w:after="0"/>
              <w:rPr>
                <w:sz w:val="21"/>
                <w:szCs w:val="21"/>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(2.4)</w:t>
            </w:r>
          </w:p>
        </w:tc>
        <w:tc>
          <w:tcPr>
            <w:tcW w:w="180" w:type="dxa"/>
            <w:vAlign w:val="bottom"/>
            <w:tcBorders>
              <w:bottom w:val="single" w:sz="8" w:color="231F20"/>
            </w:tcBorders>
          </w:tcPr>
          <w:p>
            <w:pPr>
              <w:spacing w:after="0"/>
              <w:rPr>
                <w:sz w:val="21"/>
                <w:szCs w:val="21"/>
                <w:color w:val="auto"/>
              </w:rPr>
            </w:pPr>
          </w:p>
        </w:tc>
        <w:tc>
          <w:tcPr>
            <w:tcW w:w="72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16"/>
                <w:szCs w:val="16"/>
                <w:color w:val="231F20"/>
              </w:rPr>
              <w:t>26.7</w:t>
            </w:r>
          </w:p>
        </w:tc>
        <w:tc>
          <w:tcPr>
            <w:tcW w:w="180" w:type="dxa"/>
            <w:vAlign w:val="bottom"/>
            <w:tcBorders>
              <w:bottom w:val="single" w:sz="8" w:color="231F20"/>
            </w:tcBorders>
          </w:tcPr>
          <w:p>
            <w:pPr>
              <w:spacing w:after="0"/>
              <w:rPr>
                <w:sz w:val="21"/>
                <w:szCs w:val="21"/>
                <w:color w:val="auto"/>
              </w:rPr>
            </w:pPr>
          </w:p>
        </w:tc>
        <w:tc>
          <w:tcPr>
            <w:tcW w:w="7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(1.4)</w:t>
            </w:r>
          </w:p>
        </w:tc>
      </w:tr>
      <w:tr>
        <w:trPr>
          <w:trHeight w:val="193"/>
        </w:trPr>
        <w:tc>
          <w:tcPr>
            <w:tcW w:w="27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Net current-period Other Comprehensive</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52"/>
        </w:trPr>
        <w:tc>
          <w:tcPr>
            <w:tcW w:w="27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(Loss) Income</w:t>
            </w:r>
          </w:p>
        </w:tc>
        <w:tc>
          <w:tcPr>
            <w:tcW w:w="160" w:type="dxa"/>
            <w:vAlign w:val="bottom"/>
            <w:tcBorders>
              <w:bottom w:val="single" w:sz="8" w:color="231F20"/>
            </w:tcBorders>
          </w:tcPr>
          <w:p>
            <w:pPr>
              <w:spacing w:after="0"/>
              <w:rPr>
                <w:sz w:val="21"/>
                <w:szCs w:val="21"/>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(0.6)</w:t>
            </w:r>
          </w:p>
        </w:tc>
        <w:tc>
          <w:tcPr>
            <w:tcW w:w="120" w:type="dxa"/>
            <w:vAlign w:val="bottom"/>
            <w:tcBorders>
              <w:bottom w:val="single" w:sz="8" w:color="231F20"/>
            </w:tcBorders>
          </w:tcPr>
          <w:p>
            <w:pPr>
              <w:spacing w:after="0"/>
              <w:rPr>
                <w:sz w:val="21"/>
                <w:szCs w:val="21"/>
                <w:color w:val="auto"/>
              </w:rPr>
            </w:pPr>
          </w:p>
        </w:tc>
        <w:tc>
          <w:tcPr>
            <w:tcW w:w="56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16"/>
                <w:szCs w:val="16"/>
                <w:color w:val="231F20"/>
              </w:rPr>
              <w:t>0.1</w:t>
            </w:r>
          </w:p>
        </w:tc>
        <w:tc>
          <w:tcPr>
            <w:tcW w:w="140" w:type="dxa"/>
            <w:vAlign w:val="bottom"/>
            <w:tcBorders>
              <w:bottom w:val="single" w:sz="8" w:color="231F20"/>
            </w:tcBorders>
          </w:tcPr>
          <w:p>
            <w:pPr>
              <w:spacing w:after="0"/>
              <w:rPr>
                <w:sz w:val="21"/>
                <w:szCs w:val="21"/>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(0.7)</w:t>
            </w:r>
          </w:p>
        </w:tc>
        <w:tc>
          <w:tcPr>
            <w:tcW w:w="140" w:type="dxa"/>
            <w:vAlign w:val="bottom"/>
            <w:tcBorders>
              <w:bottom w:val="single" w:sz="8" w:color="231F20"/>
            </w:tcBorders>
          </w:tcPr>
          <w:p>
            <w:pPr>
              <w:spacing w:after="0"/>
              <w:rPr>
                <w:sz w:val="21"/>
                <w:szCs w:val="21"/>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179.7</w:t>
            </w:r>
          </w:p>
        </w:tc>
        <w:tc>
          <w:tcPr>
            <w:tcW w:w="160" w:type="dxa"/>
            <w:vAlign w:val="bottom"/>
            <w:tcBorders>
              <w:bottom w:val="single" w:sz="8" w:color="231F20"/>
            </w:tcBorders>
          </w:tcPr>
          <w:p>
            <w:pPr>
              <w:spacing w:after="0"/>
              <w:rPr>
                <w:sz w:val="21"/>
                <w:szCs w:val="21"/>
                <w:color w:val="auto"/>
              </w:rPr>
            </w:pPr>
          </w:p>
        </w:tc>
        <w:tc>
          <w:tcPr>
            <w:tcW w:w="660" w:type="dxa"/>
            <w:vAlign w:val="bottom"/>
            <w:tcBorders>
              <w:bottom w:val="single" w:sz="8" w:color="231F20"/>
            </w:tcBorders>
          </w:tcPr>
          <w:p>
            <w:pPr>
              <w:jc w:val="right"/>
              <w:ind w:right="41"/>
              <w:spacing w:after="0"/>
              <w:rPr>
                <w:sz w:val="20"/>
                <w:szCs w:val="20"/>
                <w:color w:val="auto"/>
              </w:rPr>
            </w:pPr>
            <w:r>
              <w:rPr>
                <w:rFonts w:ascii="Times New Roman" w:cs="Times New Roman" w:eastAsia="Times New Roman" w:hAnsi="Times New Roman"/>
                <w:sz w:val="16"/>
                <w:szCs w:val="16"/>
                <w:color w:val="231F20"/>
              </w:rPr>
              <w:t>36.2</w:t>
            </w:r>
          </w:p>
        </w:tc>
        <w:tc>
          <w:tcPr>
            <w:tcW w:w="100" w:type="dxa"/>
            <w:vAlign w:val="bottom"/>
            <w:tcBorders>
              <w:bottom w:val="single" w:sz="8" w:color="231F20"/>
            </w:tcBorders>
          </w:tcPr>
          <w:p>
            <w:pPr>
              <w:spacing w:after="0"/>
              <w:rPr>
                <w:sz w:val="21"/>
                <w:szCs w:val="21"/>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(7.2)</w:t>
            </w:r>
          </w:p>
        </w:tc>
        <w:tc>
          <w:tcPr>
            <w:tcW w:w="200" w:type="dxa"/>
            <w:vAlign w:val="bottom"/>
            <w:tcBorders>
              <w:bottom w:val="single" w:sz="8" w:color="231F20"/>
            </w:tcBorders>
          </w:tcPr>
          <w:p>
            <w:pPr>
              <w:spacing w:after="0"/>
              <w:rPr>
                <w:sz w:val="21"/>
                <w:szCs w:val="21"/>
                <w:color w:val="auto"/>
              </w:rPr>
            </w:pPr>
          </w:p>
        </w:tc>
        <w:tc>
          <w:tcPr>
            <w:tcW w:w="720" w:type="dxa"/>
            <w:vAlign w:val="bottom"/>
            <w:tcBorders>
              <w:bottom w:val="single" w:sz="8" w:color="231F20"/>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231F20"/>
              </w:rPr>
              <w:t>179.2</w:t>
            </w:r>
          </w:p>
        </w:tc>
        <w:tc>
          <w:tcPr>
            <w:tcW w:w="180" w:type="dxa"/>
            <w:vAlign w:val="bottom"/>
            <w:tcBorders>
              <w:bottom w:val="single" w:sz="8" w:color="231F20"/>
            </w:tcBorders>
          </w:tcPr>
          <w:p>
            <w:pPr>
              <w:spacing w:after="0"/>
              <w:rPr>
                <w:sz w:val="21"/>
                <w:szCs w:val="21"/>
                <w:color w:val="auto"/>
              </w:rPr>
            </w:pPr>
          </w:p>
        </w:tc>
        <w:tc>
          <w:tcPr>
            <w:tcW w:w="72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16"/>
                <w:szCs w:val="16"/>
                <w:color w:val="231F20"/>
              </w:rPr>
              <w:t>36.3</w:t>
            </w:r>
          </w:p>
        </w:tc>
        <w:tc>
          <w:tcPr>
            <w:tcW w:w="180" w:type="dxa"/>
            <w:vAlign w:val="bottom"/>
            <w:tcBorders>
              <w:bottom w:val="single" w:sz="8" w:color="231F20"/>
            </w:tcBorders>
          </w:tcPr>
          <w:p>
            <w:pPr>
              <w:spacing w:after="0"/>
              <w:rPr>
                <w:sz w:val="21"/>
                <w:szCs w:val="21"/>
                <w:color w:val="auto"/>
              </w:rPr>
            </w:pPr>
          </w:p>
        </w:tc>
        <w:tc>
          <w:tcPr>
            <w:tcW w:w="7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(7.9)</w:t>
            </w:r>
          </w:p>
        </w:tc>
      </w:tr>
      <w:tr>
        <w:trPr>
          <w:trHeight w:val="378"/>
        </w:trPr>
        <w:tc>
          <w:tcPr>
            <w:tcW w:w="27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231F20"/>
              </w:rPr>
              <w:t>Ending Balance</w:t>
            </w:r>
          </w:p>
        </w:tc>
        <w:tc>
          <w:tcPr>
            <w:tcW w:w="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(1.1)</w:t>
            </w:r>
          </w:p>
        </w:tc>
        <w:tc>
          <w:tcPr>
            <w:tcW w:w="120" w:type="dxa"/>
            <w:vAlign w:val="bottom"/>
            <w:tcBorders>
              <w:bottom w:val="single" w:sz="8" w:color="231F20"/>
            </w:tcBorders>
          </w:tcPr>
          <w:p>
            <w:pPr>
              <w:ind w:left="20"/>
              <w:spacing w:after="0"/>
              <w:rPr>
                <w:sz w:val="20"/>
                <w:szCs w:val="20"/>
                <w:color w:val="auto"/>
              </w:rPr>
            </w:pPr>
            <w:r>
              <w:rPr>
                <w:rFonts w:ascii="Times New Roman" w:cs="Times New Roman" w:eastAsia="Times New Roman" w:hAnsi="Times New Roman"/>
                <w:sz w:val="16"/>
                <w:szCs w:val="16"/>
                <w:color w:val="231F20"/>
                <w:w w:val="99"/>
              </w:rPr>
              <w:t>$</w:t>
            </w:r>
          </w:p>
        </w:tc>
        <w:tc>
          <w:tcPr>
            <w:tcW w:w="5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(0.6)</w:t>
            </w:r>
          </w:p>
        </w:tc>
        <w:tc>
          <w:tcPr>
            <w:tcW w:w="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w w:val="99"/>
              </w:rPr>
              <w:t>$</w:t>
            </w: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(0.7)</w:t>
            </w:r>
          </w:p>
        </w:tc>
        <w:tc>
          <w:tcPr>
            <w:tcW w:w="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w w:val="99"/>
              </w:rPr>
              <w:t>$</w:t>
            </w: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(112.0)</w:t>
            </w:r>
          </w:p>
        </w:tc>
        <w:tc>
          <w:tcPr>
            <w:tcW w:w="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6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16"/>
                <w:szCs w:val="16"/>
                <w:color w:val="231F20"/>
              </w:rPr>
              <w:t>(291.8)</w:t>
            </w:r>
          </w:p>
        </w:tc>
        <w:tc>
          <w:tcPr>
            <w:tcW w:w="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(327.9)</w:t>
            </w:r>
          </w:p>
        </w:tc>
        <w:tc>
          <w:tcPr>
            <w:tcW w:w="20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w:t>
            </w: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(113.1)</w:t>
            </w:r>
          </w:p>
        </w:tc>
        <w:tc>
          <w:tcPr>
            <w:tcW w:w="18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16"/>
                <w:szCs w:val="16"/>
                <w:color w:val="231F20"/>
                <w:w w:val="99"/>
              </w:rPr>
              <w:t>$</w:t>
            </w: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(292.3)</w:t>
            </w:r>
          </w:p>
        </w:tc>
        <w:tc>
          <w:tcPr>
            <w:tcW w:w="18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16"/>
                <w:szCs w:val="16"/>
                <w:color w:val="231F20"/>
                <w:w w:val="99"/>
              </w:rPr>
              <w:t>$</w:t>
            </w:r>
          </w:p>
        </w:tc>
        <w:tc>
          <w:tcPr>
            <w:tcW w:w="7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(328.7)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5737225</wp:posOffset>
            </wp:positionH>
            <wp:positionV relativeFrom="paragraph">
              <wp:posOffset>-270510</wp:posOffset>
            </wp:positionV>
            <wp:extent cx="59817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3">
                      <a:extLst>
                        <a:ext uri="{28A0092B-C50C-407E-A947-70E740481C1C}"/>
                      </a:extLst>
                    </a:blip>
                    <a:srcRect/>
                    <a:stretch>
                      <a:fillRect/>
                    </a:stretch>
                  </pic:blipFill>
                  <pic:spPr bwMode="auto">
                    <a:xfrm>
                      <a:off x="0" y="0"/>
                      <a:ext cx="598170" cy="25400"/>
                    </a:xfrm>
                    <a:prstGeom prst="rect">
                      <a:avLst/>
                    </a:prstGeom>
                    <a:noFill/>
                  </pic:spPr>
                </pic:pic>
              </a:graphicData>
            </a:graphic>
          </wp:anchor>
        </w:drawing>
      </w:r>
    </w:p>
    <w:p>
      <w:pPr>
        <w:spacing w:after="0" w:line="8" w:lineRule="exact"/>
        <w:rPr>
          <w:sz w:val="20"/>
          <w:szCs w:val="20"/>
          <w:color w:val="auto"/>
        </w:rPr>
      </w:pPr>
    </w:p>
    <w:p>
      <w:pPr>
        <w:ind w:left="180" w:right="680" w:hanging="177"/>
        <w:spacing w:after="0" w:line="233" w:lineRule="auto"/>
        <w:tabs>
          <w:tab w:leader="none" w:pos="181" w:val="left"/>
        </w:tabs>
        <w:numPr>
          <w:ilvl w:val="0"/>
          <w:numId w:val="34"/>
        </w:numPr>
        <w:rPr>
          <w:rFonts w:ascii="Times New Roman" w:cs="Times New Roman" w:eastAsia="Times New Roman" w:hAnsi="Times New Roman"/>
          <w:sz w:val="22"/>
          <w:szCs w:val="22"/>
          <w:color w:val="231F20"/>
          <w:vertAlign w:val="superscript"/>
        </w:rPr>
      </w:pPr>
      <w:r>
        <w:rPr>
          <w:rFonts w:ascii="Times New Roman" w:cs="Times New Roman" w:eastAsia="Times New Roman" w:hAnsi="Times New Roman"/>
          <w:sz w:val="17"/>
          <w:szCs w:val="17"/>
          <w:color w:val="231F20"/>
        </w:rPr>
        <w:t>The amortization (gain) of defined benefit plan costs is reported in the Interest and miscellaneous income line of our Consolidated Statements of Income.</w:t>
      </w:r>
    </w:p>
    <w:p>
      <w:pPr>
        <w:sectPr>
          <w:pgSz w:w="11880" w:h="15480" w:orient="portrait"/>
          <w:cols w:equalWidth="0" w:num="1">
            <w:col w:w="9960"/>
          </w:cols>
          <w:pgMar w:left="960" w:top="25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100</w:t>
      </w:r>
    </w:p>
    <w:p>
      <w:pPr>
        <w:sectPr>
          <w:pgSz w:w="11880" w:h="15480" w:orient="portrait"/>
          <w:cols w:equalWidth="0" w:num="1">
            <w:col w:w="9960"/>
          </w:cols>
          <w:pgMar w:left="960" w:top="250" w:right="960" w:bottom="0" w:gutter="0" w:footer="0" w:header="0"/>
          <w:type w:val="continuous"/>
        </w:sectPr>
      </w:pPr>
    </w:p>
    <w:bookmarkStart w:id="101" w:name="page102"/>
    <w:bookmarkEnd w:id="101"/>
    <w:p>
      <w:pPr>
        <w:jc w:val="center"/>
        <w:ind w:right="-59"/>
        <w:spacing w:after="0"/>
        <w:rPr>
          <w:sz w:val="20"/>
          <w:szCs w:val="20"/>
          <w:color w:val="auto"/>
        </w:rPr>
      </w:pPr>
      <w:r>
        <w:rPr>
          <w:rFonts w:ascii="Times New Roman" w:cs="Times New Roman" w:eastAsia="Times New Roman" w:hAnsi="Times New Roman"/>
          <w:sz w:val="19"/>
          <w:szCs w:val="19"/>
          <w:b w:val="1"/>
          <w:bCs w:val="1"/>
          <w:color w:val="231F20"/>
        </w:rPr>
        <w:t>STERIS PLC AND SUBSIDIARIES</w:t>
      </w:r>
    </w:p>
    <w:p>
      <w:pPr>
        <w:spacing w:after="0" w:line="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7"/>
          <w:szCs w:val="27"/>
          <w:b w:val="1"/>
          <w:bCs w:val="1"/>
          <w:color w:val="231F20"/>
        </w:rPr>
        <w:t>NOTES TO CONSOLIDATED FINANCIAL STATEMENTS</w:t>
      </w:r>
    </w:p>
    <w:p>
      <w:pPr>
        <w:spacing w:after="0" w:line="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231F20"/>
        </w:rPr>
        <w:t>(dollars in thousands, except per share amounts and as noted)</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7"/>
          <w:szCs w:val="27"/>
          <w:color w:val="231F20"/>
        </w:rPr>
        <w:t>SCHEDULE II – VALUATION AND QUALIFYING ACCOUNTS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220" w:type="dxa"/>
            <w:vAlign w:val="bottom"/>
          </w:tcPr>
          <w:p>
            <w:pPr>
              <w:ind w:left="180"/>
              <w:spacing w:after="0"/>
              <w:rPr>
                <w:sz w:val="20"/>
                <w:szCs w:val="20"/>
                <w:color w:val="auto"/>
              </w:rPr>
            </w:pPr>
            <w:r>
              <w:rPr>
                <w:rFonts w:ascii="Times New Roman" w:cs="Times New Roman" w:eastAsia="Times New Roman" w:hAnsi="Times New Roman"/>
                <w:sz w:val="16"/>
                <w:szCs w:val="16"/>
                <w:color w:val="231F20"/>
              </w:rPr>
              <w:t>(in millions)</w:t>
            </w: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vMerge w:val="restart"/>
          </w:tcPr>
          <w:p>
            <w:pPr>
              <w:jc w:val="center"/>
              <w:ind w:right="87"/>
              <w:spacing w:after="0"/>
              <w:rPr>
                <w:sz w:val="20"/>
                <w:szCs w:val="20"/>
                <w:color w:val="auto"/>
              </w:rPr>
            </w:pPr>
            <w:r>
              <w:rPr>
                <w:rFonts w:ascii="Times New Roman" w:cs="Times New Roman" w:eastAsia="Times New Roman" w:hAnsi="Times New Roman"/>
                <w:sz w:val="16"/>
                <w:szCs w:val="16"/>
                <w:color w:val="231F20"/>
                <w:w w:val="98"/>
              </w:rPr>
              <w:t>Balance at</w:t>
            </w:r>
          </w:p>
        </w:tc>
        <w:tc>
          <w:tcPr>
            <w:tcW w:w="22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6"/>
                <w:szCs w:val="16"/>
                <w:color w:val="231F20"/>
                <w:w w:val="99"/>
              </w:rPr>
              <w:t>Charges</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restart"/>
          </w:tcPr>
          <w:p>
            <w:pPr>
              <w:jc w:val="center"/>
              <w:ind w:right="87"/>
              <w:spacing w:after="0"/>
              <w:rPr>
                <w:sz w:val="20"/>
                <w:szCs w:val="20"/>
                <w:color w:val="auto"/>
              </w:rPr>
            </w:pPr>
            <w:r>
              <w:rPr>
                <w:rFonts w:ascii="Times New Roman" w:cs="Times New Roman" w:eastAsia="Times New Roman" w:hAnsi="Times New Roman"/>
                <w:sz w:val="16"/>
                <w:szCs w:val="16"/>
                <w:color w:val="231F20"/>
                <w:w w:val="95"/>
              </w:rPr>
              <w:t>Charges</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restart"/>
          </w:tcPr>
          <w:p>
            <w:pPr>
              <w:jc w:val="right"/>
              <w:ind w:right="87"/>
              <w:spacing w:after="0"/>
              <w:rPr>
                <w:sz w:val="20"/>
                <w:szCs w:val="20"/>
                <w:color w:val="auto"/>
              </w:rPr>
            </w:pPr>
            <w:r>
              <w:rPr>
                <w:rFonts w:ascii="Times New Roman" w:cs="Times New Roman" w:eastAsia="Times New Roman" w:hAnsi="Times New Roman"/>
                <w:sz w:val="16"/>
                <w:szCs w:val="16"/>
                <w:color w:val="231F20"/>
                <w:w w:val="95"/>
              </w:rPr>
              <w:t>Balance at</w:t>
            </w:r>
          </w:p>
        </w:tc>
        <w:tc>
          <w:tcPr>
            <w:tcW w:w="0" w:type="dxa"/>
            <w:vAlign w:val="bottom"/>
          </w:tcPr>
          <w:p>
            <w:pPr>
              <w:spacing w:after="0"/>
              <w:rPr>
                <w:sz w:val="1"/>
                <w:szCs w:val="1"/>
                <w:color w:val="auto"/>
              </w:rPr>
            </w:pPr>
          </w:p>
        </w:tc>
      </w:tr>
      <w:tr>
        <w:trPr>
          <w:trHeight w:val="155"/>
        </w:trPr>
        <w:tc>
          <w:tcPr>
            <w:tcW w:w="3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center"/>
              <w:ind w:right="68"/>
              <w:spacing w:after="0" w:line="155" w:lineRule="exact"/>
              <w:rPr>
                <w:sz w:val="20"/>
                <w:szCs w:val="20"/>
                <w:color w:val="auto"/>
              </w:rPr>
            </w:pPr>
            <w:r>
              <w:rPr>
                <w:rFonts w:ascii="Times New Roman" w:cs="Times New Roman" w:eastAsia="Times New Roman" w:hAnsi="Times New Roman"/>
                <w:sz w:val="16"/>
                <w:szCs w:val="16"/>
                <w:color w:val="231F20"/>
                <w:w w:val="96"/>
              </w:rPr>
              <w:t>to Costs</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2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231F20"/>
              </w:rPr>
              <w:t>Description</w:t>
            </w:r>
          </w:p>
        </w:tc>
        <w:tc>
          <w:tcPr>
            <w:tcW w:w="460" w:type="dxa"/>
            <w:vAlign w:val="bottom"/>
          </w:tcPr>
          <w:p>
            <w:pPr>
              <w:spacing w:after="0"/>
              <w:rPr>
                <w:sz w:val="13"/>
                <w:szCs w:val="13"/>
                <w:color w:val="auto"/>
              </w:rPr>
            </w:pPr>
          </w:p>
        </w:tc>
        <w:tc>
          <w:tcPr>
            <w:tcW w:w="880" w:type="dxa"/>
            <w:vAlign w:val="bottom"/>
          </w:tcPr>
          <w:p>
            <w:pPr>
              <w:jc w:val="center"/>
              <w:ind w:right="87"/>
              <w:spacing w:after="0" w:line="155" w:lineRule="exact"/>
              <w:rPr>
                <w:sz w:val="20"/>
                <w:szCs w:val="20"/>
                <w:color w:val="auto"/>
              </w:rPr>
            </w:pPr>
            <w:r>
              <w:rPr>
                <w:rFonts w:ascii="Times New Roman" w:cs="Times New Roman" w:eastAsia="Times New Roman" w:hAnsi="Times New Roman"/>
                <w:sz w:val="16"/>
                <w:szCs w:val="16"/>
                <w:color w:val="231F20"/>
                <w:w w:val="98"/>
              </w:rPr>
              <w:t>Beginning</w:t>
            </w:r>
          </w:p>
        </w:tc>
        <w:tc>
          <w:tcPr>
            <w:tcW w:w="220" w:type="dxa"/>
            <w:vAlign w:val="bottom"/>
          </w:tcPr>
          <w:p>
            <w:pPr>
              <w:spacing w:after="0"/>
              <w:rPr>
                <w:sz w:val="13"/>
                <w:szCs w:val="13"/>
                <w:color w:val="auto"/>
              </w:rPr>
            </w:pPr>
          </w:p>
        </w:tc>
        <w:tc>
          <w:tcPr>
            <w:tcW w:w="820" w:type="dxa"/>
            <w:vAlign w:val="bottom"/>
          </w:tcPr>
          <w:p>
            <w:pPr>
              <w:jc w:val="center"/>
              <w:ind w:right="68"/>
              <w:spacing w:after="0" w:line="155" w:lineRule="exact"/>
              <w:rPr>
                <w:sz w:val="20"/>
                <w:szCs w:val="20"/>
                <w:color w:val="auto"/>
              </w:rPr>
            </w:pPr>
            <w:r>
              <w:rPr>
                <w:rFonts w:ascii="Times New Roman" w:cs="Times New Roman" w:eastAsia="Times New Roman" w:hAnsi="Times New Roman"/>
                <w:sz w:val="16"/>
                <w:szCs w:val="16"/>
                <w:color w:val="231F20"/>
                <w:w w:val="95"/>
              </w:rPr>
              <w:t>and</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center"/>
              <w:ind w:right="107"/>
              <w:spacing w:after="0" w:line="155" w:lineRule="exact"/>
              <w:rPr>
                <w:sz w:val="20"/>
                <w:szCs w:val="20"/>
                <w:color w:val="auto"/>
              </w:rPr>
            </w:pPr>
            <w:r>
              <w:rPr>
                <w:rFonts w:ascii="Times New Roman" w:cs="Times New Roman" w:eastAsia="Times New Roman" w:hAnsi="Times New Roman"/>
                <w:sz w:val="16"/>
                <w:szCs w:val="16"/>
                <w:color w:val="231F20"/>
                <w:w w:val="98"/>
              </w:rPr>
              <w:t>to Other</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ind w:right="64"/>
              <w:spacing w:after="0"/>
              <w:rPr>
                <w:sz w:val="20"/>
                <w:szCs w:val="20"/>
                <w:color w:val="auto"/>
              </w:rPr>
            </w:pPr>
            <w:r>
              <w:rPr>
                <w:rFonts w:ascii="Times New Roman" w:cs="Times New Roman" w:eastAsia="Times New Roman" w:hAnsi="Times New Roman"/>
                <w:sz w:val="16"/>
                <w:szCs w:val="16"/>
                <w:color w:val="231F20"/>
                <w:w w:val="93"/>
              </w:rPr>
              <w:t>Deductions</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207"/>
              <w:spacing w:after="0" w:line="155" w:lineRule="exact"/>
              <w:rPr>
                <w:sz w:val="20"/>
                <w:szCs w:val="20"/>
                <w:color w:val="auto"/>
              </w:rPr>
            </w:pPr>
            <w:r>
              <w:rPr>
                <w:rFonts w:ascii="Times New Roman" w:cs="Times New Roman" w:eastAsia="Times New Roman" w:hAnsi="Times New Roman"/>
                <w:sz w:val="16"/>
                <w:szCs w:val="16"/>
                <w:color w:val="231F20"/>
              </w:rPr>
              <w:t>End of</w:t>
            </w:r>
          </w:p>
        </w:tc>
        <w:tc>
          <w:tcPr>
            <w:tcW w:w="0" w:type="dxa"/>
            <w:vAlign w:val="bottom"/>
          </w:tcPr>
          <w:p>
            <w:pPr>
              <w:spacing w:after="0"/>
              <w:rPr>
                <w:sz w:val="1"/>
                <w:szCs w:val="1"/>
                <w:color w:val="auto"/>
              </w:rPr>
            </w:pPr>
          </w:p>
        </w:tc>
      </w:tr>
      <w:tr>
        <w:trPr>
          <w:trHeight w:val="207"/>
        </w:trPr>
        <w:tc>
          <w:tcPr>
            <w:tcW w:w="3220" w:type="dxa"/>
            <w:vAlign w:val="bottom"/>
            <w:tcBorders>
              <w:bottom w:val="single" w:sz="8" w:color="231F20"/>
            </w:tcBorders>
            <w:vMerge w:val="continue"/>
          </w:tcPr>
          <w:p>
            <w:pPr>
              <w:spacing w:after="0"/>
              <w:rPr>
                <w:sz w:val="18"/>
                <w:szCs w:val="18"/>
                <w:color w:val="auto"/>
              </w:rPr>
            </w:pPr>
          </w:p>
        </w:tc>
        <w:tc>
          <w:tcPr>
            <w:tcW w:w="460" w:type="dxa"/>
            <w:vAlign w:val="bottom"/>
            <w:tcBorders>
              <w:bottom w:val="single" w:sz="8" w:color="231F20"/>
            </w:tcBorders>
          </w:tcPr>
          <w:p>
            <w:pPr>
              <w:spacing w:after="0"/>
              <w:rPr>
                <w:sz w:val="18"/>
                <w:szCs w:val="18"/>
                <w:color w:val="auto"/>
              </w:rPr>
            </w:pPr>
          </w:p>
        </w:tc>
        <w:tc>
          <w:tcPr>
            <w:tcW w:w="880" w:type="dxa"/>
            <w:vAlign w:val="bottom"/>
            <w:tcBorders>
              <w:bottom w:val="single" w:sz="8" w:color="231F20"/>
            </w:tcBorders>
          </w:tcPr>
          <w:p>
            <w:pPr>
              <w:jc w:val="center"/>
              <w:ind w:right="87"/>
              <w:spacing w:after="0"/>
              <w:rPr>
                <w:sz w:val="20"/>
                <w:szCs w:val="20"/>
                <w:color w:val="auto"/>
              </w:rPr>
            </w:pPr>
            <w:r>
              <w:rPr>
                <w:rFonts w:ascii="Times New Roman" w:cs="Times New Roman" w:eastAsia="Times New Roman" w:hAnsi="Times New Roman"/>
                <w:sz w:val="16"/>
                <w:szCs w:val="16"/>
                <w:color w:val="231F20"/>
                <w:w w:val="98"/>
              </w:rPr>
              <w:t>of Period</w:t>
            </w:r>
          </w:p>
        </w:tc>
        <w:tc>
          <w:tcPr>
            <w:tcW w:w="220" w:type="dxa"/>
            <w:vAlign w:val="bottom"/>
            <w:tcBorders>
              <w:bottom w:val="single" w:sz="8" w:color="231F20"/>
            </w:tcBorders>
          </w:tcPr>
          <w:p>
            <w:pPr>
              <w:spacing w:after="0"/>
              <w:rPr>
                <w:sz w:val="18"/>
                <w:szCs w:val="18"/>
                <w:color w:val="auto"/>
              </w:rPr>
            </w:pPr>
          </w:p>
        </w:tc>
        <w:tc>
          <w:tcPr>
            <w:tcW w:w="820" w:type="dxa"/>
            <w:vAlign w:val="bottom"/>
            <w:tcBorders>
              <w:bottom w:val="single" w:sz="8" w:color="231F20"/>
            </w:tcBorders>
          </w:tcPr>
          <w:p>
            <w:pPr>
              <w:jc w:val="center"/>
              <w:ind w:right="68"/>
              <w:spacing w:after="0"/>
              <w:rPr>
                <w:sz w:val="20"/>
                <w:szCs w:val="20"/>
                <w:color w:val="auto"/>
              </w:rPr>
            </w:pPr>
            <w:r>
              <w:rPr>
                <w:rFonts w:ascii="Times New Roman" w:cs="Times New Roman" w:eastAsia="Times New Roman" w:hAnsi="Times New Roman"/>
                <w:sz w:val="16"/>
                <w:szCs w:val="16"/>
                <w:color w:val="231F20"/>
                <w:w w:val="95"/>
              </w:rPr>
              <w:t>Expenses</w:t>
            </w:r>
          </w:p>
        </w:tc>
        <w:tc>
          <w:tcPr>
            <w:tcW w:w="360" w:type="dxa"/>
            <w:vAlign w:val="bottom"/>
            <w:tcBorders>
              <w:bottom w:val="single" w:sz="8" w:color="231F20"/>
            </w:tcBorders>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840" w:type="dxa"/>
            <w:vAlign w:val="bottom"/>
            <w:tcBorders>
              <w:bottom w:val="single" w:sz="8" w:color="231F20"/>
            </w:tcBorders>
          </w:tcPr>
          <w:p>
            <w:pPr>
              <w:jc w:val="center"/>
              <w:ind w:right="87"/>
              <w:spacing w:after="0"/>
              <w:rPr>
                <w:sz w:val="20"/>
                <w:szCs w:val="20"/>
                <w:color w:val="auto"/>
              </w:rPr>
            </w:pPr>
            <w:r>
              <w:rPr>
                <w:rFonts w:ascii="Times New Roman" w:cs="Times New Roman" w:eastAsia="Times New Roman" w:hAnsi="Times New Roman"/>
                <w:sz w:val="16"/>
                <w:szCs w:val="16"/>
                <w:color w:val="231F20"/>
                <w:w w:val="95"/>
              </w:rPr>
              <w:t>Accounts</w:t>
            </w:r>
          </w:p>
        </w:tc>
        <w:tc>
          <w:tcPr>
            <w:tcW w:w="340" w:type="dxa"/>
            <w:vAlign w:val="bottom"/>
            <w:tcBorders>
              <w:bottom w:val="single" w:sz="8" w:color="231F20"/>
            </w:tcBorders>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vMerge w:val="continue"/>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840" w:type="dxa"/>
            <w:vAlign w:val="bottom"/>
            <w:tcBorders>
              <w:bottom w:val="single" w:sz="8" w:color="231F20"/>
            </w:tcBorders>
          </w:tcPr>
          <w:p>
            <w:pPr>
              <w:jc w:val="right"/>
              <w:ind w:right="207"/>
              <w:spacing w:after="0"/>
              <w:rPr>
                <w:sz w:val="20"/>
                <w:szCs w:val="20"/>
                <w:color w:val="auto"/>
              </w:rPr>
            </w:pPr>
            <w:r>
              <w:rPr>
                <w:rFonts w:ascii="Times New Roman" w:cs="Times New Roman" w:eastAsia="Times New Roman" w:hAnsi="Times New Roman"/>
                <w:sz w:val="16"/>
                <w:szCs w:val="16"/>
                <w:color w:val="231F20"/>
              </w:rPr>
              <w:t>Period</w:t>
            </w:r>
          </w:p>
        </w:tc>
        <w:tc>
          <w:tcPr>
            <w:tcW w:w="0" w:type="dxa"/>
            <w:vAlign w:val="bottom"/>
          </w:tcPr>
          <w:p>
            <w:pPr>
              <w:spacing w:after="0"/>
              <w:rPr>
                <w:sz w:val="1"/>
                <w:szCs w:val="1"/>
                <w:color w:val="auto"/>
              </w:rPr>
            </w:pPr>
          </w:p>
        </w:tc>
      </w:tr>
      <w:tr>
        <w:trPr>
          <w:trHeight w:val="257"/>
        </w:trPr>
        <w:tc>
          <w:tcPr>
            <w:tcW w:w="32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Year ended March 31, 2026</w:t>
            </w: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220" w:type="dxa"/>
            <w:vAlign w:val="bottom"/>
          </w:tcPr>
          <w:p>
            <w:pPr>
              <w:ind w:left="280"/>
              <w:spacing w:after="0"/>
              <w:rPr>
                <w:sz w:val="20"/>
                <w:szCs w:val="20"/>
                <w:color w:val="auto"/>
              </w:rPr>
            </w:pPr>
            <w:r>
              <w:rPr>
                <w:rFonts w:ascii="Times New Roman" w:cs="Times New Roman" w:eastAsia="Times New Roman" w:hAnsi="Times New Roman"/>
                <w:sz w:val="19"/>
                <w:szCs w:val="19"/>
                <w:color w:val="231F20"/>
              </w:rPr>
              <w:t>Deducted from asset accounts:</w:t>
            </w: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322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 xml:space="preserve">Allowance for credit losses </w:t>
            </w:r>
            <w:r>
              <w:rPr>
                <w:rFonts w:ascii="Times New Roman" w:cs="Times New Roman" w:eastAsia="Times New Roman" w:hAnsi="Times New Roman"/>
                <w:sz w:val="25"/>
                <w:szCs w:val="25"/>
                <w:color w:val="231F20"/>
                <w:vertAlign w:val="superscript"/>
              </w:rPr>
              <w:t>(1)</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880" w:type="dxa"/>
            <w:vAlign w:val="bottom"/>
          </w:tcPr>
          <w:p>
            <w:pPr>
              <w:jc w:val="right"/>
              <w:ind w:right="27"/>
              <w:spacing w:after="0"/>
              <w:rPr>
                <w:sz w:val="20"/>
                <w:szCs w:val="20"/>
                <w:color w:val="auto"/>
              </w:rPr>
            </w:pPr>
            <w:r>
              <w:rPr>
                <w:rFonts w:ascii="Times New Roman" w:cs="Times New Roman" w:eastAsia="Times New Roman" w:hAnsi="Times New Roman"/>
                <w:sz w:val="19"/>
                <w:szCs w:val="19"/>
                <w:b w:val="1"/>
                <w:bCs w:val="1"/>
                <w:color w:val="231F20"/>
              </w:rPr>
              <w:t>24.4</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14.7</w:t>
            </w:r>
          </w:p>
        </w:tc>
        <w:tc>
          <w:tcPr>
            <w:tcW w:w="3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9"/>
                <w:szCs w:val="19"/>
                <w:b w:val="1"/>
                <w:bCs w:val="1"/>
                <w:color w:val="231F20"/>
              </w:rPr>
              <w:t>1.2</w:t>
            </w:r>
          </w:p>
        </w:tc>
        <w:tc>
          <w:tcPr>
            <w:tcW w:w="3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231F20"/>
              </w:rPr>
              <w:t>(3)</w:t>
            </w: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(13.0)</w:t>
            </w:r>
          </w:p>
        </w:tc>
        <w:tc>
          <w:tcPr>
            <w:tcW w:w="3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231F20"/>
              </w:rPr>
              <w:t>(4)</w:t>
            </w: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27.3</w:t>
            </w:r>
          </w:p>
        </w:tc>
        <w:tc>
          <w:tcPr>
            <w:tcW w:w="0" w:type="dxa"/>
            <w:vAlign w:val="bottom"/>
          </w:tcPr>
          <w:p>
            <w:pPr>
              <w:spacing w:after="0"/>
              <w:rPr>
                <w:sz w:val="1"/>
                <w:szCs w:val="1"/>
                <w:color w:val="auto"/>
              </w:rPr>
            </w:pPr>
          </w:p>
        </w:tc>
      </w:tr>
      <w:tr>
        <w:trPr>
          <w:trHeight w:val="291"/>
        </w:trPr>
        <w:tc>
          <w:tcPr>
            <w:tcW w:w="322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Inventory valuation reserve</w:t>
            </w:r>
          </w:p>
        </w:tc>
        <w:tc>
          <w:tcPr>
            <w:tcW w:w="46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Times New Roman" w:cs="Times New Roman" w:eastAsia="Times New Roman" w:hAnsi="Times New Roman"/>
                <w:sz w:val="19"/>
                <w:szCs w:val="19"/>
                <w:b w:val="1"/>
                <w:bCs w:val="1"/>
                <w:color w:val="231F20"/>
              </w:rPr>
              <w:t>49.8</w:t>
            </w:r>
          </w:p>
        </w:tc>
        <w:tc>
          <w:tcPr>
            <w:tcW w:w="220" w:type="dxa"/>
            <w:vAlign w:val="bottom"/>
          </w:tcPr>
          <w:p>
            <w:pPr>
              <w:spacing w:after="0"/>
              <w:rPr>
                <w:sz w:val="24"/>
                <w:szCs w:val="24"/>
                <w:color w:val="auto"/>
              </w:rPr>
            </w:pPr>
          </w:p>
        </w:tc>
        <w:tc>
          <w:tcPr>
            <w:tcW w:w="1180" w:type="dxa"/>
            <w:vAlign w:val="bottom"/>
            <w:gridSpan w:val="2"/>
          </w:tcPr>
          <w:p>
            <w:pPr>
              <w:jc w:val="right"/>
              <w:ind w:right="72"/>
              <w:spacing w:after="0" w:line="290" w:lineRule="exact"/>
              <w:rPr>
                <w:sz w:val="20"/>
                <w:szCs w:val="20"/>
                <w:color w:val="auto"/>
              </w:rPr>
            </w:pPr>
            <w:r>
              <w:rPr>
                <w:rFonts w:ascii="Times New Roman" w:cs="Times New Roman" w:eastAsia="Times New Roman" w:hAnsi="Times New Roman"/>
                <w:sz w:val="19"/>
                <w:szCs w:val="19"/>
                <w:b w:val="1"/>
                <w:bCs w:val="1"/>
                <w:color w:val="231F20"/>
              </w:rPr>
              <w:t xml:space="preserve">(9.0) </w:t>
            </w:r>
            <w:r>
              <w:rPr>
                <w:rFonts w:ascii="Times New Roman" w:cs="Times New Roman" w:eastAsia="Times New Roman" w:hAnsi="Times New Roman"/>
                <w:sz w:val="27"/>
                <w:szCs w:val="27"/>
                <w:color w:val="231F20"/>
                <w:vertAlign w:val="superscript"/>
              </w:rPr>
              <w:t>(2)</w:t>
            </w:r>
          </w:p>
        </w:tc>
        <w:tc>
          <w:tcPr>
            <w:tcW w:w="260" w:type="dxa"/>
            <w:vAlign w:val="bottom"/>
          </w:tcPr>
          <w:p>
            <w:pPr>
              <w:spacing w:after="0"/>
              <w:rPr>
                <w:sz w:val="24"/>
                <w:szCs w:val="24"/>
                <w:color w:val="auto"/>
              </w:rPr>
            </w:pPr>
          </w:p>
        </w:tc>
        <w:tc>
          <w:tcPr>
            <w:tcW w:w="1180" w:type="dxa"/>
            <w:vAlign w:val="bottom"/>
            <w:gridSpan w:val="2"/>
          </w:tcPr>
          <w:p>
            <w:pPr>
              <w:jc w:val="right"/>
              <w:ind w:right="72"/>
              <w:spacing w:after="0" w:line="290" w:lineRule="exact"/>
              <w:rPr>
                <w:sz w:val="20"/>
                <w:szCs w:val="20"/>
                <w:color w:val="auto"/>
              </w:rPr>
            </w:pPr>
            <w:r>
              <w:rPr>
                <w:rFonts w:ascii="Times New Roman" w:cs="Times New Roman" w:eastAsia="Times New Roman" w:hAnsi="Times New Roman"/>
                <w:sz w:val="19"/>
                <w:szCs w:val="19"/>
                <w:b w:val="1"/>
                <w:bCs w:val="1"/>
                <w:color w:val="231F20"/>
              </w:rPr>
              <w:t xml:space="preserve">(1.4) </w:t>
            </w:r>
            <w:r>
              <w:rPr>
                <w:rFonts w:ascii="Times New Roman" w:cs="Times New Roman" w:eastAsia="Times New Roman" w:hAnsi="Times New Roman"/>
                <w:sz w:val="27"/>
                <w:szCs w:val="27"/>
                <w:color w:val="231F20"/>
                <w:vertAlign w:val="superscript"/>
              </w:rPr>
              <w:t>(3)</w:t>
            </w:r>
          </w:p>
        </w:tc>
        <w:tc>
          <w:tcPr>
            <w:tcW w:w="240" w:type="dxa"/>
            <w:vAlign w:val="bottom"/>
          </w:tcPr>
          <w:p>
            <w:pPr>
              <w:spacing w:after="0"/>
              <w:rPr>
                <w:sz w:val="24"/>
                <w:szCs w:val="24"/>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9"/>
                <w:szCs w:val="19"/>
                <w:b w:val="1"/>
                <w:bCs w:val="1"/>
                <w:color w:val="231F20"/>
              </w:rPr>
              <w:t>—</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39.4</w:t>
            </w:r>
          </w:p>
        </w:tc>
        <w:tc>
          <w:tcPr>
            <w:tcW w:w="0" w:type="dxa"/>
            <w:vAlign w:val="bottom"/>
          </w:tcPr>
          <w:p>
            <w:pPr>
              <w:spacing w:after="0"/>
              <w:rPr>
                <w:sz w:val="1"/>
                <w:szCs w:val="1"/>
                <w:color w:val="auto"/>
              </w:rPr>
            </w:pPr>
          </w:p>
        </w:tc>
      </w:tr>
      <w:tr>
        <w:trPr>
          <w:trHeight w:val="195"/>
        </w:trPr>
        <w:tc>
          <w:tcPr>
            <w:tcW w:w="3220" w:type="dxa"/>
            <w:vAlign w:val="bottom"/>
          </w:tcPr>
          <w:p>
            <w:pPr>
              <w:ind w:left="540"/>
              <w:spacing w:after="0" w:line="195" w:lineRule="exact"/>
              <w:rPr>
                <w:sz w:val="20"/>
                <w:szCs w:val="20"/>
                <w:color w:val="auto"/>
              </w:rPr>
            </w:pPr>
            <w:r>
              <w:rPr>
                <w:rFonts w:ascii="Times New Roman" w:cs="Times New Roman" w:eastAsia="Times New Roman" w:hAnsi="Times New Roman"/>
                <w:sz w:val="19"/>
                <w:szCs w:val="19"/>
                <w:color w:val="231F20"/>
              </w:rPr>
              <w:t>Deferred tax asset valuation</w:t>
            </w: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color w:val="231F20"/>
              </w:rPr>
              <w:t>(3)</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322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allowance</w:t>
            </w:r>
          </w:p>
        </w:tc>
        <w:tc>
          <w:tcPr>
            <w:tcW w:w="46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Times New Roman" w:cs="Times New Roman" w:eastAsia="Times New Roman" w:hAnsi="Times New Roman"/>
                <w:sz w:val="19"/>
                <w:szCs w:val="19"/>
                <w:b w:val="1"/>
                <w:bCs w:val="1"/>
                <w:color w:val="231F20"/>
              </w:rPr>
              <w:t>30.6</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3.1</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9"/>
                <w:szCs w:val="19"/>
                <w:b w:val="1"/>
                <w:bCs w:val="1"/>
                <w:color w:val="231F20"/>
              </w:rPr>
              <w:t>1.1</w:t>
            </w:r>
          </w:p>
        </w:tc>
        <w:tc>
          <w:tcPr>
            <w:tcW w:w="3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(5.8)</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29.0</w:t>
            </w:r>
          </w:p>
        </w:tc>
        <w:tc>
          <w:tcPr>
            <w:tcW w:w="0" w:type="dxa"/>
            <w:vAlign w:val="bottom"/>
          </w:tcPr>
          <w:p>
            <w:pPr>
              <w:spacing w:after="0"/>
              <w:rPr>
                <w:sz w:val="1"/>
                <w:szCs w:val="1"/>
                <w:color w:val="auto"/>
              </w:rPr>
            </w:pPr>
          </w:p>
        </w:tc>
      </w:tr>
      <w:tr>
        <w:trPr>
          <w:trHeight w:val="256"/>
        </w:trPr>
        <w:tc>
          <w:tcPr>
            <w:tcW w:w="3220" w:type="dxa"/>
            <w:vAlign w:val="bottom"/>
          </w:tcPr>
          <w:p>
            <w:pPr>
              <w:ind w:left="280"/>
              <w:spacing w:after="0"/>
              <w:rPr>
                <w:sz w:val="20"/>
                <w:szCs w:val="20"/>
                <w:color w:val="auto"/>
              </w:rPr>
            </w:pPr>
            <w:r>
              <w:rPr>
                <w:rFonts w:ascii="Times New Roman" w:cs="Times New Roman" w:eastAsia="Times New Roman" w:hAnsi="Times New Roman"/>
                <w:sz w:val="19"/>
                <w:szCs w:val="19"/>
                <w:color w:val="231F20"/>
              </w:rPr>
              <w:t>Recorded within liabilities:</w:t>
            </w: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6"/>
        </w:trPr>
        <w:tc>
          <w:tcPr>
            <w:tcW w:w="322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Casualty loss reserves</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880" w:type="dxa"/>
            <w:vAlign w:val="bottom"/>
          </w:tcPr>
          <w:p>
            <w:pPr>
              <w:jc w:val="right"/>
              <w:ind w:right="27"/>
              <w:spacing w:after="0"/>
              <w:rPr>
                <w:sz w:val="20"/>
                <w:szCs w:val="20"/>
                <w:color w:val="auto"/>
              </w:rPr>
            </w:pPr>
            <w:r>
              <w:rPr>
                <w:rFonts w:ascii="Times New Roman" w:cs="Times New Roman" w:eastAsia="Times New Roman" w:hAnsi="Times New Roman"/>
                <w:sz w:val="19"/>
                <w:szCs w:val="19"/>
                <w:b w:val="1"/>
                <w:bCs w:val="1"/>
                <w:color w:val="231F20"/>
              </w:rPr>
              <w:t>34.9</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8.4</w:t>
            </w:r>
          </w:p>
        </w:tc>
        <w:tc>
          <w:tcPr>
            <w:tcW w:w="3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(1.0)</w:t>
            </w:r>
          </w:p>
        </w:tc>
        <w:tc>
          <w:tcPr>
            <w:tcW w:w="3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(5.9)</w:t>
            </w:r>
          </w:p>
        </w:tc>
        <w:tc>
          <w:tcPr>
            <w:tcW w:w="3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rPr>
              <w:t>36.4</w:t>
            </w:r>
          </w:p>
        </w:tc>
        <w:tc>
          <w:tcPr>
            <w:tcW w:w="0" w:type="dxa"/>
            <w:vAlign w:val="bottom"/>
          </w:tcPr>
          <w:p>
            <w:pPr>
              <w:spacing w:after="0"/>
              <w:rPr>
                <w:sz w:val="1"/>
                <w:szCs w:val="1"/>
                <w:color w:val="auto"/>
              </w:rPr>
            </w:pPr>
          </w:p>
        </w:tc>
      </w:tr>
      <w:tr>
        <w:trPr>
          <w:trHeight w:val="277"/>
        </w:trPr>
        <w:tc>
          <w:tcPr>
            <w:tcW w:w="32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Year ended March 31, 2025</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220" w:type="dxa"/>
            <w:vAlign w:val="bottom"/>
          </w:tcPr>
          <w:p>
            <w:pPr>
              <w:ind w:left="280"/>
              <w:spacing w:after="0"/>
              <w:rPr>
                <w:sz w:val="20"/>
                <w:szCs w:val="20"/>
                <w:color w:val="auto"/>
              </w:rPr>
            </w:pPr>
            <w:r>
              <w:rPr>
                <w:rFonts w:ascii="Times New Roman" w:cs="Times New Roman" w:eastAsia="Times New Roman" w:hAnsi="Times New Roman"/>
                <w:sz w:val="19"/>
                <w:szCs w:val="19"/>
                <w:color w:val="231F20"/>
              </w:rPr>
              <w:t>Deducted from asset accounts:</w:t>
            </w: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322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 xml:space="preserve">Allowance for credit losses </w:t>
            </w:r>
            <w:r>
              <w:rPr>
                <w:rFonts w:ascii="Times New Roman" w:cs="Times New Roman" w:eastAsia="Times New Roman" w:hAnsi="Times New Roman"/>
                <w:sz w:val="25"/>
                <w:szCs w:val="25"/>
                <w:color w:val="231F20"/>
                <w:vertAlign w:val="superscript"/>
              </w:rPr>
              <w:t>(1)</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80" w:type="dxa"/>
            <w:vAlign w:val="bottom"/>
          </w:tcPr>
          <w:p>
            <w:pPr>
              <w:jc w:val="right"/>
              <w:ind w:right="27"/>
              <w:spacing w:after="0"/>
              <w:rPr>
                <w:sz w:val="20"/>
                <w:szCs w:val="20"/>
                <w:color w:val="auto"/>
              </w:rPr>
            </w:pPr>
            <w:r>
              <w:rPr>
                <w:rFonts w:ascii="Times New Roman" w:cs="Times New Roman" w:eastAsia="Times New Roman" w:hAnsi="Times New Roman"/>
                <w:sz w:val="19"/>
                <w:szCs w:val="19"/>
                <w:color w:val="231F20"/>
              </w:rPr>
              <w:t>23.0</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9.1</w:t>
            </w:r>
          </w:p>
        </w:tc>
        <w:tc>
          <w:tcPr>
            <w:tcW w:w="3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180" w:type="dxa"/>
            <w:vAlign w:val="bottom"/>
            <w:gridSpan w:val="2"/>
          </w:tcPr>
          <w:p>
            <w:pPr>
              <w:jc w:val="right"/>
              <w:ind w:right="72"/>
              <w:spacing w:after="0"/>
              <w:rPr>
                <w:sz w:val="20"/>
                <w:szCs w:val="20"/>
                <w:color w:val="auto"/>
              </w:rPr>
            </w:pPr>
            <w:r>
              <w:rPr>
                <w:rFonts w:ascii="Times New Roman" w:cs="Times New Roman" w:eastAsia="Times New Roman" w:hAnsi="Times New Roman"/>
                <w:sz w:val="19"/>
                <w:szCs w:val="19"/>
                <w:color w:val="231F20"/>
              </w:rPr>
              <w:t xml:space="preserve">(0.1) </w:t>
            </w:r>
            <w:r>
              <w:rPr>
                <w:rFonts w:ascii="Times New Roman" w:cs="Times New Roman" w:eastAsia="Times New Roman" w:hAnsi="Times New Roman"/>
                <w:sz w:val="13"/>
                <w:szCs w:val="13"/>
                <w:color w:val="231F20"/>
              </w:rPr>
              <w:t>(3)</w:t>
            </w: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(7.6)</w:t>
            </w:r>
          </w:p>
        </w:tc>
        <w:tc>
          <w:tcPr>
            <w:tcW w:w="3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231F20"/>
              </w:rPr>
              <w:t>(4)</w:t>
            </w: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24.4</w:t>
            </w:r>
          </w:p>
        </w:tc>
        <w:tc>
          <w:tcPr>
            <w:tcW w:w="0" w:type="dxa"/>
            <w:vAlign w:val="bottom"/>
          </w:tcPr>
          <w:p>
            <w:pPr>
              <w:spacing w:after="0"/>
              <w:rPr>
                <w:sz w:val="1"/>
                <w:szCs w:val="1"/>
                <w:color w:val="auto"/>
              </w:rPr>
            </w:pPr>
          </w:p>
        </w:tc>
      </w:tr>
      <w:tr>
        <w:trPr>
          <w:trHeight w:val="288"/>
        </w:trPr>
        <w:tc>
          <w:tcPr>
            <w:tcW w:w="322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Inventory valuation reserve</w:t>
            </w:r>
          </w:p>
        </w:tc>
        <w:tc>
          <w:tcPr>
            <w:tcW w:w="46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Times New Roman" w:cs="Times New Roman" w:eastAsia="Times New Roman" w:hAnsi="Times New Roman"/>
                <w:sz w:val="19"/>
                <w:szCs w:val="19"/>
                <w:color w:val="231F20"/>
              </w:rPr>
              <w:t>43.9</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5.6</w:t>
            </w:r>
          </w:p>
        </w:tc>
        <w:tc>
          <w:tcPr>
            <w:tcW w:w="3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231F20"/>
              </w:rPr>
              <w:t>(2)</w:t>
            </w:r>
          </w:p>
        </w:tc>
        <w:tc>
          <w:tcPr>
            <w:tcW w:w="26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231F20"/>
              </w:rPr>
              <w:t>0.3</w:t>
            </w:r>
          </w:p>
        </w:tc>
        <w:tc>
          <w:tcPr>
            <w:tcW w:w="3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231F20"/>
              </w:rPr>
              <w:t>(3)</w:t>
            </w:r>
          </w:p>
        </w:tc>
        <w:tc>
          <w:tcPr>
            <w:tcW w:w="240" w:type="dxa"/>
            <w:vAlign w:val="bottom"/>
          </w:tcPr>
          <w:p>
            <w:pPr>
              <w:spacing w:after="0"/>
              <w:rPr>
                <w:sz w:val="24"/>
                <w:szCs w:val="24"/>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231F20"/>
              </w:rPr>
              <w:t>—</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49.8</w:t>
            </w:r>
          </w:p>
        </w:tc>
        <w:tc>
          <w:tcPr>
            <w:tcW w:w="0" w:type="dxa"/>
            <w:vAlign w:val="bottom"/>
          </w:tcPr>
          <w:p>
            <w:pPr>
              <w:spacing w:after="0"/>
              <w:rPr>
                <w:sz w:val="1"/>
                <w:szCs w:val="1"/>
                <w:color w:val="auto"/>
              </w:rPr>
            </w:pPr>
          </w:p>
        </w:tc>
      </w:tr>
      <w:tr>
        <w:trPr>
          <w:trHeight w:val="198"/>
        </w:trPr>
        <w:tc>
          <w:tcPr>
            <w:tcW w:w="3220" w:type="dxa"/>
            <w:vAlign w:val="bottom"/>
          </w:tcPr>
          <w:p>
            <w:pPr>
              <w:ind w:left="540"/>
              <w:spacing w:after="0" w:line="198" w:lineRule="exact"/>
              <w:rPr>
                <w:sz w:val="20"/>
                <w:szCs w:val="20"/>
                <w:color w:val="auto"/>
              </w:rPr>
            </w:pPr>
            <w:r>
              <w:rPr>
                <w:rFonts w:ascii="Times New Roman" w:cs="Times New Roman" w:eastAsia="Times New Roman" w:hAnsi="Times New Roman"/>
                <w:sz w:val="19"/>
                <w:szCs w:val="19"/>
                <w:color w:val="231F20"/>
              </w:rPr>
              <w:t>Deferred tax asset valuation</w:t>
            </w: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vMerge w:val="restart"/>
          </w:tcPr>
          <w:p>
            <w:pPr>
              <w:jc w:val="right"/>
              <w:ind w:right="72"/>
              <w:spacing w:after="0"/>
              <w:rPr>
                <w:sz w:val="20"/>
                <w:szCs w:val="20"/>
                <w:color w:val="auto"/>
              </w:rPr>
            </w:pPr>
            <w:r>
              <w:rPr>
                <w:rFonts w:ascii="Times New Roman" w:cs="Times New Roman" w:eastAsia="Times New Roman" w:hAnsi="Times New Roman"/>
                <w:sz w:val="19"/>
                <w:szCs w:val="19"/>
                <w:color w:val="231F20"/>
              </w:rPr>
              <w:t xml:space="preserve">(0.4) </w:t>
            </w:r>
            <w:r>
              <w:rPr>
                <w:rFonts w:ascii="Times New Roman" w:cs="Times New Roman" w:eastAsia="Times New Roman" w:hAnsi="Times New Roman"/>
                <w:sz w:val="27"/>
                <w:szCs w:val="27"/>
                <w:color w:val="231F20"/>
                <w:vertAlign w:val="superscript"/>
              </w:rPr>
              <w:t>(3)</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322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allowance</w:t>
            </w:r>
          </w:p>
        </w:tc>
        <w:tc>
          <w:tcPr>
            <w:tcW w:w="46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Times New Roman" w:cs="Times New Roman" w:eastAsia="Times New Roman" w:hAnsi="Times New Roman"/>
                <w:sz w:val="19"/>
                <w:szCs w:val="19"/>
                <w:color w:val="231F20"/>
              </w:rPr>
              <w:t>26.4</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7.5</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(2.9)</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30.6</w:t>
            </w:r>
          </w:p>
        </w:tc>
        <w:tc>
          <w:tcPr>
            <w:tcW w:w="0" w:type="dxa"/>
            <w:vAlign w:val="bottom"/>
          </w:tcPr>
          <w:p>
            <w:pPr>
              <w:spacing w:after="0"/>
              <w:rPr>
                <w:sz w:val="1"/>
                <w:szCs w:val="1"/>
                <w:color w:val="auto"/>
              </w:rPr>
            </w:pPr>
          </w:p>
        </w:tc>
      </w:tr>
      <w:tr>
        <w:trPr>
          <w:trHeight w:val="253"/>
        </w:trPr>
        <w:tc>
          <w:tcPr>
            <w:tcW w:w="3220" w:type="dxa"/>
            <w:vAlign w:val="bottom"/>
          </w:tcPr>
          <w:p>
            <w:pPr>
              <w:ind w:left="280"/>
              <w:spacing w:after="0"/>
              <w:rPr>
                <w:sz w:val="20"/>
                <w:szCs w:val="20"/>
                <w:color w:val="auto"/>
              </w:rPr>
            </w:pPr>
            <w:r>
              <w:rPr>
                <w:rFonts w:ascii="Times New Roman" w:cs="Times New Roman" w:eastAsia="Times New Roman" w:hAnsi="Times New Roman"/>
                <w:sz w:val="19"/>
                <w:szCs w:val="19"/>
                <w:color w:val="231F20"/>
              </w:rPr>
              <w:t>Recorded within liabilities:</w:t>
            </w: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2"/>
        </w:trPr>
        <w:tc>
          <w:tcPr>
            <w:tcW w:w="322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Casualty loss reserves</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80" w:type="dxa"/>
            <w:vAlign w:val="bottom"/>
          </w:tcPr>
          <w:p>
            <w:pPr>
              <w:jc w:val="right"/>
              <w:ind w:right="27"/>
              <w:spacing w:after="0"/>
              <w:rPr>
                <w:sz w:val="20"/>
                <w:szCs w:val="20"/>
                <w:color w:val="auto"/>
              </w:rPr>
            </w:pPr>
            <w:r>
              <w:rPr>
                <w:rFonts w:ascii="Times New Roman" w:cs="Times New Roman" w:eastAsia="Times New Roman" w:hAnsi="Times New Roman"/>
                <w:sz w:val="19"/>
                <w:szCs w:val="19"/>
                <w:color w:val="231F20"/>
              </w:rPr>
              <w:t>30.7</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8.4</w:t>
            </w:r>
          </w:p>
        </w:tc>
        <w:tc>
          <w:tcPr>
            <w:tcW w:w="3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231F20"/>
              </w:rPr>
              <w:t>0.4</w:t>
            </w:r>
          </w:p>
        </w:tc>
        <w:tc>
          <w:tcPr>
            <w:tcW w:w="3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(4.6)</w:t>
            </w:r>
          </w:p>
        </w:tc>
        <w:tc>
          <w:tcPr>
            <w:tcW w:w="3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34.9</w:t>
            </w:r>
          </w:p>
        </w:tc>
        <w:tc>
          <w:tcPr>
            <w:tcW w:w="0" w:type="dxa"/>
            <w:vAlign w:val="bottom"/>
          </w:tcPr>
          <w:p>
            <w:pPr>
              <w:spacing w:after="0"/>
              <w:rPr>
                <w:sz w:val="1"/>
                <w:szCs w:val="1"/>
                <w:color w:val="auto"/>
              </w:rPr>
            </w:pPr>
          </w:p>
        </w:tc>
      </w:tr>
      <w:tr>
        <w:trPr>
          <w:trHeight w:val="257"/>
        </w:trPr>
        <w:tc>
          <w:tcPr>
            <w:tcW w:w="32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231F20"/>
              </w:rPr>
              <w:t>Year ended March 31, 2024</w:t>
            </w: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220" w:type="dxa"/>
            <w:vAlign w:val="bottom"/>
          </w:tcPr>
          <w:p>
            <w:pPr>
              <w:ind w:left="280"/>
              <w:spacing w:after="0"/>
              <w:rPr>
                <w:sz w:val="20"/>
                <w:szCs w:val="20"/>
                <w:color w:val="auto"/>
              </w:rPr>
            </w:pPr>
            <w:r>
              <w:rPr>
                <w:rFonts w:ascii="Times New Roman" w:cs="Times New Roman" w:eastAsia="Times New Roman" w:hAnsi="Times New Roman"/>
                <w:sz w:val="19"/>
                <w:szCs w:val="19"/>
                <w:color w:val="231F20"/>
              </w:rPr>
              <w:t>Deducted from asset accounts:</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22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Allowance for trade accounts</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80" w:type="dxa"/>
            <w:vAlign w:val="bottom"/>
            <w:vMerge w:val="restart"/>
          </w:tcPr>
          <w:p>
            <w:pPr>
              <w:jc w:val="right"/>
              <w:ind w:right="27"/>
              <w:spacing w:after="0"/>
              <w:rPr>
                <w:sz w:val="20"/>
                <w:szCs w:val="20"/>
                <w:color w:val="auto"/>
              </w:rPr>
            </w:pPr>
            <w:r>
              <w:rPr>
                <w:rFonts w:ascii="Times New Roman" w:cs="Times New Roman" w:eastAsia="Times New Roman" w:hAnsi="Times New Roman"/>
                <w:sz w:val="19"/>
                <w:szCs w:val="19"/>
                <w:color w:val="231F20"/>
              </w:rPr>
              <w:t>19.3</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11.2</w:t>
            </w:r>
          </w:p>
        </w:tc>
        <w:tc>
          <w:tcPr>
            <w:tcW w:w="360" w:type="dxa"/>
            <w:vAlign w:val="bottom"/>
          </w:tcPr>
          <w:p>
            <w:pPr>
              <w:spacing w:after="0"/>
              <w:rPr>
                <w:sz w:val="20"/>
                <w:szCs w:val="20"/>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180" w:type="dxa"/>
            <w:vAlign w:val="bottom"/>
            <w:gridSpan w:val="2"/>
            <w:vMerge w:val="restart"/>
          </w:tcPr>
          <w:p>
            <w:pPr>
              <w:jc w:val="right"/>
              <w:ind w:right="72"/>
              <w:spacing w:after="0"/>
              <w:rPr>
                <w:sz w:val="20"/>
                <w:szCs w:val="20"/>
                <w:color w:val="auto"/>
              </w:rPr>
            </w:pPr>
            <w:r>
              <w:rPr>
                <w:rFonts w:ascii="Times New Roman" w:cs="Times New Roman" w:eastAsia="Times New Roman" w:hAnsi="Times New Roman"/>
                <w:sz w:val="19"/>
                <w:szCs w:val="19"/>
                <w:color w:val="231F20"/>
              </w:rPr>
              <w:t xml:space="preserve">(0.1) </w:t>
            </w:r>
            <w:r>
              <w:rPr>
                <w:rFonts w:ascii="Times New Roman" w:cs="Times New Roman" w:eastAsia="Times New Roman" w:hAnsi="Times New Roman"/>
                <w:sz w:val="27"/>
                <w:szCs w:val="27"/>
                <w:color w:val="231F20"/>
                <w:vertAlign w:val="superscript"/>
              </w:rPr>
              <w:t>(3)</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(7.4)</w:t>
            </w:r>
          </w:p>
        </w:tc>
        <w:tc>
          <w:tcPr>
            <w:tcW w:w="32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color w:val="231F20"/>
              </w:rPr>
              <w:t>(4)</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23.0</w:t>
            </w:r>
          </w:p>
        </w:tc>
        <w:tc>
          <w:tcPr>
            <w:tcW w:w="0" w:type="dxa"/>
            <w:vAlign w:val="bottom"/>
          </w:tcPr>
          <w:p>
            <w:pPr>
              <w:spacing w:after="0"/>
              <w:rPr>
                <w:sz w:val="1"/>
                <w:szCs w:val="1"/>
                <w:color w:val="auto"/>
              </w:rPr>
            </w:pPr>
          </w:p>
        </w:tc>
      </w:tr>
      <w:tr>
        <w:trPr>
          <w:trHeight w:val="256"/>
        </w:trPr>
        <w:tc>
          <w:tcPr>
            <w:tcW w:w="3220" w:type="dxa"/>
            <w:vAlign w:val="bottom"/>
          </w:tcPr>
          <w:p>
            <w:pPr>
              <w:ind w:left="540"/>
              <w:spacing w:after="0" w:line="256" w:lineRule="exact"/>
              <w:rPr>
                <w:sz w:val="20"/>
                <w:szCs w:val="20"/>
                <w:color w:val="auto"/>
              </w:rPr>
            </w:pPr>
            <w:r>
              <w:rPr>
                <w:rFonts w:ascii="Times New Roman" w:cs="Times New Roman" w:eastAsia="Times New Roman" w:hAnsi="Times New Roman"/>
                <w:sz w:val="19"/>
                <w:szCs w:val="19"/>
                <w:color w:val="231F20"/>
              </w:rPr>
              <w:t xml:space="preserve">receivable </w:t>
            </w:r>
            <w:r>
              <w:rPr>
                <w:rFonts w:ascii="Times New Roman" w:cs="Times New Roman" w:eastAsia="Times New Roman" w:hAnsi="Times New Roman"/>
                <w:sz w:val="25"/>
                <w:szCs w:val="25"/>
                <w:color w:val="231F20"/>
                <w:vertAlign w:val="superscript"/>
              </w:rPr>
              <w:t>(1)</w:t>
            </w:r>
          </w:p>
        </w:tc>
        <w:tc>
          <w:tcPr>
            <w:tcW w:w="460" w:type="dxa"/>
            <w:vAlign w:val="bottom"/>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22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vMerge w:val="continue"/>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24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320" w:type="dxa"/>
            <w:vAlign w:val="bottom"/>
            <w:vMerge w:val="continue"/>
          </w:tcPr>
          <w:p>
            <w:pPr>
              <w:spacing w:after="0"/>
              <w:rPr>
                <w:sz w:val="22"/>
                <w:szCs w:val="22"/>
                <w:color w:val="auto"/>
              </w:rPr>
            </w:pPr>
          </w:p>
        </w:tc>
        <w:tc>
          <w:tcPr>
            <w:tcW w:w="24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322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Inventory valuation reserve</w:t>
            </w:r>
          </w:p>
        </w:tc>
        <w:tc>
          <w:tcPr>
            <w:tcW w:w="46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Times New Roman" w:cs="Times New Roman" w:eastAsia="Times New Roman" w:hAnsi="Times New Roman"/>
                <w:sz w:val="19"/>
                <w:szCs w:val="19"/>
                <w:color w:val="231F20"/>
              </w:rPr>
              <w:t>35.6</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8.2</w:t>
            </w:r>
          </w:p>
        </w:tc>
        <w:tc>
          <w:tcPr>
            <w:tcW w:w="3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231F20"/>
              </w:rPr>
              <w:t>(2)</w:t>
            </w:r>
          </w:p>
        </w:tc>
        <w:tc>
          <w:tcPr>
            <w:tcW w:w="26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231F20"/>
              </w:rPr>
              <w:t>0.1</w:t>
            </w:r>
          </w:p>
        </w:tc>
        <w:tc>
          <w:tcPr>
            <w:tcW w:w="3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231F20"/>
              </w:rPr>
              <w:t>(3)</w:t>
            </w:r>
          </w:p>
        </w:tc>
        <w:tc>
          <w:tcPr>
            <w:tcW w:w="240" w:type="dxa"/>
            <w:vAlign w:val="bottom"/>
          </w:tcPr>
          <w:p>
            <w:pPr>
              <w:spacing w:after="0"/>
              <w:rPr>
                <w:sz w:val="24"/>
                <w:szCs w:val="24"/>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231F20"/>
              </w:rPr>
              <w:t>—</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43.9</w:t>
            </w:r>
          </w:p>
        </w:tc>
        <w:tc>
          <w:tcPr>
            <w:tcW w:w="0" w:type="dxa"/>
            <w:vAlign w:val="bottom"/>
          </w:tcPr>
          <w:p>
            <w:pPr>
              <w:spacing w:after="0"/>
              <w:rPr>
                <w:sz w:val="1"/>
                <w:szCs w:val="1"/>
                <w:color w:val="auto"/>
              </w:rPr>
            </w:pPr>
          </w:p>
        </w:tc>
      </w:tr>
      <w:tr>
        <w:trPr>
          <w:trHeight w:val="198"/>
        </w:trPr>
        <w:tc>
          <w:tcPr>
            <w:tcW w:w="3220" w:type="dxa"/>
            <w:vAlign w:val="bottom"/>
          </w:tcPr>
          <w:p>
            <w:pPr>
              <w:ind w:left="540"/>
              <w:spacing w:after="0" w:line="198" w:lineRule="exact"/>
              <w:rPr>
                <w:sz w:val="20"/>
                <w:szCs w:val="20"/>
                <w:color w:val="auto"/>
              </w:rPr>
            </w:pPr>
            <w:r>
              <w:rPr>
                <w:rFonts w:ascii="Times New Roman" w:cs="Times New Roman" w:eastAsia="Times New Roman" w:hAnsi="Times New Roman"/>
                <w:sz w:val="19"/>
                <w:szCs w:val="19"/>
                <w:color w:val="231F20"/>
              </w:rPr>
              <w:t>Deferred tax asset valuation</w:t>
            </w: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color w:val="231F20"/>
              </w:rPr>
              <w:t>(3)</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322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allowance</w:t>
            </w:r>
          </w:p>
        </w:tc>
        <w:tc>
          <w:tcPr>
            <w:tcW w:w="46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Times New Roman" w:cs="Times New Roman" w:eastAsia="Times New Roman" w:hAnsi="Times New Roman"/>
                <w:sz w:val="19"/>
                <w:szCs w:val="19"/>
                <w:color w:val="231F20"/>
              </w:rPr>
              <w:t>20.3</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6.8</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231F20"/>
              </w:rPr>
              <w:t>0.1</w:t>
            </w:r>
          </w:p>
        </w:tc>
        <w:tc>
          <w:tcPr>
            <w:tcW w:w="3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(0.8)</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26.4</w:t>
            </w:r>
          </w:p>
        </w:tc>
        <w:tc>
          <w:tcPr>
            <w:tcW w:w="0" w:type="dxa"/>
            <w:vAlign w:val="bottom"/>
          </w:tcPr>
          <w:p>
            <w:pPr>
              <w:spacing w:after="0"/>
              <w:rPr>
                <w:sz w:val="1"/>
                <w:szCs w:val="1"/>
                <w:color w:val="auto"/>
              </w:rPr>
            </w:pPr>
          </w:p>
        </w:tc>
      </w:tr>
      <w:tr>
        <w:trPr>
          <w:trHeight w:val="256"/>
        </w:trPr>
        <w:tc>
          <w:tcPr>
            <w:tcW w:w="3220" w:type="dxa"/>
            <w:vAlign w:val="bottom"/>
          </w:tcPr>
          <w:p>
            <w:pPr>
              <w:ind w:left="280"/>
              <w:spacing w:after="0"/>
              <w:rPr>
                <w:sz w:val="20"/>
                <w:szCs w:val="20"/>
                <w:color w:val="auto"/>
              </w:rPr>
            </w:pPr>
            <w:r>
              <w:rPr>
                <w:rFonts w:ascii="Times New Roman" w:cs="Times New Roman" w:eastAsia="Times New Roman" w:hAnsi="Times New Roman"/>
                <w:sz w:val="19"/>
                <w:szCs w:val="19"/>
                <w:color w:val="231F20"/>
              </w:rPr>
              <w:t>Recorded within liabilities:</w:t>
            </w: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6"/>
        </w:trPr>
        <w:tc>
          <w:tcPr>
            <w:tcW w:w="3220" w:type="dxa"/>
            <w:vAlign w:val="bottom"/>
          </w:tcPr>
          <w:p>
            <w:pPr>
              <w:ind w:left="540"/>
              <w:spacing w:after="0"/>
              <w:rPr>
                <w:sz w:val="20"/>
                <w:szCs w:val="20"/>
                <w:color w:val="auto"/>
              </w:rPr>
            </w:pPr>
            <w:r>
              <w:rPr>
                <w:rFonts w:ascii="Times New Roman" w:cs="Times New Roman" w:eastAsia="Times New Roman" w:hAnsi="Times New Roman"/>
                <w:sz w:val="19"/>
                <w:szCs w:val="19"/>
                <w:color w:val="231F20"/>
              </w:rPr>
              <w:t>Casualty loss reserves</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80" w:type="dxa"/>
            <w:vAlign w:val="bottom"/>
          </w:tcPr>
          <w:p>
            <w:pPr>
              <w:jc w:val="right"/>
              <w:ind w:right="27"/>
              <w:spacing w:after="0"/>
              <w:rPr>
                <w:sz w:val="20"/>
                <w:szCs w:val="20"/>
                <w:color w:val="auto"/>
              </w:rPr>
            </w:pPr>
            <w:r>
              <w:rPr>
                <w:rFonts w:ascii="Times New Roman" w:cs="Times New Roman" w:eastAsia="Times New Roman" w:hAnsi="Times New Roman"/>
                <w:sz w:val="19"/>
                <w:szCs w:val="19"/>
                <w:color w:val="231F20"/>
              </w:rPr>
              <w:t>30.4</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7.9</w:t>
            </w:r>
          </w:p>
        </w:tc>
        <w:tc>
          <w:tcPr>
            <w:tcW w:w="3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(2.4)</w:t>
            </w:r>
          </w:p>
        </w:tc>
        <w:tc>
          <w:tcPr>
            <w:tcW w:w="3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(5.2)</w:t>
            </w:r>
          </w:p>
        </w:tc>
        <w:tc>
          <w:tcPr>
            <w:tcW w:w="3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30.7</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180" w:hanging="177"/>
        <w:spacing w:after="0"/>
        <w:tabs>
          <w:tab w:leader="none" w:pos="180" w:val="left"/>
        </w:tabs>
        <w:numPr>
          <w:ilvl w:val="0"/>
          <w:numId w:val="35"/>
        </w:numPr>
        <w:rPr>
          <w:rFonts w:ascii="Times New Roman" w:cs="Times New Roman" w:eastAsia="Times New Roman" w:hAnsi="Times New Roman"/>
          <w:sz w:val="22"/>
          <w:szCs w:val="22"/>
          <w:color w:val="231F20"/>
          <w:vertAlign w:val="superscript"/>
        </w:rPr>
      </w:pPr>
      <w:r>
        <w:rPr>
          <w:rFonts w:ascii="Times New Roman" w:cs="Times New Roman" w:eastAsia="Times New Roman" w:hAnsi="Times New Roman"/>
          <w:sz w:val="17"/>
          <w:szCs w:val="17"/>
          <w:color w:val="231F20"/>
        </w:rPr>
        <w:t>Net allowance for credit losses and allowance for sales and returns.</w:t>
      </w:r>
    </w:p>
    <w:p>
      <w:pPr>
        <w:spacing w:after="0" w:line="1" w:lineRule="exact"/>
        <w:rPr>
          <w:rFonts w:ascii="Times New Roman" w:cs="Times New Roman" w:eastAsia="Times New Roman" w:hAnsi="Times New Roman"/>
          <w:sz w:val="22"/>
          <w:szCs w:val="22"/>
          <w:color w:val="231F20"/>
          <w:vertAlign w:val="superscript"/>
        </w:rPr>
      </w:pPr>
    </w:p>
    <w:p>
      <w:pPr>
        <w:ind w:left="180" w:hanging="177"/>
        <w:spacing w:after="0" w:line="196" w:lineRule="auto"/>
        <w:tabs>
          <w:tab w:leader="none" w:pos="180" w:val="left"/>
        </w:tabs>
        <w:numPr>
          <w:ilvl w:val="0"/>
          <w:numId w:val="35"/>
        </w:numPr>
        <w:rPr>
          <w:rFonts w:ascii="Times New Roman" w:cs="Times New Roman" w:eastAsia="Times New Roman" w:hAnsi="Times New Roman"/>
          <w:sz w:val="22"/>
          <w:szCs w:val="22"/>
          <w:color w:val="231F20"/>
          <w:vertAlign w:val="superscript"/>
        </w:rPr>
      </w:pPr>
      <w:r>
        <w:rPr>
          <w:rFonts w:ascii="Times New Roman" w:cs="Times New Roman" w:eastAsia="Times New Roman" w:hAnsi="Times New Roman"/>
          <w:sz w:val="17"/>
          <w:szCs w:val="17"/>
          <w:color w:val="231F20"/>
        </w:rPr>
        <w:t>Provision for excess and obsolete inventory, net of inventory written off.</w:t>
      </w:r>
    </w:p>
    <w:p>
      <w:pPr>
        <w:spacing w:after="0" w:line="2" w:lineRule="exact"/>
        <w:rPr>
          <w:rFonts w:ascii="Times New Roman" w:cs="Times New Roman" w:eastAsia="Times New Roman" w:hAnsi="Times New Roman"/>
          <w:sz w:val="22"/>
          <w:szCs w:val="22"/>
          <w:color w:val="231F20"/>
          <w:vertAlign w:val="superscript"/>
        </w:rPr>
      </w:pPr>
    </w:p>
    <w:p>
      <w:pPr>
        <w:ind w:left="180" w:hanging="177"/>
        <w:spacing w:after="0" w:line="196" w:lineRule="auto"/>
        <w:tabs>
          <w:tab w:leader="none" w:pos="180" w:val="left"/>
        </w:tabs>
        <w:numPr>
          <w:ilvl w:val="0"/>
          <w:numId w:val="35"/>
        </w:numPr>
        <w:rPr>
          <w:rFonts w:ascii="Times New Roman" w:cs="Times New Roman" w:eastAsia="Times New Roman" w:hAnsi="Times New Roman"/>
          <w:sz w:val="22"/>
          <w:szCs w:val="22"/>
          <w:color w:val="231F20"/>
          <w:vertAlign w:val="superscript"/>
        </w:rPr>
      </w:pPr>
      <w:r>
        <w:rPr>
          <w:rFonts w:ascii="Times New Roman" w:cs="Times New Roman" w:eastAsia="Times New Roman" w:hAnsi="Times New Roman"/>
          <w:sz w:val="17"/>
          <w:szCs w:val="17"/>
          <w:color w:val="231F20"/>
        </w:rPr>
        <w:t>Change in foreign currency exchange rates and acquired reserves.</w:t>
      </w:r>
    </w:p>
    <w:p>
      <w:pPr>
        <w:spacing w:after="0" w:line="2" w:lineRule="exact"/>
        <w:rPr>
          <w:rFonts w:ascii="Times New Roman" w:cs="Times New Roman" w:eastAsia="Times New Roman" w:hAnsi="Times New Roman"/>
          <w:sz w:val="22"/>
          <w:szCs w:val="22"/>
          <w:color w:val="231F20"/>
          <w:vertAlign w:val="superscript"/>
        </w:rPr>
      </w:pPr>
    </w:p>
    <w:p>
      <w:pPr>
        <w:ind w:left="180" w:hanging="177"/>
        <w:spacing w:after="0" w:line="196" w:lineRule="auto"/>
        <w:tabs>
          <w:tab w:leader="none" w:pos="180" w:val="left"/>
        </w:tabs>
        <w:numPr>
          <w:ilvl w:val="0"/>
          <w:numId w:val="35"/>
        </w:numPr>
        <w:rPr>
          <w:rFonts w:ascii="Times New Roman" w:cs="Times New Roman" w:eastAsia="Times New Roman" w:hAnsi="Times New Roman"/>
          <w:sz w:val="22"/>
          <w:szCs w:val="22"/>
          <w:color w:val="231F20"/>
          <w:vertAlign w:val="superscript"/>
        </w:rPr>
      </w:pPr>
      <w:r>
        <w:rPr>
          <w:rFonts w:ascii="Times New Roman" w:cs="Times New Roman" w:eastAsia="Times New Roman" w:hAnsi="Times New Roman"/>
          <w:sz w:val="17"/>
          <w:szCs w:val="17"/>
          <w:color w:val="231F20"/>
        </w:rPr>
        <w:t>Uncollectible accounts written off, net of recoveries.</w:t>
      </w:r>
    </w:p>
    <w:p>
      <w:pPr>
        <w:sectPr>
          <w:pgSz w:w="11880" w:h="15480" w:orient="portrait"/>
          <w:cols w:equalWidth="0" w:num="1">
            <w:col w:w="9900"/>
          </w:cols>
          <w:pgMar w:left="960" w:top="48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231F20"/>
        </w:rPr>
        <w:t>101</w:t>
      </w:r>
    </w:p>
    <w:p>
      <w:pPr>
        <w:sectPr>
          <w:pgSz w:w="11880" w:h="15480" w:orient="portrait"/>
          <w:cols w:equalWidth="0" w:num="1">
            <w:col w:w="9900"/>
          </w:cols>
          <w:pgMar w:left="960" w:top="483" w:right="1020" w:bottom="0" w:gutter="0" w:footer="0" w:header="0"/>
          <w:type w:val="continuous"/>
        </w:sectPr>
      </w:pPr>
    </w:p>
    <w:bookmarkStart w:id="102" w:name="page103"/>
    <w:bookmarkEnd w:id="102"/>
    <w:p>
      <w:pPr>
        <w:ind w:left="1400" w:right="600" w:hanging="1396"/>
        <w:spacing w:after="0" w:line="285" w:lineRule="auto"/>
        <w:tabs>
          <w:tab w:leader="none" w:pos="1380" w:val="left"/>
        </w:tabs>
        <w:rPr>
          <w:sz w:val="20"/>
          <w:szCs w:val="20"/>
          <w:color w:val="auto"/>
        </w:rPr>
      </w:pPr>
      <w:r>
        <w:rPr>
          <w:rFonts w:ascii="Times New Roman" w:cs="Times New Roman" w:eastAsia="Times New Roman" w:hAnsi="Times New Roman"/>
          <w:sz w:val="27"/>
          <w:szCs w:val="27"/>
          <w:color w:val="231F20"/>
        </w:rPr>
        <w:t>ITEM 9.</w:t>
      </w:r>
      <w:r>
        <w:rPr>
          <w:sz w:val="20"/>
          <w:szCs w:val="20"/>
          <w:color w:val="auto"/>
        </w:rPr>
        <w:tab/>
      </w:r>
      <w:r>
        <w:rPr>
          <w:rFonts w:ascii="Times New Roman" w:cs="Times New Roman" w:eastAsia="Times New Roman" w:hAnsi="Times New Roman"/>
          <w:sz w:val="27"/>
          <w:szCs w:val="27"/>
          <w:color w:val="231F20"/>
        </w:rPr>
        <w:t>CHANGES IN AND DISAGREEMENTS WITH ACCOUNTANTS ON ACCOUNTING AND FINANCIAL DISCLOSURE</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None.</w:t>
      </w:r>
    </w:p>
    <w:p>
      <w:pPr>
        <w:spacing w:after="0" w:line="107"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7"/>
          <w:szCs w:val="27"/>
          <w:color w:val="231F20"/>
        </w:rPr>
        <w:t>ITEM 9A.</w:t>
        <w:tab/>
        <w:t>CONTROLS AND PROCEDURES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EVALUATION OF DISCLOSURE CONTROLS AND PROCEDURES</w:t>
      </w:r>
    </w:p>
    <w:p>
      <w:pPr>
        <w:spacing w:after="0" w:line="138" w:lineRule="exact"/>
        <w:rPr>
          <w:sz w:val="20"/>
          <w:szCs w:val="20"/>
          <w:color w:val="auto"/>
        </w:rPr>
      </w:pPr>
    </w:p>
    <w:p>
      <w:pPr>
        <w:ind w:right="740" w:firstLine="349"/>
        <w:spacing w:after="0" w:line="266" w:lineRule="auto"/>
        <w:rPr>
          <w:sz w:val="20"/>
          <w:szCs w:val="20"/>
          <w:color w:val="auto"/>
        </w:rPr>
      </w:pPr>
      <w:r>
        <w:rPr>
          <w:rFonts w:ascii="Times New Roman" w:cs="Times New Roman" w:eastAsia="Times New Roman" w:hAnsi="Times New Roman"/>
          <w:sz w:val="19"/>
          <w:szCs w:val="19"/>
          <w:color w:val="231F20"/>
        </w:rPr>
        <w:t>Our management, including the Principal Executive Officer (“PEO”) and Principal Financial Officer (“PFO”), has evaluated the effectiveness of our disclosure controls and procedures, as defined in Exchange Act Rules 13a-15(e) and</w:t>
      </w:r>
    </w:p>
    <w:p>
      <w:pPr>
        <w:spacing w:after="0" w:line="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231F20"/>
        </w:rPr>
        <w:t>15d-15(e), as of the end of the period covered by this Annual Report on Form 10-K. Based on this evaluation, the PEO and PFO have determined that, as of the end of the period covered by this Annual Report on Form 10-K, our disclosure controls and procedures were effective.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CHANGES IN INTERNAL CONTROLS</w:t>
      </w:r>
    </w:p>
    <w:p>
      <w:pPr>
        <w:spacing w:after="0" w:line="138" w:lineRule="exact"/>
        <w:rPr>
          <w:sz w:val="20"/>
          <w:szCs w:val="20"/>
          <w:color w:val="auto"/>
        </w:rPr>
      </w:pPr>
    </w:p>
    <w:p>
      <w:pPr>
        <w:ind w:right="180" w:firstLine="349"/>
        <w:spacing w:after="0" w:line="293" w:lineRule="auto"/>
        <w:rPr>
          <w:sz w:val="20"/>
          <w:szCs w:val="20"/>
          <w:color w:val="auto"/>
        </w:rPr>
      </w:pPr>
      <w:r>
        <w:rPr>
          <w:rFonts w:ascii="Times New Roman" w:cs="Times New Roman" w:eastAsia="Times New Roman" w:hAnsi="Times New Roman"/>
          <w:sz w:val="19"/>
          <w:szCs w:val="19"/>
          <w:color w:val="231F20"/>
        </w:rPr>
        <w:t>During the quarter ended March 31, 2026, there were no changes in our internal control over financial reporting that have materially affected, or are reasonably likely to materially affect, our internal control over financial reporting.</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MANAGEMENT’S REPORT ON INTERNAL CONTROL OVER FINANCIAL REPORTING</w:t>
      </w:r>
    </w:p>
    <w:p>
      <w:pPr>
        <w:spacing w:after="0" w:line="138" w:lineRule="exact"/>
        <w:rPr>
          <w:sz w:val="20"/>
          <w:szCs w:val="20"/>
          <w:color w:val="auto"/>
        </w:rPr>
      </w:pPr>
    </w:p>
    <w:p>
      <w:pPr>
        <w:ind w:right="20" w:firstLine="349"/>
        <w:spacing w:after="0" w:line="249" w:lineRule="auto"/>
        <w:rPr>
          <w:sz w:val="20"/>
          <w:szCs w:val="20"/>
          <w:color w:val="auto"/>
        </w:rPr>
      </w:pPr>
      <w:r>
        <w:rPr>
          <w:rFonts w:ascii="Times New Roman" w:cs="Times New Roman" w:eastAsia="Times New Roman" w:hAnsi="Times New Roman"/>
          <w:sz w:val="19"/>
          <w:szCs w:val="19"/>
          <w:color w:val="231F20"/>
        </w:rPr>
        <w:t>Management is responsible for establishing and maintaining adequate internal control over financial reporting, as such term is defined in the Exchange Act Rules 13a-15(f). Under the supervision and with the participation of management, including the PEO and PFO, we conducted an evaluation of the effectiveness of internal control over financial reporting as of March 31, 2026 based on the framework in 2013 Internal Control-Integrated Framework issued by the Committee of Sponsoring Organizations of the Treadway Commission. Based on this evaluation under this framework, management concluded that the internal control over financial reporting was effective as of March 31, 2026. Our evaluation of internal control over financial reporting did not include the internal controls of the businesses that were acquired during fiscal 2026. Total assets of the acquired businesses represented approximately 0.4% of our total assets as of March 31, 2026 and approximately 0.1% of our total revenues for the year ended March 31, 2026. Based on this evaluation under this framework, management concluded that the internal control over financial reporting was effective as of March 31, 2026.</w:t>
      </w:r>
    </w:p>
    <w:p>
      <w:pPr>
        <w:spacing w:after="0" w:line="81" w:lineRule="exact"/>
        <w:rPr>
          <w:sz w:val="20"/>
          <w:szCs w:val="20"/>
          <w:color w:val="auto"/>
        </w:rPr>
      </w:pPr>
    </w:p>
    <w:p>
      <w:pPr>
        <w:ind w:right="180" w:firstLine="349"/>
        <w:spacing w:after="0" w:line="293" w:lineRule="auto"/>
        <w:rPr>
          <w:sz w:val="20"/>
          <w:szCs w:val="20"/>
          <w:color w:val="auto"/>
        </w:rPr>
      </w:pPr>
      <w:r>
        <w:rPr>
          <w:rFonts w:ascii="Times New Roman" w:cs="Times New Roman" w:eastAsia="Times New Roman" w:hAnsi="Times New Roman"/>
          <w:sz w:val="19"/>
          <w:szCs w:val="19"/>
          <w:color w:val="231F20"/>
        </w:rPr>
        <w:t>The independent registered public accounting firm that audited the financial statements has issued an attestation report on internal control over financial reporting.</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To the Shareholders and the Board of Directors of STERIS plc</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Opinion on Internal Control Over Financial Reporting</w:t>
      </w:r>
    </w:p>
    <w:p>
      <w:pPr>
        <w:spacing w:after="0" w:line="138" w:lineRule="exact"/>
        <w:rPr>
          <w:sz w:val="20"/>
          <w:szCs w:val="20"/>
          <w:color w:val="auto"/>
        </w:rPr>
      </w:pPr>
    </w:p>
    <w:p>
      <w:pPr>
        <w:jc w:val="both"/>
        <w:ind w:firstLine="349"/>
        <w:spacing w:after="0" w:line="265" w:lineRule="auto"/>
        <w:rPr>
          <w:sz w:val="20"/>
          <w:szCs w:val="20"/>
          <w:color w:val="auto"/>
        </w:rPr>
      </w:pPr>
      <w:r>
        <w:rPr>
          <w:rFonts w:ascii="Times New Roman" w:cs="Times New Roman" w:eastAsia="Times New Roman" w:hAnsi="Times New Roman"/>
          <w:sz w:val="19"/>
          <w:szCs w:val="19"/>
          <w:color w:val="231F20"/>
        </w:rPr>
        <w:t>We have audited STERIS plc and subsidiaries’ internal control over financial reporting as of March 31, 2026, based on criteria established in Internal Control-Integrated Framework issued by the Committee of Sponsoring Organizations of the Treadway Commission (2013 framework) (the COSO criteria). In our opinion, STERIS plc and subsidiaries (the Company) maintained, in all material respects, effective internal control over financial reporting as of March 31, 2026, based on the COSO criteria.</w:t>
      </w:r>
    </w:p>
    <w:p>
      <w:pPr>
        <w:spacing w:after="0" w:line="75" w:lineRule="exact"/>
        <w:rPr>
          <w:sz w:val="20"/>
          <w:szCs w:val="20"/>
          <w:color w:val="auto"/>
        </w:rPr>
      </w:pPr>
    </w:p>
    <w:p>
      <w:pPr>
        <w:jc w:val="both"/>
        <w:ind w:firstLine="349"/>
        <w:spacing w:after="0" w:line="262" w:lineRule="auto"/>
        <w:rPr>
          <w:sz w:val="20"/>
          <w:szCs w:val="20"/>
          <w:color w:val="auto"/>
        </w:rPr>
      </w:pPr>
      <w:r>
        <w:rPr>
          <w:rFonts w:ascii="Times New Roman" w:cs="Times New Roman" w:eastAsia="Times New Roman" w:hAnsi="Times New Roman"/>
          <w:sz w:val="19"/>
          <w:szCs w:val="19"/>
          <w:color w:val="231F20"/>
        </w:rPr>
        <w:t>As indicated in the accompanying Management’s Report on Internal Control Over Financial Reporting, management’s assessment of and conclusion on the effectiveness of internal control over financial reporting did not include the internal controls of the businesses that were acquired during the year ended March 31, 2026, which are included in the fiscal 2026 consolidated financial statements of the Company and constituted approximately 0.4% of total assets as of March 31, 2026 and approximately 0.1% of total revenues for the year then ended. Our audit of internal control over financial reporting of the Company also did not include an evaluation of the internal control over financial reporting of the businesses that were acquired during the year ended March 31, 2026.</w:t>
      </w:r>
    </w:p>
    <w:p>
      <w:pPr>
        <w:spacing w:after="0" w:line="77" w:lineRule="exact"/>
        <w:rPr>
          <w:sz w:val="20"/>
          <w:szCs w:val="20"/>
          <w:color w:val="auto"/>
        </w:rPr>
      </w:pPr>
    </w:p>
    <w:p>
      <w:pPr>
        <w:jc w:val="both"/>
        <w:ind w:firstLine="349"/>
        <w:spacing w:after="0" w:line="265" w:lineRule="auto"/>
        <w:rPr>
          <w:sz w:val="20"/>
          <w:szCs w:val="20"/>
          <w:color w:val="auto"/>
        </w:rPr>
      </w:pPr>
      <w:r>
        <w:rPr>
          <w:rFonts w:ascii="Times New Roman" w:cs="Times New Roman" w:eastAsia="Times New Roman" w:hAnsi="Times New Roman"/>
          <w:sz w:val="19"/>
          <w:szCs w:val="19"/>
          <w:color w:val="231F20"/>
        </w:rPr>
        <w:t>We also have audited, in accordance with the standards of the Public Company Accounting Oversight Board (United States) (PCAOB), the consolidated balance sheets of the Company as of March 31, 2026 and 2025, the related consolidated statements of income, comprehensive income (loss), shareholders' equity and cash flows for each of the three years in the period ended March 31, 2026, and the related notes and financial statement schedule listed in the Index at Item 15(a) and our report dated May 29, 2026 expressed an unqualified opinion thereon.</w:t>
      </w:r>
    </w:p>
    <w:p>
      <w:pPr>
        <w:sectPr>
          <w:pgSz w:w="11880" w:h="15480" w:orient="portrait"/>
          <w:cols w:equalWidth="0" w:num="1">
            <w:col w:w="9960"/>
          </w:cols>
          <w:pgMar w:left="960" w:top="80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102</w:t>
      </w:r>
    </w:p>
    <w:p>
      <w:pPr>
        <w:sectPr>
          <w:pgSz w:w="11880" w:h="15480" w:orient="portrait"/>
          <w:cols w:equalWidth="0" w:num="1">
            <w:col w:w="9960"/>
          </w:cols>
          <w:pgMar w:left="960" w:top="801" w:right="960" w:bottom="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9"/>
          <w:szCs w:val="19"/>
          <w:b w:val="1"/>
          <w:bCs w:val="1"/>
          <w:color w:val="231F20"/>
        </w:rPr>
        <w:t>Basis for Opinion</w:t>
      </w:r>
    </w:p>
    <w:p>
      <w:pPr>
        <w:spacing w:after="0" w:line="138"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9"/>
          <w:szCs w:val="19"/>
          <w:color w:val="231F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7" w:lineRule="exact"/>
        <w:rPr>
          <w:sz w:val="20"/>
          <w:szCs w:val="20"/>
          <w:color w:val="auto"/>
        </w:rPr>
      </w:pPr>
    </w:p>
    <w:p>
      <w:pPr>
        <w:jc w:val="both"/>
        <w:ind w:firstLine="349"/>
        <w:spacing w:after="0" w:line="274" w:lineRule="auto"/>
        <w:rPr>
          <w:sz w:val="20"/>
          <w:szCs w:val="20"/>
          <w:color w:val="auto"/>
        </w:rPr>
      </w:pPr>
      <w:r>
        <w:rPr>
          <w:rFonts w:ascii="Times New Roman" w:cs="Times New Roman" w:eastAsia="Times New Roman" w:hAnsi="Times New Roman"/>
          <w:sz w:val="19"/>
          <w:szCs w:val="19"/>
          <w:color w:val="231F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7" w:lineRule="exact"/>
        <w:rPr>
          <w:sz w:val="20"/>
          <w:szCs w:val="20"/>
          <w:color w:val="auto"/>
        </w:rPr>
      </w:pPr>
    </w:p>
    <w:p>
      <w:pPr>
        <w:jc w:val="both"/>
        <w:ind w:firstLine="349"/>
        <w:spacing w:after="0" w:line="268" w:lineRule="auto"/>
        <w:rPr>
          <w:sz w:val="20"/>
          <w:szCs w:val="20"/>
          <w:color w:val="auto"/>
        </w:rPr>
      </w:pPr>
      <w:r>
        <w:rPr>
          <w:rFonts w:ascii="Times New Roman" w:cs="Times New Roman" w:eastAsia="Times New Roman" w:hAnsi="Times New Roman"/>
          <w:sz w:val="19"/>
          <w:szCs w:val="19"/>
          <w:color w:val="231F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Definition and Limitations of Internal Control Over Financial Reporting</w:t>
      </w:r>
    </w:p>
    <w:p>
      <w:pPr>
        <w:spacing w:after="0" w:line="138" w:lineRule="exact"/>
        <w:rPr>
          <w:sz w:val="20"/>
          <w:szCs w:val="20"/>
          <w:color w:val="auto"/>
        </w:rPr>
      </w:pPr>
    </w:p>
    <w:p>
      <w:pPr>
        <w:jc w:val="both"/>
        <w:ind w:firstLine="349"/>
        <w:spacing w:after="0" w:line="260" w:lineRule="auto"/>
        <w:rPr>
          <w:sz w:val="20"/>
          <w:szCs w:val="20"/>
          <w:color w:val="auto"/>
        </w:rPr>
      </w:pPr>
      <w:r>
        <w:rPr>
          <w:rFonts w:ascii="Times New Roman" w:cs="Times New Roman" w:eastAsia="Times New Roman" w:hAnsi="Times New Roman"/>
          <w:sz w:val="19"/>
          <w:szCs w:val="19"/>
          <w:color w:val="231F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2" w:lineRule="exact"/>
        <w:rPr>
          <w:sz w:val="20"/>
          <w:szCs w:val="20"/>
          <w:color w:val="auto"/>
        </w:rPr>
      </w:pPr>
    </w:p>
    <w:p>
      <w:pPr>
        <w:jc w:val="both"/>
        <w:ind w:firstLine="349"/>
        <w:spacing w:after="0" w:line="274" w:lineRule="auto"/>
        <w:rPr>
          <w:sz w:val="20"/>
          <w:szCs w:val="20"/>
          <w:color w:val="auto"/>
        </w:rPr>
      </w:pPr>
      <w:r>
        <w:rPr>
          <w:rFonts w:ascii="Times New Roman" w:cs="Times New Roman" w:eastAsia="Times New Roman" w:hAnsi="Times New Roman"/>
          <w:sz w:val="19"/>
          <w:szCs w:val="19"/>
          <w:color w:val="231F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/s/ Ernst &amp; Young LLP</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Cleveland, Ohio</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May 29, 2026</w:t>
      </w:r>
    </w:p>
    <w:p>
      <w:pPr>
        <w:sectPr>
          <w:pgSz w:w="11880" w:h="15480" w:orient="portrait"/>
          <w:cols w:equalWidth="0" w:num="1">
            <w:col w:w="9960"/>
          </w:cols>
          <w:pgMar w:left="960" w:top="81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103</w:t>
      </w:r>
    </w:p>
    <w:p>
      <w:pPr>
        <w:sectPr>
          <w:pgSz w:w="11880" w:h="15480" w:orient="portrait"/>
          <w:cols w:equalWidth="0" w:num="1">
            <w:col w:w="9960"/>
          </w:cols>
          <w:pgMar w:left="960" w:top="818" w:right="960" w:bottom="0" w:gutter="0" w:footer="0" w:header="0"/>
          <w:type w:val="continuous"/>
        </w:sectPr>
      </w:pPr>
    </w:p>
    <w:bookmarkStart w:id="104" w:name="page105"/>
    <w:bookmarkEnd w:id="104"/>
    <w:p>
      <w:pPr>
        <w:spacing w:after="0"/>
        <w:tabs>
          <w:tab w:leader="none" w:pos="1380" w:val="left"/>
        </w:tabs>
        <w:rPr>
          <w:sz w:val="20"/>
          <w:szCs w:val="20"/>
          <w:color w:val="auto"/>
        </w:rPr>
      </w:pPr>
      <w:r>
        <w:rPr>
          <w:rFonts w:ascii="Times New Roman" w:cs="Times New Roman" w:eastAsia="Times New Roman" w:hAnsi="Times New Roman"/>
          <w:sz w:val="27"/>
          <w:szCs w:val="27"/>
          <w:color w:val="231F20"/>
        </w:rPr>
        <w:t>ITEM 9B.</w:t>
        <w:tab/>
        <w:t>OTHER INFORMATION</w:t>
      </w:r>
    </w:p>
    <w:p>
      <w:pPr>
        <w:spacing w:after="0" w:line="155" w:lineRule="exact"/>
        <w:rPr>
          <w:sz w:val="20"/>
          <w:szCs w:val="20"/>
          <w:color w:val="auto"/>
        </w:rPr>
      </w:pPr>
    </w:p>
    <w:p>
      <w:pPr>
        <w:ind w:firstLine="349"/>
        <w:spacing w:after="0" w:line="274" w:lineRule="auto"/>
        <w:rPr>
          <w:sz w:val="20"/>
          <w:szCs w:val="20"/>
          <w:color w:val="auto"/>
        </w:rPr>
      </w:pPr>
      <w:r>
        <w:rPr>
          <w:rFonts w:ascii="Times New Roman" w:cs="Times New Roman" w:eastAsia="Times New Roman" w:hAnsi="Times New Roman"/>
          <w:sz w:val="19"/>
          <w:szCs w:val="19"/>
          <w:color w:val="231F20"/>
        </w:rPr>
        <w:t>During the quarter ended March 31, 2026, none of our directors or officers (as defined in Rule 16a-1(f) of the Exchange Act) adopted, modified or terminated a "Rule 10b5-1 trading arrangement" or a "non-Rule 10b5-1 trading arrangement" as such terms are defined under Item 408 of Regulation S-K.</w:t>
      </w:r>
    </w:p>
    <w:p>
      <w:pPr>
        <w:spacing w:after="0" w:line="43" w:lineRule="exact"/>
        <w:rPr>
          <w:sz w:val="20"/>
          <w:szCs w:val="20"/>
          <w:color w:val="auto"/>
        </w:rPr>
      </w:pPr>
    </w:p>
    <w:p>
      <w:pPr>
        <w:ind w:left="1400" w:right="1100" w:hanging="1396"/>
        <w:spacing w:after="0" w:line="285" w:lineRule="auto"/>
        <w:tabs>
          <w:tab w:leader="none" w:pos="1380" w:val="left"/>
        </w:tabs>
        <w:rPr>
          <w:sz w:val="20"/>
          <w:szCs w:val="20"/>
          <w:color w:val="auto"/>
        </w:rPr>
      </w:pPr>
      <w:r>
        <w:rPr>
          <w:rFonts w:ascii="Times New Roman" w:cs="Times New Roman" w:eastAsia="Times New Roman" w:hAnsi="Times New Roman"/>
          <w:sz w:val="27"/>
          <w:szCs w:val="27"/>
          <w:color w:val="231F20"/>
        </w:rPr>
        <w:t>ITEM 9C.</w:t>
        <w:tab/>
        <w:t>DISCLOSURE REGARDING FOREIGN JURISDICTIONS THAT PREVENT INSPECTIONS</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Not Applicable.</w:t>
      </w:r>
    </w:p>
    <w:p>
      <w:pPr>
        <w:sectPr>
          <w:pgSz w:w="11880" w:h="15480" w:orient="portrait"/>
          <w:cols w:equalWidth="0" w:num="1">
            <w:col w:w="9920"/>
          </w:cols>
          <w:pgMar w:left="960" w:top="80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231F20"/>
        </w:rPr>
        <w:t>104</w:t>
      </w:r>
    </w:p>
    <w:p>
      <w:pPr>
        <w:sectPr>
          <w:pgSz w:w="11880" w:h="15480" w:orient="portrait"/>
          <w:cols w:equalWidth="0" w:num="1">
            <w:col w:w="9920"/>
          </w:cols>
          <w:pgMar w:left="960" w:top="801" w:right="1000" w:bottom="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27"/>
          <w:szCs w:val="27"/>
          <w:color w:val="231F20"/>
        </w:rPr>
        <w:t>PART III</w:t>
      </w:r>
    </w:p>
    <w:p>
      <w:pPr>
        <w:spacing w:after="0" w:line="365" w:lineRule="exact"/>
        <w:rPr>
          <w:sz w:val="20"/>
          <w:szCs w:val="20"/>
          <w:color w:val="auto"/>
        </w:rPr>
      </w:pPr>
    </w:p>
    <w:p>
      <w:pPr>
        <w:ind w:left="1400" w:right="1720" w:hanging="1396"/>
        <w:spacing w:after="0" w:line="285" w:lineRule="auto"/>
        <w:tabs>
          <w:tab w:leader="none" w:pos="1380" w:val="left"/>
        </w:tabs>
        <w:rPr>
          <w:sz w:val="20"/>
          <w:szCs w:val="20"/>
          <w:color w:val="auto"/>
        </w:rPr>
      </w:pPr>
      <w:r>
        <w:rPr>
          <w:rFonts w:ascii="Times New Roman" w:cs="Times New Roman" w:eastAsia="Times New Roman" w:hAnsi="Times New Roman"/>
          <w:sz w:val="27"/>
          <w:szCs w:val="27"/>
          <w:color w:val="231F20"/>
        </w:rPr>
        <w:t>ITEM 10.</w:t>
        <w:tab/>
        <w:t>DIRECTORS, EXECUTIVE OFFICERS AND CORPORATE GOVERNANCE</w:t>
      </w:r>
    </w:p>
    <w:p>
      <w:pPr>
        <w:spacing w:after="0" w:line="54" w:lineRule="exact"/>
        <w:rPr>
          <w:sz w:val="20"/>
          <w:szCs w:val="20"/>
          <w:color w:val="auto"/>
        </w:rPr>
      </w:pPr>
    </w:p>
    <w:p>
      <w:pPr>
        <w:ind w:right="160" w:firstLine="349"/>
        <w:spacing w:after="0" w:line="268" w:lineRule="auto"/>
        <w:rPr>
          <w:sz w:val="20"/>
          <w:szCs w:val="20"/>
          <w:color w:val="auto"/>
        </w:rPr>
      </w:pPr>
      <w:r>
        <w:rPr>
          <w:rFonts w:ascii="Times New Roman" w:cs="Times New Roman" w:eastAsia="Times New Roman" w:hAnsi="Times New Roman"/>
          <w:sz w:val="19"/>
          <w:szCs w:val="19"/>
          <w:color w:val="231F20"/>
        </w:rPr>
        <w:t>This Annual Report on Form 10-K incorporates by reference the information appearing under the caption "Nominees for Election as Directors," "Board Meetings and Committees," "Shareholder Nominations of Directors and Nominee Criteria", "Insider Trading Policy" and "Shareholder Proposals" of our definitive proxy statement to be filed with the SEC in connection with our 2026 Annual Meeting of Shareholders (the "Proxy Statement").</w:t>
      </w:r>
    </w:p>
    <w:p>
      <w:pPr>
        <w:spacing w:after="0" w:line="72"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231F20"/>
        </w:rPr>
        <w:t>Our executive officers serve for a term of one year from the date of election to the next organizational meeting of the Board of Directors and until their respective successors are elected and qualified, except in the case of death, resignation, or removal. Information concerning our executive officers is contained in Item 1 of Part 1 of this Annual Report under the heading "Information about our Executive Officers", and is incorporated herein by reference. We have adopted a code of ethics, our Code of Business Conduct for Employees, that applies to our CEO and CFO and Principal Accounting Officer as well as all of our other employees. We have also adopted a code of ethics, our Director Code of Ethics, which applies to the members of the Company's Board of Directors, including our CEO. Our Code of Business Conduct for Employees and the Director Code of Ethics can be found on our Investor Relations website at www.steris-ir.com. Any amendments or waivers of either of these codes will be made available on this website.</w:t>
      </w:r>
    </w:p>
    <w:p>
      <w:pPr>
        <w:spacing w:after="0" w:line="5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7"/>
          <w:szCs w:val="27"/>
          <w:color w:val="231F20"/>
        </w:rPr>
        <w:t>ITEM 11.</w:t>
        <w:tab/>
        <w:t>EXECUTIVE COMPENSATION</w:t>
      </w:r>
    </w:p>
    <w:p>
      <w:pPr>
        <w:spacing w:after="0" w:line="155" w:lineRule="exact"/>
        <w:rPr>
          <w:sz w:val="20"/>
          <w:szCs w:val="20"/>
          <w:color w:val="auto"/>
        </w:rPr>
      </w:pPr>
    </w:p>
    <w:p>
      <w:pPr>
        <w:ind w:right="40" w:firstLine="349"/>
        <w:spacing w:after="0" w:line="274" w:lineRule="auto"/>
        <w:rPr>
          <w:sz w:val="20"/>
          <w:szCs w:val="20"/>
          <w:color w:val="auto"/>
        </w:rPr>
      </w:pPr>
      <w:r>
        <w:rPr>
          <w:rFonts w:ascii="Times New Roman" w:cs="Times New Roman" w:eastAsia="Times New Roman" w:hAnsi="Times New Roman"/>
          <w:sz w:val="19"/>
          <w:szCs w:val="19"/>
          <w:color w:val="231F20"/>
        </w:rPr>
        <w:t>This Annual Report on Form 10-K incorporates by reference the information appearing beginning under the captions "Executive Compensation," "Non-Employee Director Compensation," "Pay Versus Performance," and "Miscellaneous Matters" of the Proxy Statement.</w:t>
      </w:r>
    </w:p>
    <w:p>
      <w:pPr>
        <w:spacing w:after="0" w:line="43" w:lineRule="exact"/>
        <w:rPr>
          <w:sz w:val="20"/>
          <w:szCs w:val="20"/>
          <w:color w:val="auto"/>
        </w:rPr>
      </w:pPr>
    </w:p>
    <w:p>
      <w:pPr>
        <w:ind w:left="1400" w:right="400" w:hanging="1396"/>
        <w:spacing w:after="0" w:line="285" w:lineRule="auto"/>
        <w:tabs>
          <w:tab w:leader="none" w:pos="1380" w:val="left"/>
        </w:tabs>
        <w:rPr>
          <w:sz w:val="20"/>
          <w:szCs w:val="20"/>
          <w:color w:val="auto"/>
        </w:rPr>
      </w:pPr>
      <w:r>
        <w:rPr>
          <w:rFonts w:ascii="Times New Roman" w:cs="Times New Roman" w:eastAsia="Times New Roman" w:hAnsi="Times New Roman"/>
          <w:sz w:val="27"/>
          <w:szCs w:val="27"/>
          <w:color w:val="231F20"/>
        </w:rPr>
        <w:t>ITEM 12.</w:t>
        <w:tab/>
        <w:t>SECURITY OWNERSHIP OF CERTAIN BENEFICIAL OWNERS AND MANAGEMENT AND RELATED STOCKHOLDER MATTERS</w:t>
      </w:r>
    </w:p>
    <w:p>
      <w:pPr>
        <w:spacing w:after="0" w:line="54" w:lineRule="exact"/>
        <w:rPr>
          <w:sz w:val="20"/>
          <w:szCs w:val="20"/>
          <w:color w:val="auto"/>
        </w:rPr>
      </w:pPr>
    </w:p>
    <w:p>
      <w:pPr>
        <w:ind w:right="160" w:firstLine="349"/>
        <w:spacing w:after="0" w:line="293" w:lineRule="auto"/>
        <w:rPr>
          <w:sz w:val="20"/>
          <w:szCs w:val="20"/>
          <w:color w:val="auto"/>
        </w:rPr>
      </w:pPr>
      <w:r>
        <w:rPr>
          <w:rFonts w:ascii="Times New Roman" w:cs="Times New Roman" w:eastAsia="Times New Roman" w:hAnsi="Times New Roman"/>
          <w:sz w:val="19"/>
          <w:szCs w:val="19"/>
          <w:color w:val="231F20"/>
        </w:rPr>
        <w:t>This Annual Report on Form 10-K incorporates by reference the information appearing under the captions "Ownership of Voting Securities" of the Proxy Statement.</w:t>
      </w:r>
    </w:p>
    <w:p>
      <w:pPr>
        <w:spacing w:after="0" w:line="49" w:lineRule="exact"/>
        <w:rPr>
          <w:sz w:val="20"/>
          <w:szCs w:val="20"/>
          <w:color w:val="auto"/>
        </w:rPr>
      </w:pPr>
    </w:p>
    <w:p>
      <w:pPr>
        <w:ind w:right="620" w:firstLine="349"/>
        <w:spacing w:after="0" w:line="283" w:lineRule="auto"/>
        <w:rPr>
          <w:sz w:val="20"/>
          <w:szCs w:val="20"/>
          <w:color w:val="auto"/>
        </w:rPr>
      </w:pPr>
      <w:r>
        <w:rPr>
          <w:rFonts w:ascii="Times New Roman" w:cs="Times New Roman" w:eastAsia="Times New Roman" w:hAnsi="Times New Roman"/>
          <w:sz w:val="19"/>
          <w:szCs w:val="19"/>
          <w:color w:val="231F20"/>
        </w:rPr>
        <w:t>The table below presents information concerning all equity compensation plans and individual equity compensation arrangements in effect as of our fiscal year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wp:posOffset>
            </wp:positionV>
            <wp:extent cx="610616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4">
                      <a:extLst>
                        <a:ext uri="{28A0092B-C50C-407E-A947-70E740481C1C}"/>
                      </a:extLst>
                    </a:blip>
                    <a:srcRect/>
                    <a:stretch>
                      <a:fillRect/>
                    </a:stretch>
                  </pic:blipFill>
                  <pic:spPr bwMode="auto">
                    <a:xfrm>
                      <a:off x="0" y="0"/>
                      <a:ext cx="6106160" cy="254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87"/>
        </w:trPr>
        <w:tc>
          <w:tcPr>
            <w:tcW w:w="2480" w:type="dxa"/>
            <w:vAlign w:val="bottom"/>
            <w:tcBorders>
              <w:top w:val="single" w:sz="8" w:color="231F20"/>
              <w:left w:val="single" w:sz="8" w:color="231F20"/>
              <w:right w:val="single" w:sz="8" w:color="231F20"/>
            </w:tcBorders>
          </w:tcPr>
          <w:p>
            <w:pPr>
              <w:spacing w:after="0"/>
              <w:rPr>
                <w:sz w:val="16"/>
                <w:szCs w:val="16"/>
                <w:color w:val="auto"/>
              </w:rPr>
            </w:pPr>
          </w:p>
        </w:tc>
        <w:tc>
          <w:tcPr>
            <w:tcW w:w="2320" w:type="dxa"/>
            <w:vAlign w:val="bottom"/>
            <w:tcBorders>
              <w:top w:val="single" w:sz="8" w:color="231F20"/>
              <w:right w:val="single" w:sz="8" w:color="231F20"/>
            </w:tcBorders>
          </w:tcPr>
          <w:p>
            <w:pPr>
              <w:spacing w:after="0"/>
              <w:rPr>
                <w:sz w:val="16"/>
                <w:szCs w:val="16"/>
                <w:color w:val="auto"/>
              </w:rPr>
            </w:pPr>
          </w:p>
        </w:tc>
        <w:tc>
          <w:tcPr>
            <w:tcW w:w="2340" w:type="dxa"/>
            <w:vAlign w:val="bottom"/>
            <w:tcBorders>
              <w:top w:val="single" w:sz="8" w:color="231F20"/>
              <w:right w:val="single" w:sz="8" w:color="231F20"/>
            </w:tcBorders>
            <w:vMerge w:val="restart"/>
          </w:tcPr>
          <w:p>
            <w:pPr>
              <w:jc w:val="center"/>
              <w:ind w:left="63"/>
              <w:spacing w:after="0"/>
              <w:rPr>
                <w:sz w:val="20"/>
                <w:szCs w:val="20"/>
                <w:color w:val="auto"/>
              </w:rPr>
            </w:pPr>
            <w:r>
              <w:rPr>
                <w:rFonts w:ascii="Times New Roman" w:cs="Times New Roman" w:eastAsia="Times New Roman" w:hAnsi="Times New Roman"/>
                <w:sz w:val="19"/>
                <w:szCs w:val="19"/>
                <w:color w:val="231F20"/>
              </w:rPr>
              <w:t>Weighted-average</w:t>
            </w:r>
          </w:p>
        </w:tc>
        <w:tc>
          <w:tcPr>
            <w:tcW w:w="2440" w:type="dxa"/>
            <w:vAlign w:val="bottom"/>
            <w:tcBorders>
              <w:top w:val="single" w:sz="8" w:color="231F20"/>
              <w:right w:val="single" w:sz="8" w:color="231F20"/>
            </w:tcBorders>
          </w:tcPr>
          <w:p>
            <w:pPr>
              <w:jc w:val="center"/>
              <w:ind w:left="83"/>
              <w:spacing w:after="0" w:line="187" w:lineRule="exact"/>
              <w:rPr>
                <w:sz w:val="20"/>
                <w:szCs w:val="20"/>
                <w:color w:val="auto"/>
              </w:rPr>
            </w:pPr>
            <w:r>
              <w:rPr>
                <w:rFonts w:ascii="Times New Roman" w:cs="Times New Roman" w:eastAsia="Times New Roman" w:hAnsi="Times New Roman"/>
                <w:sz w:val="19"/>
                <w:szCs w:val="19"/>
                <w:color w:val="231F20"/>
              </w:rPr>
              <w:t>Number of securities</w:t>
            </w:r>
          </w:p>
        </w:tc>
        <w:tc>
          <w:tcPr>
            <w:tcW w:w="0" w:type="dxa"/>
            <w:vAlign w:val="bottom"/>
          </w:tcPr>
          <w:p>
            <w:pPr>
              <w:spacing w:after="0"/>
              <w:rPr>
                <w:sz w:val="1"/>
                <w:szCs w:val="1"/>
                <w:color w:val="auto"/>
              </w:rPr>
            </w:pPr>
          </w:p>
        </w:tc>
      </w:tr>
      <w:tr>
        <w:trPr>
          <w:trHeight w:val="194"/>
        </w:trPr>
        <w:tc>
          <w:tcPr>
            <w:tcW w:w="2480" w:type="dxa"/>
            <w:vAlign w:val="bottom"/>
            <w:tcBorders>
              <w:left w:val="single" w:sz="8" w:color="231F20"/>
              <w:right w:val="single" w:sz="8" w:color="231F20"/>
            </w:tcBorders>
          </w:tcPr>
          <w:p>
            <w:pPr>
              <w:spacing w:after="0"/>
              <w:rPr>
                <w:sz w:val="16"/>
                <w:szCs w:val="16"/>
                <w:color w:val="auto"/>
              </w:rPr>
            </w:pPr>
          </w:p>
        </w:tc>
        <w:tc>
          <w:tcPr>
            <w:tcW w:w="2320" w:type="dxa"/>
            <w:vAlign w:val="bottom"/>
            <w:tcBorders>
              <w:right w:val="single" w:sz="8" w:color="231F20"/>
            </w:tcBorders>
            <w:vMerge w:val="restart"/>
          </w:tcPr>
          <w:p>
            <w:pPr>
              <w:jc w:val="center"/>
              <w:ind w:left="63"/>
              <w:spacing w:after="0"/>
              <w:rPr>
                <w:sz w:val="20"/>
                <w:szCs w:val="20"/>
                <w:color w:val="auto"/>
              </w:rPr>
            </w:pPr>
            <w:r>
              <w:rPr>
                <w:rFonts w:ascii="Times New Roman" w:cs="Times New Roman" w:eastAsia="Times New Roman" w:hAnsi="Times New Roman"/>
                <w:sz w:val="19"/>
                <w:szCs w:val="19"/>
                <w:color w:val="231F20"/>
              </w:rPr>
              <w:t>Number of securities to</w:t>
            </w:r>
          </w:p>
        </w:tc>
        <w:tc>
          <w:tcPr>
            <w:tcW w:w="2340" w:type="dxa"/>
            <w:vAlign w:val="bottom"/>
            <w:tcBorders>
              <w:right w:val="single" w:sz="8" w:color="231F20"/>
            </w:tcBorders>
            <w:vMerge w:val="continue"/>
          </w:tcPr>
          <w:p>
            <w:pPr>
              <w:spacing w:after="0"/>
              <w:rPr>
                <w:sz w:val="16"/>
                <w:szCs w:val="16"/>
                <w:color w:val="auto"/>
              </w:rPr>
            </w:pPr>
          </w:p>
        </w:tc>
        <w:tc>
          <w:tcPr>
            <w:tcW w:w="2440" w:type="dxa"/>
            <w:vAlign w:val="bottom"/>
            <w:tcBorders>
              <w:right w:val="single" w:sz="8" w:color="231F20"/>
            </w:tcBorders>
          </w:tcPr>
          <w:p>
            <w:pPr>
              <w:jc w:val="center"/>
              <w:ind w:left="83"/>
              <w:spacing w:after="0" w:line="194" w:lineRule="exact"/>
              <w:rPr>
                <w:sz w:val="20"/>
                <w:szCs w:val="20"/>
                <w:color w:val="auto"/>
              </w:rPr>
            </w:pPr>
            <w:r>
              <w:rPr>
                <w:rFonts w:ascii="Times New Roman" w:cs="Times New Roman" w:eastAsia="Times New Roman" w:hAnsi="Times New Roman"/>
                <w:sz w:val="19"/>
                <w:szCs w:val="19"/>
                <w:color w:val="231F20"/>
              </w:rPr>
              <w:t>remaining available for</w:t>
            </w:r>
          </w:p>
        </w:tc>
        <w:tc>
          <w:tcPr>
            <w:tcW w:w="0" w:type="dxa"/>
            <w:vAlign w:val="bottom"/>
          </w:tcPr>
          <w:p>
            <w:pPr>
              <w:spacing w:after="0"/>
              <w:rPr>
                <w:sz w:val="1"/>
                <w:szCs w:val="1"/>
                <w:color w:val="auto"/>
              </w:rPr>
            </w:pPr>
          </w:p>
        </w:tc>
      </w:tr>
      <w:tr>
        <w:trPr>
          <w:trHeight w:val="194"/>
        </w:trPr>
        <w:tc>
          <w:tcPr>
            <w:tcW w:w="2480" w:type="dxa"/>
            <w:vAlign w:val="bottom"/>
            <w:tcBorders>
              <w:left w:val="single" w:sz="8" w:color="231F20"/>
              <w:right w:val="single" w:sz="8" w:color="231F20"/>
            </w:tcBorders>
          </w:tcPr>
          <w:p>
            <w:pPr>
              <w:spacing w:after="0"/>
              <w:rPr>
                <w:sz w:val="16"/>
                <w:szCs w:val="16"/>
                <w:color w:val="auto"/>
              </w:rPr>
            </w:pPr>
          </w:p>
        </w:tc>
        <w:tc>
          <w:tcPr>
            <w:tcW w:w="2320" w:type="dxa"/>
            <w:vAlign w:val="bottom"/>
            <w:tcBorders>
              <w:right w:val="single" w:sz="8" w:color="231F20"/>
            </w:tcBorders>
            <w:vMerge w:val="continue"/>
          </w:tcPr>
          <w:p>
            <w:pPr>
              <w:spacing w:after="0"/>
              <w:rPr>
                <w:sz w:val="16"/>
                <w:szCs w:val="16"/>
                <w:color w:val="auto"/>
              </w:rPr>
            </w:pPr>
          </w:p>
        </w:tc>
        <w:tc>
          <w:tcPr>
            <w:tcW w:w="2340" w:type="dxa"/>
            <w:vAlign w:val="bottom"/>
            <w:tcBorders>
              <w:right w:val="single" w:sz="8" w:color="231F20"/>
            </w:tcBorders>
          </w:tcPr>
          <w:p>
            <w:pPr>
              <w:jc w:val="center"/>
              <w:ind w:left="83"/>
              <w:spacing w:after="0" w:line="194" w:lineRule="exact"/>
              <w:rPr>
                <w:sz w:val="20"/>
                <w:szCs w:val="20"/>
                <w:color w:val="auto"/>
              </w:rPr>
            </w:pPr>
            <w:r>
              <w:rPr>
                <w:rFonts w:ascii="Times New Roman" w:cs="Times New Roman" w:eastAsia="Times New Roman" w:hAnsi="Times New Roman"/>
                <w:sz w:val="19"/>
                <w:szCs w:val="19"/>
                <w:color w:val="231F20"/>
              </w:rPr>
              <w:t>exercise price of</w:t>
            </w:r>
          </w:p>
        </w:tc>
        <w:tc>
          <w:tcPr>
            <w:tcW w:w="2440" w:type="dxa"/>
            <w:vAlign w:val="bottom"/>
            <w:tcBorders>
              <w:right w:val="single" w:sz="8" w:color="231F20"/>
            </w:tcBorders>
          </w:tcPr>
          <w:p>
            <w:pPr>
              <w:jc w:val="center"/>
              <w:ind w:left="83"/>
              <w:spacing w:after="0" w:line="194" w:lineRule="exact"/>
              <w:rPr>
                <w:sz w:val="20"/>
                <w:szCs w:val="20"/>
                <w:color w:val="auto"/>
              </w:rPr>
            </w:pPr>
            <w:r>
              <w:rPr>
                <w:rFonts w:ascii="Times New Roman" w:cs="Times New Roman" w:eastAsia="Times New Roman" w:hAnsi="Times New Roman"/>
                <w:sz w:val="19"/>
                <w:szCs w:val="19"/>
                <w:color w:val="231F20"/>
              </w:rPr>
              <w:t>future issuance under</w:t>
            </w:r>
          </w:p>
        </w:tc>
        <w:tc>
          <w:tcPr>
            <w:tcW w:w="0" w:type="dxa"/>
            <w:vAlign w:val="bottom"/>
          </w:tcPr>
          <w:p>
            <w:pPr>
              <w:spacing w:after="0"/>
              <w:rPr>
                <w:sz w:val="1"/>
                <w:szCs w:val="1"/>
                <w:color w:val="auto"/>
              </w:rPr>
            </w:pPr>
          </w:p>
        </w:tc>
      </w:tr>
      <w:tr>
        <w:trPr>
          <w:trHeight w:val="194"/>
        </w:trPr>
        <w:tc>
          <w:tcPr>
            <w:tcW w:w="2480" w:type="dxa"/>
            <w:vAlign w:val="bottom"/>
            <w:tcBorders>
              <w:left w:val="single" w:sz="8" w:color="231F20"/>
              <w:right w:val="single" w:sz="8" w:color="231F20"/>
            </w:tcBorders>
          </w:tcPr>
          <w:p>
            <w:pPr>
              <w:spacing w:after="0"/>
              <w:rPr>
                <w:sz w:val="16"/>
                <w:szCs w:val="16"/>
                <w:color w:val="auto"/>
              </w:rPr>
            </w:pPr>
          </w:p>
        </w:tc>
        <w:tc>
          <w:tcPr>
            <w:tcW w:w="2320" w:type="dxa"/>
            <w:vAlign w:val="bottom"/>
            <w:tcBorders>
              <w:right w:val="single" w:sz="8" w:color="231F20"/>
            </w:tcBorders>
          </w:tcPr>
          <w:p>
            <w:pPr>
              <w:jc w:val="center"/>
              <w:ind w:left="63"/>
              <w:spacing w:after="0" w:line="194" w:lineRule="exact"/>
              <w:rPr>
                <w:sz w:val="20"/>
                <w:szCs w:val="20"/>
                <w:color w:val="auto"/>
              </w:rPr>
            </w:pPr>
            <w:r>
              <w:rPr>
                <w:rFonts w:ascii="Times New Roman" w:cs="Times New Roman" w:eastAsia="Times New Roman" w:hAnsi="Times New Roman"/>
                <w:sz w:val="19"/>
                <w:szCs w:val="19"/>
                <w:color w:val="231F20"/>
              </w:rPr>
              <w:t>be issued upon exercise</w:t>
            </w:r>
          </w:p>
        </w:tc>
        <w:tc>
          <w:tcPr>
            <w:tcW w:w="2340" w:type="dxa"/>
            <w:vAlign w:val="bottom"/>
            <w:tcBorders>
              <w:right w:val="single" w:sz="8" w:color="231F20"/>
            </w:tcBorders>
          </w:tcPr>
          <w:p>
            <w:pPr>
              <w:jc w:val="center"/>
              <w:ind w:left="83"/>
              <w:spacing w:after="0" w:line="194" w:lineRule="exact"/>
              <w:rPr>
                <w:sz w:val="20"/>
                <w:szCs w:val="20"/>
                <w:color w:val="auto"/>
              </w:rPr>
            </w:pPr>
            <w:r>
              <w:rPr>
                <w:rFonts w:ascii="Times New Roman" w:cs="Times New Roman" w:eastAsia="Times New Roman" w:hAnsi="Times New Roman"/>
                <w:sz w:val="19"/>
                <w:szCs w:val="19"/>
                <w:color w:val="231F20"/>
              </w:rPr>
              <w:t>outstanding options,</w:t>
            </w:r>
          </w:p>
        </w:tc>
        <w:tc>
          <w:tcPr>
            <w:tcW w:w="2440" w:type="dxa"/>
            <w:vAlign w:val="bottom"/>
            <w:tcBorders>
              <w:right w:val="single" w:sz="8" w:color="231F20"/>
            </w:tcBorders>
          </w:tcPr>
          <w:p>
            <w:pPr>
              <w:jc w:val="center"/>
              <w:ind w:left="83"/>
              <w:spacing w:after="0" w:line="194" w:lineRule="exact"/>
              <w:rPr>
                <w:sz w:val="20"/>
                <w:szCs w:val="20"/>
                <w:color w:val="auto"/>
              </w:rPr>
            </w:pPr>
            <w:r>
              <w:rPr>
                <w:rFonts w:ascii="Times New Roman" w:cs="Times New Roman" w:eastAsia="Times New Roman" w:hAnsi="Times New Roman"/>
                <w:sz w:val="19"/>
                <w:szCs w:val="19"/>
                <w:color w:val="231F20"/>
              </w:rPr>
              <w:t>equity compensation plans</w:t>
            </w:r>
          </w:p>
        </w:tc>
        <w:tc>
          <w:tcPr>
            <w:tcW w:w="0" w:type="dxa"/>
            <w:vAlign w:val="bottom"/>
          </w:tcPr>
          <w:p>
            <w:pPr>
              <w:spacing w:after="0"/>
              <w:rPr>
                <w:sz w:val="1"/>
                <w:szCs w:val="1"/>
                <w:color w:val="auto"/>
              </w:rPr>
            </w:pPr>
          </w:p>
        </w:tc>
      </w:tr>
      <w:tr>
        <w:trPr>
          <w:trHeight w:val="194"/>
        </w:trPr>
        <w:tc>
          <w:tcPr>
            <w:tcW w:w="2480" w:type="dxa"/>
            <w:vAlign w:val="bottom"/>
            <w:tcBorders>
              <w:left w:val="single" w:sz="8" w:color="231F20"/>
              <w:right w:val="single" w:sz="8" w:color="231F20"/>
            </w:tcBorders>
            <w:vMerge w:val="restart"/>
          </w:tcPr>
          <w:p>
            <w:pPr>
              <w:ind w:left="60"/>
              <w:spacing w:after="0"/>
              <w:rPr>
                <w:sz w:val="20"/>
                <w:szCs w:val="20"/>
                <w:color w:val="auto"/>
              </w:rPr>
            </w:pPr>
            <w:r>
              <w:rPr>
                <w:rFonts w:ascii="Times New Roman" w:cs="Times New Roman" w:eastAsia="Times New Roman" w:hAnsi="Times New Roman"/>
                <w:sz w:val="19"/>
                <w:szCs w:val="19"/>
                <w:color w:val="231F20"/>
              </w:rPr>
              <w:t>Plan Category</w:t>
            </w:r>
          </w:p>
        </w:tc>
        <w:tc>
          <w:tcPr>
            <w:tcW w:w="2320" w:type="dxa"/>
            <w:vAlign w:val="bottom"/>
            <w:tcBorders>
              <w:right w:val="single" w:sz="8" w:color="231F20"/>
            </w:tcBorders>
          </w:tcPr>
          <w:p>
            <w:pPr>
              <w:jc w:val="center"/>
              <w:ind w:left="63"/>
              <w:spacing w:after="0" w:line="194" w:lineRule="exact"/>
              <w:rPr>
                <w:sz w:val="20"/>
                <w:szCs w:val="20"/>
                <w:color w:val="auto"/>
              </w:rPr>
            </w:pPr>
            <w:r>
              <w:rPr>
                <w:rFonts w:ascii="Times New Roman" w:cs="Times New Roman" w:eastAsia="Times New Roman" w:hAnsi="Times New Roman"/>
                <w:sz w:val="19"/>
                <w:szCs w:val="19"/>
                <w:color w:val="231F20"/>
              </w:rPr>
              <w:t>of outstanding options,</w:t>
            </w:r>
          </w:p>
        </w:tc>
        <w:tc>
          <w:tcPr>
            <w:tcW w:w="2340" w:type="dxa"/>
            <w:vAlign w:val="bottom"/>
            <w:tcBorders>
              <w:right w:val="single" w:sz="8" w:color="231F20"/>
            </w:tcBorders>
          </w:tcPr>
          <w:p>
            <w:pPr>
              <w:jc w:val="center"/>
              <w:ind w:left="83"/>
              <w:spacing w:after="0" w:line="194" w:lineRule="exact"/>
              <w:rPr>
                <w:sz w:val="20"/>
                <w:szCs w:val="20"/>
                <w:color w:val="auto"/>
              </w:rPr>
            </w:pPr>
            <w:r>
              <w:rPr>
                <w:rFonts w:ascii="Times New Roman" w:cs="Times New Roman" w:eastAsia="Times New Roman" w:hAnsi="Times New Roman"/>
                <w:sz w:val="19"/>
                <w:szCs w:val="19"/>
                <w:color w:val="231F20"/>
              </w:rPr>
              <w:t>warrants and rights</w:t>
            </w:r>
          </w:p>
        </w:tc>
        <w:tc>
          <w:tcPr>
            <w:tcW w:w="2440" w:type="dxa"/>
            <w:vAlign w:val="bottom"/>
            <w:tcBorders>
              <w:right w:val="single" w:sz="8" w:color="231F20"/>
            </w:tcBorders>
          </w:tcPr>
          <w:p>
            <w:pPr>
              <w:jc w:val="center"/>
              <w:ind w:left="83"/>
              <w:spacing w:after="0" w:line="194" w:lineRule="exact"/>
              <w:rPr>
                <w:sz w:val="20"/>
                <w:szCs w:val="20"/>
                <w:color w:val="auto"/>
              </w:rPr>
            </w:pPr>
            <w:r>
              <w:rPr>
                <w:rFonts w:ascii="Times New Roman" w:cs="Times New Roman" w:eastAsia="Times New Roman" w:hAnsi="Times New Roman"/>
                <w:sz w:val="19"/>
                <w:szCs w:val="19"/>
                <w:color w:val="231F20"/>
              </w:rPr>
              <w:t>(excluding securities</w:t>
            </w:r>
          </w:p>
        </w:tc>
        <w:tc>
          <w:tcPr>
            <w:tcW w:w="0" w:type="dxa"/>
            <w:vAlign w:val="bottom"/>
          </w:tcPr>
          <w:p>
            <w:pPr>
              <w:spacing w:after="0"/>
              <w:rPr>
                <w:sz w:val="1"/>
                <w:szCs w:val="1"/>
                <w:color w:val="auto"/>
              </w:rPr>
            </w:pPr>
          </w:p>
        </w:tc>
      </w:tr>
      <w:tr>
        <w:trPr>
          <w:trHeight w:val="255"/>
        </w:trPr>
        <w:tc>
          <w:tcPr>
            <w:tcW w:w="2480" w:type="dxa"/>
            <w:vAlign w:val="bottom"/>
            <w:tcBorders>
              <w:left w:val="single" w:sz="8" w:color="231F20"/>
              <w:bottom w:val="single" w:sz="8" w:color="231F20"/>
              <w:right w:val="single" w:sz="8" w:color="231F20"/>
            </w:tcBorders>
            <w:vMerge w:val="continue"/>
          </w:tcPr>
          <w:p>
            <w:pPr>
              <w:spacing w:after="0"/>
              <w:rPr>
                <w:sz w:val="22"/>
                <w:szCs w:val="22"/>
                <w:color w:val="auto"/>
              </w:rPr>
            </w:pPr>
          </w:p>
        </w:tc>
        <w:tc>
          <w:tcPr>
            <w:tcW w:w="2320" w:type="dxa"/>
            <w:vAlign w:val="bottom"/>
            <w:tcBorders>
              <w:bottom w:val="single" w:sz="8" w:color="231F20"/>
              <w:right w:val="single" w:sz="8" w:color="231F20"/>
            </w:tcBorders>
          </w:tcPr>
          <w:p>
            <w:pPr>
              <w:jc w:val="center"/>
              <w:ind w:left="63"/>
              <w:spacing w:after="0"/>
              <w:rPr>
                <w:sz w:val="20"/>
                <w:szCs w:val="20"/>
                <w:color w:val="auto"/>
              </w:rPr>
            </w:pPr>
            <w:r>
              <w:rPr>
                <w:rFonts w:ascii="Times New Roman" w:cs="Times New Roman" w:eastAsia="Times New Roman" w:hAnsi="Times New Roman"/>
                <w:sz w:val="19"/>
                <w:szCs w:val="19"/>
                <w:color w:val="231F20"/>
              </w:rPr>
              <w:t>warrants and rights</w:t>
            </w:r>
          </w:p>
        </w:tc>
        <w:tc>
          <w:tcPr>
            <w:tcW w:w="2340" w:type="dxa"/>
            <w:vAlign w:val="bottom"/>
            <w:tcBorders>
              <w:bottom w:val="single" w:sz="8" w:color="231F20"/>
              <w:right w:val="single" w:sz="8" w:color="231F20"/>
            </w:tcBorders>
          </w:tcPr>
          <w:p>
            <w:pPr>
              <w:jc w:val="center"/>
              <w:ind w:left="83"/>
              <w:spacing w:after="0"/>
              <w:rPr>
                <w:sz w:val="20"/>
                <w:szCs w:val="20"/>
                <w:color w:val="auto"/>
              </w:rPr>
            </w:pPr>
            <w:r>
              <w:rPr>
                <w:rFonts w:ascii="Times New Roman" w:cs="Times New Roman" w:eastAsia="Times New Roman" w:hAnsi="Times New Roman"/>
                <w:sz w:val="19"/>
                <w:szCs w:val="19"/>
                <w:color w:val="231F20"/>
              </w:rPr>
              <w:t>($)</w:t>
            </w:r>
          </w:p>
        </w:tc>
        <w:tc>
          <w:tcPr>
            <w:tcW w:w="2440" w:type="dxa"/>
            <w:vAlign w:val="bottom"/>
            <w:tcBorders>
              <w:bottom w:val="single" w:sz="8" w:color="231F20"/>
              <w:right w:val="single" w:sz="8" w:color="231F20"/>
            </w:tcBorders>
          </w:tcPr>
          <w:p>
            <w:pPr>
              <w:jc w:val="center"/>
              <w:ind w:left="83"/>
              <w:spacing w:after="0"/>
              <w:rPr>
                <w:sz w:val="20"/>
                <w:szCs w:val="20"/>
                <w:color w:val="auto"/>
              </w:rPr>
            </w:pPr>
            <w:r>
              <w:rPr>
                <w:rFonts w:ascii="Times New Roman" w:cs="Times New Roman" w:eastAsia="Times New Roman" w:hAnsi="Times New Roman"/>
                <w:sz w:val="19"/>
                <w:szCs w:val="19"/>
                <w:color w:val="231F20"/>
              </w:rPr>
              <w:t>reflected in column (a))</w:t>
            </w:r>
          </w:p>
        </w:tc>
        <w:tc>
          <w:tcPr>
            <w:tcW w:w="0" w:type="dxa"/>
            <w:vAlign w:val="bottom"/>
          </w:tcPr>
          <w:p>
            <w:pPr>
              <w:spacing w:after="0"/>
              <w:rPr>
                <w:sz w:val="1"/>
                <w:szCs w:val="1"/>
                <w:color w:val="auto"/>
              </w:rPr>
            </w:pPr>
          </w:p>
        </w:tc>
      </w:tr>
      <w:tr>
        <w:trPr>
          <w:trHeight w:val="254"/>
        </w:trPr>
        <w:tc>
          <w:tcPr>
            <w:tcW w:w="2480" w:type="dxa"/>
            <w:vAlign w:val="bottom"/>
            <w:tcBorders>
              <w:left w:val="single" w:sz="8" w:color="231F20"/>
              <w:right w:val="single" w:sz="8" w:color="231F20"/>
            </w:tcBorders>
          </w:tcPr>
          <w:p>
            <w:pPr>
              <w:spacing w:after="0"/>
              <w:rPr>
                <w:sz w:val="22"/>
                <w:szCs w:val="22"/>
                <w:color w:val="auto"/>
              </w:rPr>
            </w:pPr>
          </w:p>
        </w:tc>
        <w:tc>
          <w:tcPr>
            <w:tcW w:w="2320" w:type="dxa"/>
            <w:vAlign w:val="bottom"/>
            <w:tcBorders>
              <w:right w:val="single" w:sz="8" w:color="231F20"/>
            </w:tcBorders>
          </w:tcPr>
          <w:p>
            <w:pPr>
              <w:jc w:val="center"/>
              <w:ind w:left="63"/>
              <w:spacing w:after="0"/>
              <w:rPr>
                <w:sz w:val="20"/>
                <w:szCs w:val="20"/>
                <w:color w:val="auto"/>
              </w:rPr>
            </w:pPr>
            <w:r>
              <w:rPr>
                <w:rFonts w:ascii="Times New Roman" w:cs="Times New Roman" w:eastAsia="Times New Roman" w:hAnsi="Times New Roman"/>
                <w:sz w:val="19"/>
                <w:szCs w:val="19"/>
                <w:color w:val="231F20"/>
                <w:w w:val="94"/>
              </w:rPr>
              <w:t>(a)</w:t>
            </w:r>
          </w:p>
        </w:tc>
        <w:tc>
          <w:tcPr>
            <w:tcW w:w="2340" w:type="dxa"/>
            <w:vAlign w:val="bottom"/>
            <w:tcBorders>
              <w:right w:val="single" w:sz="8" w:color="231F20"/>
            </w:tcBorders>
          </w:tcPr>
          <w:p>
            <w:pPr>
              <w:jc w:val="center"/>
              <w:ind w:left="83"/>
              <w:spacing w:after="0"/>
              <w:rPr>
                <w:sz w:val="20"/>
                <w:szCs w:val="20"/>
                <w:color w:val="auto"/>
              </w:rPr>
            </w:pPr>
            <w:r>
              <w:rPr>
                <w:rFonts w:ascii="Times New Roman" w:cs="Times New Roman" w:eastAsia="Times New Roman" w:hAnsi="Times New Roman"/>
                <w:sz w:val="19"/>
                <w:szCs w:val="19"/>
                <w:color w:val="231F20"/>
              </w:rPr>
              <w:t>(b)</w:t>
            </w:r>
          </w:p>
        </w:tc>
        <w:tc>
          <w:tcPr>
            <w:tcW w:w="2440" w:type="dxa"/>
            <w:vAlign w:val="bottom"/>
            <w:tcBorders>
              <w:right w:val="single" w:sz="8" w:color="231F20"/>
            </w:tcBorders>
          </w:tcPr>
          <w:p>
            <w:pPr>
              <w:jc w:val="center"/>
              <w:ind w:left="83"/>
              <w:spacing w:after="0"/>
              <w:rPr>
                <w:sz w:val="20"/>
                <w:szCs w:val="20"/>
                <w:color w:val="auto"/>
              </w:rPr>
            </w:pPr>
            <w:r>
              <w:rPr>
                <w:rFonts w:ascii="Times New Roman" w:cs="Times New Roman" w:eastAsia="Times New Roman" w:hAnsi="Times New Roman"/>
                <w:sz w:val="19"/>
                <w:szCs w:val="19"/>
                <w:color w:val="231F20"/>
              </w:rPr>
              <w:t>(c)</w:t>
            </w:r>
          </w:p>
        </w:tc>
        <w:tc>
          <w:tcPr>
            <w:tcW w:w="0" w:type="dxa"/>
            <w:vAlign w:val="bottom"/>
          </w:tcPr>
          <w:p>
            <w:pPr>
              <w:spacing w:after="0"/>
              <w:rPr>
                <w:sz w:val="1"/>
                <w:szCs w:val="1"/>
                <w:color w:val="auto"/>
              </w:rPr>
            </w:pPr>
          </w:p>
        </w:tc>
      </w:tr>
      <w:tr>
        <w:trPr>
          <w:trHeight w:val="214"/>
        </w:trPr>
        <w:tc>
          <w:tcPr>
            <w:tcW w:w="2480" w:type="dxa"/>
            <w:vAlign w:val="bottom"/>
            <w:tcBorders>
              <w:left w:val="single" w:sz="8" w:color="231F20"/>
              <w:right w:val="single" w:sz="8" w:color="231F20"/>
            </w:tcBorders>
          </w:tcPr>
          <w:p>
            <w:pPr>
              <w:ind w:left="60"/>
              <w:spacing w:after="0" w:line="214" w:lineRule="exact"/>
              <w:rPr>
                <w:sz w:val="20"/>
                <w:szCs w:val="20"/>
                <w:color w:val="auto"/>
              </w:rPr>
            </w:pPr>
            <w:r>
              <w:rPr>
                <w:rFonts w:ascii="Times New Roman" w:cs="Times New Roman" w:eastAsia="Times New Roman" w:hAnsi="Times New Roman"/>
                <w:sz w:val="19"/>
                <w:szCs w:val="19"/>
                <w:color w:val="231F20"/>
              </w:rPr>
              <w:t>Equity compensation plans</w:t>
            </w:r>
          </w:p>
        </w:tc>
        <w:tc>
          <w:tcPr>
            <w:tcW w:w="2320" w:type="dxa"/>
            <w:vAlign w:val="bottom"/>
            <w:tcBorders>
              <w:right w:val="single" w:sz="8" w:color="231F20"/>
            </w:tcBorders>
            <w:vMerge w:val="restart"/>
          </w:tcPr>
          <w:p>
            <w:pPr>
              <w:jc w:val="center"/>
              <w:ind w:left="103"/>
              <w:spacing w:after="0"/>
              <w:rPr>
                <w:sz w:val="20"/>
                <w:szCs w:val="20"/>
                <w:color w:val="auto"/>
              </w:rPr>
            </w:pPr>
            <w:r>
              <w:rPr>
                <w:rFonts w:ascii="Times New Roman" w:cs="Times New Roman" w:eastAsia="Times New Roman" w:hAnsi="Times New Roman"/>
                <w:sz w:val="19"/>
                <w:szCs w:val="19"/>
                <w:color w:val="231F20"/>
                <w:w w:val="99"/>
              </w:rPr>
              <w:t>1,716,867</w:t>
            </w:r>
          </w:p>
        </w:tc>
        <w:tc>
          <w:tcPr>
            <w:tcW w:w="2340" w:type="dxa"/>
            <w:vAlign w:val="bottom"/>
            <w:tcBorders>
              <w:right w:val="single" w:sz="8" w:color="231F20"/>
            </w:tcBorders>
            <w:vMerge w:val="restart"/>
          </w:tcPr>
          <w:p>
            <w:pPr>
              <w:jc w:val="center"/>
              <w:ind w:left="123"/>
              <w:spacing w:after="0"/>
              <w:rPr>
                <w:sz w:val="20"/>
                <w:szCs w:val="20"/>
                <w:color w:val="auto"/>
              </w:rPr>
            </w:pPr>
            <w:r>
              <w:rPr>
                <w:rFonts w:ascii="Times New Roman" w:cs="Times New Roman" w:eastAsia="Times New Roman" w:hAnsi="Times New Roman"/>
                <w:sz w:val="19"/>
                <w:szCs w:val="19"/>
                <w:color w:val="231F20"/>
              </w:rPr>
              <w:t>$204.51</w:t>
            </w:r>
          </w:p>
        </w:tc>
        <w:tc>
          <w:tcPr>
            <w:tcW w:w="2440" w:type="dxa"/>
            <w:vAlign w:val="bottom"/>
            <w:tcBorders>
              <w:right w:val="single" w:sz="8" w:color="231F20"/>
            </w:tcBorders>
            <w:vMerge w:val="restart"/>
          </w:tcPr>
          <w:p>
            <w:pPr>
              <w:jc w:val="center"/>
              <w:ind w:left="123"/>
              <w:spacing w:after="0"/>
              <w:rPr>
                <w:sz w:val="20"/>
                <w:szCs w:val="20"/>
                <w:color w:val="auto"/>
              </w:rPr>
            </w:pPr>
            <w:r>
              <w:rPr>
                <w:rFonts w:ascii="Times New Roman" w:cs="Times New Roman" w:eastAsia="Times New Roman" w:hAnsi="Times New Roman"/>
                <w:sz w:val="19"/>
                <w:szCs w:val="19"/>
                <w:color w:val="231F20"/>
              </w:rPr>
              <w:t>1,689,465</w:t>
            </w:r>
          </w:p>
        </w:tc>
        <w:tc>
          <w:tcPr>
            <w:tcW w:w="0" w:type="dxa"/>
            <w:vAlign w:val="bottom"/>
          </w:tcPr>
          <w:p>
            <w:pPr>
              <w:spacing w:after="0"/>
              <w:rPr>
                <w:sz w:val="1"/>
                <w:szCs w:val="1"/>
                <w:color w:val="auto"/>
              </w:rPr>
            </w:pPr>
          </w:p>
        </w:tc>
      </w:tr>
      <w:tr>
        <w:trPr>
          <w:trHeight w:val="253"/>
        </w:trPr>
        <w:tc>
          <w:tcPr>
            <w:tcW w:w="2480" w:type="dxa"/>
            <w:vAlign w:val="bottom"/>
            <w:tcBorders>
              <w:left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9"/>
                <w:szCs w:val="19"/>
                <w:color w:val="231F20"/>
              </w:rPr>
              <w:t>approved by security holders</w:t>
            </w:r>
          </w:p>
        </w:tc>
        <w:tc>
          <w:tcPr>
            <w:tcW w:w="2320" w:type="dxa"/>
            <w:vAlign w:val="bottom"/>
            <w:tcBorders>
              <w:right w:val="single" w:sz="8" w:color="231F20"/>
            </w:tcBorders>
            <w:vMerge w:val="continue"/>
          </w:tcPr>
          <w:p>
            <w:pPr>
              <w:spacing w:after="0"/>
              <w:rPr>
                <w:sz w:val="21"/>
                <w:szCs w:val="21"/>
                <w:color w:val="auto"/>
              </w:rPr>
            </w:pPr>
          </w:p>
        </w:tc>
        <w:tc>
          <w:tcPr>
            <w:tcW w:w="2340" w:type="dxa"/>
            <w:vAlign w:val="bottom"/>
            <w:tcBorders>
              <w:right w:val="single" w:sz="8" w:color="231F20"/>
            </w:tcBorders>
            <w:vMerge w:val="continue"/>
          </w:tcPr>
          <w:p>
            <w:pPr>
              <w:spacing w:after="0"/>
              <w:rPr>
                <w:sz w:val="21"/>
                <w:szCs w:val="21"/>
                <w:color w:val="auto"/>
              </w:rPr>
            </w:pPr>
          </w:p>
        </w:tc>
        <w:tc>
          <w:tcPr>
            <w:tcW w:w="2440" w:type="dxa"/>
            <w:vAlign w:val="bottom"/>
            <w:tcBorders>
              <w:right w:val="single" w:sz="8" w:color="231F20"/>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480" w:type="dxa"/>
            <w:vAlign w:val="bottom"/>
            <w:tcBorders>
              <w:left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9"/>
                <w:szCs w:val="19"/>
                <w:color w:val="231F20"/>
              </w:rPr>
              <w:t>Equity compensation plans</w:t>
            </w:r>
          </w:p>
        </w:tc>
        <w:tc>
          <w:tcPr>
            <w:tcW w:w="2320" w:type="dxa"/>
            <w:vAlign w:val="bottom"/>
            <w:tcBorders>
              <w:right w:val="single" w:sz="8" w:color="231F20"/>
            </w:tcBorders>
          </w:tcPr>
          <w:p>
            <w:pPr>
              <w:spacing w:after="0"/>
              <w:rPr>
                <w:sz w:val="20"/>
                <w:szCs w:val="20"/>
                <w:color w:val="auto"/>
              </w:rPr>
            </w:pPr>
          </w:p>
        </w:tc>
        <w:tc>
          <w:tcPr>
            <w:tcW w:w="2340" w:type="dxa"/>
            <w:vAlign w:val="bottom"/>
            <w:tcBorders>
              <w:right w:val="single" w:sz="8" w:color="231F20"/>
            </w:tcBorders>
          </w:tcPr>
          <w:p>
            <w:pPr>
              <w:spacing w:after="0"/>
              <w:rPr>
                <w:sz w:val="20"/>
                <w:szCs w:val="20"/>
                <w:color w:val="auto"/>
              </w:rPr>
            </w:pPr>
          </w:p>
        </w:tc>
        <w:tc>
          <w:tcPr>
            <w:tcW w:w="24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480" w:type="dxa"/>
            <w:vAlign w:val="bottom"/>
            <w:tcBorders>
              <w:left w:val="single" w:sz="8" w:color="231F20"/>
              <w:right w:val="single" w:sz="8" w:color="231F20"/>
            </w:tcBorders>
          </w:tcPr>
          <w:p>
            <w:pPr>
              <w:ind w:left="60"/>
              <w:spacing w:after="0" w:line="194" w:lineRule="exact"/>
              <w:rPr>
                <w:sz w:val="20"/>
                <w:szCs w:val="20"/>
                <w:color w:val="auto"/>
              </w:rPr>
            </w:pPr>
            <w:r>
              <w:rPr>
                <w:rFonts w:ascii="Times New Roman" w:cs="Times New Roman" w:eastAsia="Times New Roman" w:hAnsi="Times New Roman"/>
                <w:sz w:val="19"/>
                <w:szCs w:val="19"/>
                <w:color w:val="231F20"/>
              </w:rPr>
              <w:t>not approved by security</w:t>
            </w:r>
          </w:p>
        </w:tc>
        <w:tc>
          <w:tcPr>
            <w:tcW w:w="2320" w:type="dxa"/>
            <w:vAlign w:val="bottom"/>
            <w:tcBorders>
              <w:right w:val="single" w:sz="8" w:color="231F20"/>
            </w:tcBorders>
            <w:vMerge w:val="restart"/>
          </w:tcPr>
          <w:p>
            <w:pPr>
              <w:jc w:val="center"/>
              <w:ind w:left="103"/>
              <w:spacing w:after="0"/>
              <w:rPr>
                <w:sz w:val="20"/>
                <w:szCs w:val="20"/>
                <w:color w:val="auto"/>
              </w:rPr>
            </w:pPr>
            <w:r>
              <w:rPr>
                <w:rFonts w:ascii="Times New Roman" w:cs="Times New Roman" w:eastAsia="Times New Roman" w:hAnsi="Times New Roman"/>
                <w:sz w:val="19"/>
                <w:szCs w:val="19"/>
                <w:color w:val="231F20"/>
              </w:rPr>
              <w:t>—</w:t>
            </w:r>
          </w:p>
        </w:tc>
        <w:tc>
          <w:tcPr>
            <w:tcW w:w="2340" w:type="dxa"/>
            <w:vAlign w:val="bottom"/>
            <w:tcBorders>
              <w:right w:val="single" w:sz="8" w:color="231F20"/>
            </w:tcBorders>
            <w:vMerge w:val="restart"/>
          </w:tcPr>
          <w:p>
            <w:pPr>
              <w:jc w:val="center"/>
              <w:ind w:left="123"/>
              <w:spacing w:after="0"/>
              <w:rPr>
                <w:sz w:val="20"/>
                <w:szCs w:val="20"/>
                <w:color w:val="auto"/>
              </w:rPr>
            </w:pPr>
            <w:r>
              <w:rPr>
                <w:rFonts w:ascii="Times New Roman" w:cs="Times New Roman" w:eastAsia="Times New Roman" w:hAnsi="Times New Roman"/>
                <w:sz w:val="19"/>
                <w:szCs w:val="19"/>
                <w:color w:val="231F20"/>
              </w:rPr>
              <w:t>—</w:t>
            </w:r>
          </w:p>
        </w:tc>
        <w:tc>
          <w:tcPr>
            <w:tcW w:w="2440" w:type="dxa"/>
            <w:vAlign w:val="bottom"/>
            <w:tcBorders>
              <w:right w:val="single" w:sz="8" w:color="231F20"/>
            </w:tcBorders>
            <w:vMerge w:val="restart"/>
          </w:tcPr>
          <w:p>
            <w:pPr>
              <w:jc w:val="center"/>
              <w:ind w:left="123"/>
              <w:spacing w:after="0"/>
              <w:rPr>
                <w:sz w:val="20"/>
                <w:szCs w:val="20"/>
                <w:color w:val="auto"/>
              </w:rPr>
            </w:pPr>
            <w:r>
              <w:rPr>
                <w:rFonts w:ascii="Times New Roman" w:cs="Times New Roman" w:eastAsia="Times New Roman" w:hAnsi="Times New Roman"/>
                <w:sz w:val="19"/>
                <w:szCs w:val="19"/>
                <w:color w:val="231F20"/>
                <w:w w:val="94"/>
              </w:rPr>
              <w:t>—</w:t>
            </w:r>
          </w:p>
        </w:tc>
        <w:tc>
          <w:tcPr>
            <w:tcW w:w="0" w:type="dxa"/>
            <w:vAlign w:val="bottom"/>
          </w:tcPr>
          <w:p>
            <w:pPr>
              <w:spacing w:after="0"/>
              <w:rPr>
                <w:sz w:val="1"/>
                <w:szCs w:val="1"/>
                <w:color w:val="auto"/>
              </w:rPr>
            </w:pPr>
          </w:p>
        </w:tc>
      </w:tr>
      <w:tr>
        <w:trPr>
          <w:trHeight w:val="255"/>
        </w:trPr>
        <w:tc>
          <w:tcPr>
            <w:tcW w:w="2480" w:type="dxa"/>
            <w:vAlign w:val="bottom"/>
            <w:tcBorders>
              <w:left w:val="single" w:sz="8" w:color="231F20"/>
              <w:bottom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9"/>
                <w:szCs w:val="19"/>
                <w:color w:val="231F20"/>
              </w:rPr>
              <w:t>holders</w:t>
            </w:r>
          </w:p>
        </w:tc>
        <w:tc>
          <w:tcPr>
            <w:tcW w:w="2320" w:type="dxa"/>
            <w:vAlign w:val="bottom"/>
            <w:tcBorders>
              <w:bottom w:val="single" w:sz="8" w:color="231F20"/>
              <w:right w:val="single" w:sz="8" w:color="231F20"/>
            </w:tcBorders>
            <w:vMerge w:val="continue"/>
          </w:tcPr>
          <w:p>
            <w:pPr>
              <w:spacing w:after="0"/>
              <w:rPr>
                <w:sz w:val="22"/>
                <w:szCs w:val="22"/>
                <w:color w:val="auto"/>
              </w:rPr>
            </w:pPr>
          </w:p>
        </w:tc>
        <w:tc>
          <w:tcPr>
            <w:tcW w:w="2340" w:type="dxa"/>
            <w:vAlign w:val="bottom"/>
            <w:tcBorders>
              <w:bottom w:val="single" w:sz="8" w:color="231F20"/>
              <w:right w:val="single" w:sz="8" w:color="231F20"/>
            </w:tcBorders>
            <w:vMerge w:val="continue"/>
          </w:tcPr>
          <w:p>
            <w:pPr>
              <w:spacing w:after="0"/>
              <w:rPr>
                <w:sz w:val="22"/>
                <w:szCs w:val="22"/>
                <w:color w:val="auto"/>
              </w:rPr>
            </w:pPr>
          </w:p>
        </w:tc>
        <w:tc>
          <w:tcPr>
            <w:tcW w:w="2440" w:type="dxa"/>
            <w:vAlign w:val="bottom"/>
            <w:tcBorders>
              <w:bottom w:val="single" w:sz="8" w:color="231F20"/>
              <w:right w:val="single" w:sz="8" w:color="231F20"/>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80" w:type="dxa"/>
            <w:vAlign w:val="bottom"/>
            <w:tcBorders>
              <w:left w:val="single" w:sz="8" w:color="231F20"/>
              <w:bottom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9"/>
                <w:szCs w:val="19"/>
                <w:color w:val="231F20"/>
              </w:rPr>
              <w:t>Total</w:t>
            </w:r>
          </w:p>
        </w:tc>
        <w:tc>
          <w:tcPr>
            <w:tcW w:w="2320" w:type="dxa"/>
            <w:vAlign w:val="bottom"/>
            <w:tcBorders>
              <w:bottom w:val="single" w:sz="8" w:color="231F20"/>
              <w:right w:val="single" w:sz="8" w:color="231F20"/>
            </w:tcBorders>
          </w:tcPr>
          <w:p>
            <w:pPr>
              <w:jc w:val="center"/>
              <w:ind w:left="103"/>
              <w:spacing w:after="0"/>
              <w:rPr>
                <w:sz w:val="20"/>
                <w:szCs w:val="20"/>
                <w:color w:val="auto"/>
              </w:rPr>
            </w:pPr>
            <w:r>
              <w:rPr>
                <w:rFonts w:ascii="Times New Roman" w:cs="Times New Roman" w:eastAsia="Times New Roman" w:hAnsi="Times New Roman"/>
                <w:sz w:val="19"/>
                <w:szCs w:val="19"/>
                <w:color w:val="231F20"/>
                <w:w w:val="99"/>
              </w:rPr>
              <w:t>1,716,867</w:t>
            </w:r>
          </w:p>
        </w:tc>
        <w:tc>
          <w:tcPr>
            <w:tcW w:w="2340" w:type="dxa"/>
            <w:vAlign w:val="bottom"/>
            <w:tcBorders>
              <w:bottom w:val="single" w:sz="8" w:color="231F20"/>
              <w:right w:val="single" w:sz="8" w:color="231F20"/>
            </w:tcBorders>
          </w:tcPr>
          <w:p>
            <w:pPr>
              <w:jc w:val="center"/>
              <w:ind w:left="123"/>
              <w:spacing w:after="0"/>
              <w:rPr>
                <w:sz w:val="20"/>
                <w:szCs w:val="20"/>
                <w:color w:val="auto"/>
              </w:rPr>
            </w:pPr>
            <w:r>
              <w:rPr>
                <w:rFonts w:ascii="Times New Roman" w:cs="Times New Roman" w:eastAsia="Times New Roman" w:hAnsi="Times New Roman"/>
                <w:sz w:val="19"/>
                <w:szCs w:val="19"/>
                <w:color w:val="231F20"/>
              </w:rPr>
              <w:t>$204.51</w:t>
            </w:r>
          </w:p>
        </w:tc>
        <w:tc>
          <w:tcPr>
            <w:tcW w:w="2440" w:type="dxa"/>
            <w:vAlign w:val="bottom"/>
            <w:tcBorders>
              <w:bottom w:val="single" w:sz="8" w:color="231F20"/>
              <w:right w:val="single" w:sz="8" w:color="231F20"/>
            </w:tcBorders>
          </w:tcPr>
          <w:p>
            <w:pPr>
              <w:jc w:val="center"/>
              <w:ind w:left="123"/>
              <w:spacing w:after="0"/>
              <w:rPr>
                <w:sz w:val="20"/>
                <w:szCs w:val="20"/>
                <w:color w:val="auto"/>
              </w:rPr>
            </w:pPr>
            <w:r>
              <w:rPr>
                <w:rFonts w:ascii="Times New Roman" w:cs="Times New Roman" w:eastAsia="Times New Roman" w:hAnsi="Times New Roman"/>
                <w:sz w:val="19"/>
                <w:szCs w:val="19"/>
                <w:color w:val="231F20"/>
              </w:rPr>
              <w:t>1,689,465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-1099185</wp:posOffset>
            </wp:positionV>
            <wp:extent cx="610616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5">
                      <a:extLst>
                        <a:ext uri="{28A0092B-C50C-407E-A947-70E740481C1C}"/>
                      </a:extLst>
                    </a:blip>
                    <a:srcRect/>
                    <a:stretch>
                      <a:fillRect/>
                    </a:stretch>
                  </pic:blipFill>
                  <pic:spPr bwMode="auto">
                    <a:xfrm>
                      <a:off x="0" y="0"/>
                      <a:ext cx="6106160" cy="2540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-193675</wp:posOffset>
            </wp:positionV>
            <wp:extent cx="610616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6">
                      <a:extLst>
                        <a:ext uri="{28A0092B-C50C-407E-A947-70E740481C1C}"/>
                      </a:extLst>
                    </a:blip>
                    <a:srcRect/>
                    <a:stretch>
                      <a:fillRect/>
                    </a:stretch>
                  </pic:blipFill>
                  <pic:spPr bwMode="auto">
                    <a:xfrm>
                      <a:off x="0" y="0"/>
                      <a:ext cx="6106160" cy="2540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-18415</wp:posOffset>
            </wp:positionV>
            <wp:extent cx="610616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7">
                      <a:extLst>
                        <a:ext uri="{28A0092B-C50C-407E-A947-70E740481C1C}"/>
                      </a:extLst>
                    </a:blip>
                    <a:srcRect/>
                    <a:stretch>
                      <a:fillRect/>
                    </a:stretch>
                  </pic:blipFill>
                  <pic:spPr bwMode="auto">
                    <a:xfrm>
                      <a:off x="0" y="0"/>
                      <a:ext cx="6106160" cy="25400"/>
                    </a:xfrm>
                    <a:prstGeom prst="rect">
                      <a:avLst/>
                    </a:prstGeom>
                    <a:noFill/>
                  </pic:spPr>
                </pic:pic>
              </a:graphicData>
            </a:graphic>
          </wp:anchor>
        </w:drawing>
      </w:r>
    </w:p>
    <w:p>
      <w:pPr>
        <w:spacing w:after="0" w:line="100" w:lineRule="exact"/>
        <w:rPr>
          <w:sz w:val="20"/>
          <w:szCs w:val="20"/>
          <w:color w:val="auto"/>
        </w:rPr>
      </w:pPr>
    </w:p>
    <w:p>
      <w:pPr>
        <w:jc w:val="both"/>
        <w:ind w:left="1400" w:right="400" w:hanging="1396"/>
        <w:spacing w:after="0" w:line="285" w:lineRule="auto"/>
        <w:tabs>
          <w:tab w:leader="none" w:pos="1380" w:val="left"/>
        </w:tabs>
        <w:rPr>
          <w:sz w:val="20"/>
          <w:szCs w:val="20"/>
          <w:color w:val="auto"/>
        </w:rPr>
      </w:pPr>
      <w:r>
        <w:rPr>
          <w:rFonts w:ascii="Times New Roman" w:cs="Times New Roman" w:eastAsia="Times New Roman" w:hAnsi="Times New Roman"/>
          <w:sz w:val="27"/>
          <w:szCs w:val="27"/>
          <w:color w:val="231F20"/>
        </w:rPr>
        <w:t>ITEM 13.</w:t>
        <w:tab/>
        <w:t>CERTAIN RELATIONSHIPS AND RELATED TRANSACTIONS, AND DIRECTOR INDEPENDENCE</w:t>
      </w:r>
    </w:p>
    <w:p>
      <w:pPr>
        <w:spacing w:after="0" w:line="54" w:lineRule="exact"/>
        <w:rPr>
          <w:sz w:val="20"/>
          <w:szCs w:val="20"/>
          <w:color w:val="auto"/>
        </w:rPr>
      </w:pPr>
    </w:p>
    <w:p>
      <w:pPr>
        <w:ind w:right="280" w:firstLine="349"/>
        <w:spacing w:after="0" w:line="293" w:lineRule="auto"/>
        <w:rPr>
          <w:sz w:val="20"/>
          <w:szCs w:val="20"/>
          <w:color w:val="auto"/>
        </w:rPr>
      </w:pPr>
      <w:r>
        <w:rPr>
          <w:rFonts w:ascii="Times New Roman" w:cs="Times New Roman" w:eastAsia="Times New Roman" w:hAnsi="Times New Roman"/>
          <w:sz w:val="19"/>
          <w:szCs w:val="19"/>
          <w:color w:val="231F20"/>
        </w:rPr>
        <w:t>This Annual Report on Form 10-K incorporates by reference the information beginning under the captions "Governance Generally", "Board Meetings and Committees" and "Miscellaneous Matters" of the Proxy Statement.</w:t>
      </w:r>
    </w:p>
    <w:p>
      <w:pPr>
        <w:spacing w:after="0" w:line="25"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7"/>
          <w:szCs w:val="27"/>
          <w:color w:val="231F20"/>
        </w:rPr>
        <w:t>ITEM 14.</w:t>
        <w:tab/>
        <w:t>PRINCIPAL ACCOUNTANT FEES AND SERVICES</w:t>
      </w:r>
    </w:p>
    <w:p>
      <w:pPr>
        <w:spacing w:after="0" w:line="155" w:lineRule="exact"/>
        <w:rPr>
          <w:sz w:val="20"/>
          <w:szCs w:val="20"/>
          <w:color w:val="auto"/>
        </w:rPr>
      </w:pPr>
    </w:p>
    <w:p>
      <w:pPr>
        <w:ind w:right="480" w:firstLine="349"/>
        <w:spacing w:after="0" w:line="293" w:lineRule="auto"/>
        <w:rPr>
          <w:sz w:val="20"/>
          <w:szCs w:val="20"/>
          <w:color w:val="auto"/>
        </w:rPr>
      </w:pPr>
      <w:r>
        <w:rPr>
          <w:rFonts w:ascii="Times New Roman" w:cs="Times New Roman" w:eastAsia="Times New Roman" w:hAnsi="Times New Roman"/>
          <w:sz w:val="19"/>
          <w:szCs w:val="19"/>
          <w:color w:val="231F20"/>
        </w:rPr>
        <w:t>This Annual Report on Form 10-K incorporates by reference the information relating to principal accountant fees and services appearing under the caption "Independent Registered Public Accounting Firm" of the Proxy Statement.</w:t>
      </w:r>
    </w:p>
    <w:p>
      <w:pPr>
        <w:sectPr>
          <w:pgSz w:w="11880" w:h="15480" w:orient="portrait"/>
          <w:cols w:equalWidth="0" w:num="1">
            <w:col w:w="9960"/>
          </w:cols>
          <w:pgMar w:left="960" w:top="80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105</w:t>
      </w:r>
    </w:p>
    <w:p>
      <w:pPr>
        <w:sectPr>
          <w:pgSz w:w="11880" w:h="15480" w:orient="portrait"/>
          <w:cols w:equalWidth="0" w:num="1">
            <w:col w:w="9960"/>
          </w:cols>
          <w:pgMar w:left="960" w:top="801" w:right="960" w:bottom="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27"/>
          <w:szCs w:val="27"/>
          <w:color w:val="231F20"/>
        </w:rPr>
        <w:t>PART IV</w:t>
      </w:r>
    </w:p>
    <w:p>
      <w:pPr>
        <w:spacing w:after="0" w:line="132"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7"/>
          <w:szCs w:val="27"/>
          <w:color w:val="231F20"/>
        </w:rPr>
        <w:t>ITEM 15.</w:t>
        <w:tab/>
        <w:t>EXHIBITS AND FINANCIAL STATEMENT SCHEDULE</w:t>
      </w:r>
    </w:p>
    <w:p>
      <w:pPr>
        <w:spacing w:after="0" w:line="1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LIST OF CONSOLIDATED FINANCIAL STATEMENTS AND FINANCIAL STATEMENT SCHEDULE</w:t>
      </w:r>
    </w:p>
    <w:p>
      <w:pPr>
        <w:spacing w:after="0" w:line="131" w:lineRule="exact"/>
        <w:rPr>
          <w:sz w:val="20"/>
          <w:szCs w:val="20"/>
          <w:color w:val="auto"/>
        </w:rPr>
      </w:pPr>
    </w:p>
    <w:p>
      <w:pPr>
        <w:ind w:left="840" w:right="1220" w:hanging="662"/>
        <w:spacing w:after="0" w:line="383" w:lineRule="auto"/>
        <w:tabs>
          <w:tab w:leader="none" w:pos="449" w:val="left"/>
        </w:tabs>
        <w:numPr>
          <w:ilvl w:val="0"/>
          <w:numId w:val="3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(1) The following consolidated financial statements of STERIS plc and subsidiaries are included in Item 8: Consolidated Balance Sheets – March 31, 2026 and 2025.</w:t>
      </w:r>
    </w:p>
    <w:p>
      <w:pPr>
        <w:spacing w:after="0" w:line="1" w:lineRule="exact"/>
        <w:rPr>
          <w:rFonts w:ascii="Times New Roman" w:cs="Times New Roman" w:eastAsia="Times New Roman" w:hAnsi="Times New Roman"/>
          <w:sz w:val="19"/>
          <w:szCs w:val="19"/>
          <w:color w:val="231F20"/>
        </w:rPr>
      </w:pPr>
    </w:p>
    <w:p>
      <w:pPr>
        <w:ind w:left="840"/>
        <w:spacing w:after="0"/>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Consolidated Statements of Income – Years ended March 31, 2026, 2025, and 2024.</w:t>
      </w:r>
    </w:p>
    <w:p>
      <w:pPr>
        <w:spacing w:after="0" w:line="130" w:lineRule="exact"/>
        <w:rPr>
          <w:rFonts w:ascii="Times New Roman" w:cs="Times New Roman" w:eastAsia="Times New Roman" w:hAnsi="Times New Roman"/>
          <w:sz w:val="19"/>
          <w:szCs w:val="19"/>
          <w:color w:val="231F20"/>
        </w:rPr>
      </w:pPr>
    </w:p>
    <w:p>
      <w:pPr>
        <w:ind w:left="840" w:right="1320"/>
        <w:spacing w:after="0" w:line="383" w:lineRule="auto"/>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Consolidated Statements of Comprehensive Income – Years ended March 31, 2026, 2025, and 2024. Consolidated Statements of Cash Flows – Years ended March 31, 2026, 2025, and 2024. Consolidated Statements of Shareholders’ Equity – Years ended March 31, 2026, 2025, and 2024.</w:t>
      </w:r>
    </w:p>
    <w:p>
      <w:pPr>
        <w:spacing w:after="0" w:line="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9"/>
          <w:szCs w:val="19"/>
          <w:color w:val="231F20"/>
        </w:rPr>
        <w:t>Notes to Consolidated Financial Statements.</w:t>
      </w:r>
    </w:p>
    <w:p>
      <w:pPr>
        <w:spacing w:after="0" w:line="131" w:lineRule="exact"/>
        <w:rPr>
          <w:sz w:val="20"/>
          <w:szCs w:val="20"/>
          <w:color w:val="auto"/>
        </w:rPr>
      </w:pPr>
    </w:p>
    <w:p>
      <w:pPr>
        <w:ind w:left="840" w:right="680" w:hanging="662"/>
        <w:spacing w:after="0" w:line="383" w:lineRule="auto"/>
        <w:tabs>
          <w:tab w:leader="none" w:pos="449" w:val="left"/>
        </w:tabs>
        <w:numPr>
          <w:ilvl w:val="0"/>
          <w:numId w:val="3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(2) The following consolidated financial statement schedule of STERIS plc and subsidiaries is included in Item 8: Schedule II - Valuation and Qualifying Accounts</w:t>
      </w:r>
    </w:p>
    <w:p>
      <w:pPr>
        <w:spacing w:after="0" w:line="1" w:lineRule="exact"/>
        <w:rPr>
          <w:sz w:val="20"/>
          <w:szCs w:val="20"/>
          <w:color w:val="auto"/>
        </w:rPr>
      </w:pPr>
    </w:p>
    <w:p>
      <w:pPr>
        <w:ind w:left="840"/>
        <w:spacing w:after="0" w:line="293" w:lineRule="auto"/>
        <w:rPr>
          <w:sz w:val="20"/>
          <w:szCs w:val="20"/>
          <w:color w:val="auto"/>
        </w:rPr>
      </w:pPr>
      <w:r>
        <w:rPr>
          <w:rFonts w:ascii="Times New Roman" w:cs="Times New Roman" w:eastAsia="Times New Roman" w:hAnsi="Times New Roman"/>
          <w:sz w:val="19"/>
          <w:szCs w:val="19"/>
          <w:color w:val="231F20"/>
        </w:rPr>
        <w:t>All other schedules for which provision is made in the applicable accounting regulation of the SEC are not required under the related instructions or are inapplicable and, therefore, have been omitted.</w:t>
      </w:r>
    </w:p>
    <w:p>
      <w:pPr>
        <w:spacing w:after="0" w:line="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231F20"/>
        </w:rPr>
        <w:t>(a) (3) Exhibits</w:t>
      </w:r>
    </w:p>
    <w:p>
      <w:pPr>
        <w:spacing w:after="0" w:line="255" w:lineRule="exact"/>
        <w:rPr>
          <w:sz w:val="20"/>
          <w:szCs w:val="20"/>
          <w:color w:val="auto"/>
        </w:rPr>
      </w:pPr>
    </w:p>
    <w:tbl>
      <w:tblPr>
        <w:tblLayout w:type="fixed"/>
        <w:tblInd w:w="840" w:type="dxa"/>
        <w:tblCellMar>
          <w:top w:w="0" w:type="dxa"/>
          <w:left w:w="0" w:type="dxa"/>
          <w:bottom w:w="0" w:type="dxa"/>
          <w:right w:w="0" w:type="dxa"/>
        </w:tblCellMar>
      </w:tblPr>
      <w:tr>
        <w:trPr>
          <w:trHeight w:val="218"/>
        </w:trPr>
        <w:tc>
          <w:tcPr>
            <w:tcW w:w="780" w:type="dxa"/>
            <w:vAlign w:val="bottom"/>
          </w:tcPr>
          <w:p>
            <w:pPr>
              <w:jc w:val="center"/>
              <w:ind w:right="43"/>
              <w:spacing w:after="0"/>
              <w:rPr>
                <w:sz w:val="20"/>
                <w:szCs w:val="20"/>
                <w:color w:val="auto"/>
              </w:rPr>
            </w:pPr>
            <w:r>
              <w:rPr>
                <w:rFonts w:ascii="Times New Roman" w:cs="Times New Roman" w:eastAsia="Times New Roman" w:hAnsi="Times New Roman"/>
                <w:sz w:val="19"/>
                <w:szCs w:val="19"/>
                <w:color w:val="231F20"/>
                <w:w w:val="99"/>
              </w:rPr>
              <w:t>Exhibit</w:t>
            </w:r>
          </w:p>
        </w:tc>
        <w:tc>
          <w:tcPr>
            <w:tcW w:w="7700" w:type="dxa"/>
            <w:vAlign w:val="bottom"/>
          </w:tcPr>
          <w:p>
            <w:pPr>
              <w:ind w:left="3140"/>
              <w:spacing w:after="0"/>
              <w:rPr>
                <w:sz w:val="20"/>
                <w:szCs w:val="20"/>
                <w:color w:val="auto"/>
              </w:rPr>
            </w:pPr>
            <w:r>
              <w:rPr>
                <w:rFonts w:ascii="Times New Roman" w:cs="Times New Roman" w:eastAsia="Times New Roman" w:hAnsi="Times New Roman"/>
                <w:sz w:val="19"/>
                <w:szCs w:val="19"/>
                <w:b w:val="1"/>
                <w:bCs w:val="1"/>
                <w:color w:val="231F20"/>
              </w:rPr>
              <w:t>Exhibit Description</w:t>
            </w:r>
          </w:p>
        </w:tc>
      </w:tr>
      <w:tr>
        <w:trPr>
          <w:trHeight w:val="253"/>
        </w:trPr>
        <w:tc>
          <w:tcPr>
            <w:tcW w:w="780" w:type="dxa"/>
            <w:vAlign w:val="bottom"/>
          </w:tcPr>
          <w:p>
            <w:pPr>
              <w:jc w:val="center"/>
              <w:ind w:right="43"/>
              <w:spacing w:after="0"/>
              <w:rPr>
                <w:sz w:val="20"/>
                <w:szCs w:val="20"/>
                <w:color w:val="auto"/>
              </w:rPr>
            </w:pPr>
            <w:r>
              <w:rPr>
                <w:rFonts w:ascii="Times New Roman" w:cs="Times New Roman" w:eastAsia="Times New Roman" w:hAnsi="Times New Roman"/>
                <w:sz w:val="19"/>
                <w:szCs w:val="19"/>
                <w:color w:val="231F20"/>
              </w:rPr>
              <w:t>Number</w:t>
            </w:r>
          </w:p>
        </w:tc>
        <w:tc>
          <w:tcPr>
            <w:tcW w:w="7700" w:type="dxa"/>
            <w:vAlign w:val="bottom"/>
          </w:tcPr>
          <w:p>
            <w:pPr>
              <w:spacing w:after="0"/>
              <w:rPr>
                <w:sz w:val="21"/>
                <w:szCs w:val="21"/>
                <w:color w:val="auto"/>
              </w:rPr>
            </w:pPr>
          </w:p>
        </w:tc>
      </w:tr>
      <w:tr>
        <w:trPr>
          <w:trHeight w:val="213"/>
        </w:trPr>
        <w:tc>
          <w:tcPr>
            <w:tcW w:w="780" w:type="dxa"/>
            <w:vAlign w:val="bottom"/>
          </w:tcPr>
          <w:p>
            <w:pPr>
              <w:jc w:val="center"/>
              <w:ind w:right="43"/>
              <w:spacing w:after="0" w:line="213" w:lineRule="exact"/>
              <w:rPr>
                <w:sz w:val="20"/>
                <w:szCs w:val="20"/>
                <w:color w:val="auto"/>
              </w:rPr>
            </w:pPr>
            <w:r>
              <w:rPr>
                <w:rFonts w:ascii="Times New Roman" w:cs="Times New Roman" w:eastAsia="Times New Roman" w:hAnsi="Times New Roman"/>
                <w:sz w:val="19"/>
                <w:szCs w:val="19"/>
                <w:color w:val="231F20"/>
              </w:rPr>
              <w:t>2.1</w:t>
            </w:r>
          </w:p>
        </w:tc>
        <w:tc>
          <w:tcPr>
            <w:tcW w:w="7700" w:type="dxa"/>
            <w:vAlign w:val="bottom"/>
          </w:tcPr>
          <w:p>
            <w:pPr>
              <w:ind w:left="160"/>
              <w:spacing w:after="0" w:line="213" w:lineRule="exact"/>
              <w:rPr>
                <w:sz w:val="20"/>
                <w:szCs w:val="20"/>
                <w:color w:val="auto"/>
              </w:rPr>
            </w:pPr>
            <w:r>
              <w:rPr>
                <w:rFonts w:ascii="Times New Roman" w:cs="Times New Roman" w:eastAsia="Times New Roman" w:hAnsi="Times New Roman"/>
                <w:sz w:val="19"/>
                <w:szCs w:val="19"/>
                <w:color w:val="231F20"/>
              </w:rPr>
              <w:t>Equity Purchase Agreement by and between STERIS Corporation, HuFriedy Group Holding</w:t>
            </w:r>
          </w:p>
        </w:tc>
      </w:tr>
      <w:tr>
        <w:trPr>
          <w:trHeight w:val="194"/>
        </w:trPr>
        <w:tc>
          <w:tcPr>
            <w:tcW w:w="780" w:type="dxa"/>
            <w:vAlign w:val="bottom"/>
          </w:tcPr>
          <w:p>
            <w:pPr>
              <w:spacing w:after="0"/>
              <w:rPr>
                <w:sz w:val="16"/>
                <w:szCs w:val="16"/>
                <w:color w:val="auto"/>
              </w:rPr>
            </w:pPr>
          </w:p>
        </w:tc>
        <w:tc>
          <w:tcPr>
            <w:tcW w:w="7700" w:type="dxa"/>
            <w:vAlign w:val="bottom"/>
          </w:tcPr>
          <w:p>
            <w:pPr>
              <w:ind w:left="160"/>
              <w:spacing w:after="0" w:line="194" w:lineRule="exact"/>
              <w:rPr>
                <w:sz w:val="20"/>
                <w:szCs w:val="20"/>
                <w:color w:val="auto"/>
              </w:rPr>
            </w:pPr>
            <w:r>
              <w:rPr>
                <w:rFonts w:ascii="Times New Roman" w:cs="Times New Roman" w:eastAsia="Times New Roman" w:hAnsi="Times New Roman"/>
                <w:sz w:val="19"/>
                <w:szCs w:val="19"/>
                <w:color w:val="231F20"/>
              </w:rPr>
              <w:t>LLC, Hu-Friedy Mfg. Co. LLC and Crosstex International, Inc., dated as of April 10, 2024 (filed</w:t>
            </w:r>
          </w:p>
        </w:tc>
      </w:tr>
      <w:tr>
        <w:trPr>
          <w:trHeight w:val="194"/>
        </w:trPr>
        <w:tc>
          <w:tcPr>
            <w:tcW w:w="780" w:type="dxa"/>
            <w:vAlign w:val="bottom"/>
          </w:tcPr>
          <w:p>
            <w:pPr>
              <w:spacing w:after="0"/>
              <w:rPr>
                <w:sz w:val="16"/>
                <w:szCs w:val="16"/>
                <w:color w:val="auto"/>
              </w:rPr>
            </w:pPr>
          </w:p>
        </w:tc>
        <w:tc>
          <w:tcPr>
            <w:tcW w:w="7700" w:type="dxa"/>
            <w:vAlign w:val="bottom"/>
          </w:tcPr>
          <w:p>
            <w:pPr>
              <w:ind w:left="160"/>
              <w:spacing w:after="0" w:line="194" w:lineRule="exact"/>
              <w:rPr>
                <w:sz w:val="20"/>
                <w:szCs w:val="20"/>
                <w:color w:val="auto"/>
              </w:rPr>
            </w:pPr>
            <w:r>
              <w:rPr>
                <w:rFonts w:ascii="Times New Roman" w:cs="Times New Roman" w:eastAsia="Times New Roman" w:hAnsi="Times New Roman"/>
                <w:sz w:val="19"/>
                <w:szCs w:val="19"/>
                <w:color w:val="231F20"/>
              </w:rPr>
              <w:t>as Exhibit 2.1 to STERIS plc Form 10-Q for the fiscal quarter ended June 30, 2024 filed August</w:t>
            </w:r>
          </w:p>
        </w:tc>
      </w:tr>
      <w:tr>
        <w:trPr>
          <w:trHeight w:val="253"/>
        </w:trPr>
        <w:tc>
          <w:tcPr>
            <w:tcW w:w="780" w:type="dxa"/>
            <w:vAlign w:val="bottom"/>
          </w:tcPr>
          <w:p>
            <w:pPr>
              <w:spacing w:after="0"/>
              <w:rPr>
                <w:sz w:val="21"/>
                <w:szCs w:val="21"/>
                <w:color w:val="auto"/>
              </w:rPr>
            </w:pPr>
          </w:p>
        </w:tc>
        <w:tc>
          <w:tcPr>
            <w:tcW w:w="770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8, 2024 (Commission File No. 001-38848) and incorporated herein by reference).</w:t>
            </w:r>
          </w:p>
        </w:tc>
      </w:tr>
      <w:tr>
        <w:trPr>
          <w:trHeight w:val="290"/>
        </w:trPr>
        <w:tc>
          <w:tcPr>
            <w:tcW w:w="780" w:type="dxa"/>
            <w:vAlign w:val="bottom"/>
          </w:tcPr>
          <w:p>
            <w:pPr>
              <w:jc w:val="center"/>
              <w:ind w:right="43"/>
              <w:spacing w:after="0"/>
              <w:rPr>
                <w:sz w:val="20"/>
                <w:szCs w:val="20"/>
                <w:color w:val="auto"/>
              </w:rPr>
            </w:pPr>
            <w:r>
              <w:rPr>
                <w:rFonts w:ascii="Times New Roman" w:cs="Times New Roman" w:eastAsia="Times New Roman" w:hAnsi="Times New Roman"/>
                <w:sz w:val="19"/>
                <w:szCs w:val="19"/>
                <w:color w:val="231F20"/>
              </w:rPr>
              <w:t>3.1</w:t>
            </w:r>
          </w:p>
        </w:tc>
        <w:tc>
          <w:tcPr>
            <w:tcW w:w="770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STERIS plc Memorandum of Association (filed as Exhibit 3.1 to STERIS plc Form 10-K for the</w:t>
            </w:r>
          </w:p>
        </w:tc>
      </w:tr>
      <w:tr>
        <w:trPr>
          <w:trHeight w:val="194"/>
        </w:trPr>
        <w:tc>
          <w:tcPr>
            <w:tcW w:w="780" w:type="dxa"/>
            <w:vAlign w:val="bottom"/>
          </w:tcPr>
          <w:p>
            <w:pPr>
              <w:spacing w:after="0"/>
              <w:rPr>
                <w:sz w:val="16"/>
                <w:szCs w:val="16"/>
                <w:color w:val="auto"/>
              </w:rPr>
            </w:pPr>
          </w:p>
        </w:tc>
        <w:tc>
          <w:tcPr>
            <w:tcW w:w="7700" w:type="dxa"/>
            <w:vAlign w:val="bottom"/>
          </w:tcPr>
          <w:p>
            <w:pPr>
              <w:ind w:left="160"/>
              <w:spacing w:after="0" w:line="194" w:lineRule="exact"/>
              <w:rPr>
                <w:sz w:val="20"/>
                <w:szCs w:val="20"/>
                <w:color w:val="auto"/>
              </w:rPr>
            </w:pPr>
            <w:r>
              <w:rPr>
                <w:rFonts w:ascii="Times New Roman" w:cs="Times New Roman" w:eastAsia="Times New Roman" w:hAnsi="Times New Roman"/>
                <w:sz w:val="19"/>
                <w:szCs w:val="19"/>
                <w:color w:val="231F20"/>
              </w:rPr>
              <w:t>fiscal year ended March 31, 2019 (Commission File No. 001-38848) and incorporated herein by</w:t>
            </w:r>
          </w:p>
        </w:tc>
      </w:tr>
      <w:tr>
        <w:trPr>
          <w:trHeight w:val="253"/>
        </w:trPr>
        <w:tc>
          <w:tcPr>
            <w:tcW w:w="780" w:type="dxa"/>
            <w:vAlign w:val="bottom"/>
          </w:tcPr>
          <w:p>
            <w:pPr>
              <w:spacing w:after="0"/>
              <w:rPr>
                <w:sz w:val="21"/>
                <w:szCs w:val="21"/>
                <w:color w:val="auto"/>
              </w:rPr>
            </w:pPr>
          </w:p>
        </w:tc>
        <w:tc>
          <w:tcPr>
            <w:tcW w:w="770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reference).</w:t>
            </w:r>
          </w:p>
        </w:tc>
      </w:tr>
      <w:tr>
        <w:trPr>
          <w:trHeight w:val="281"/>
        </w:trPr>
        <w:tc>
          <w:tcPr>
            <w:tcW w:w="780" w:type="dxa"/>
            <w:vAlign w:val="bottom"/>
          </w:tcPr>
          <w:p>
            <w:pPr>
              <w:jc w:val="center"/>
              <w:ind w:right="43"/>
              <w:spacing w:after="0"/>
              <w:rPr>
                <w:sz w:val="20"/>
                <w:szCs w:val="20"/>
                <w:color w:val="auto"/>
              </w:rPr>
            </w:pPr>
            <w:r>
              <w:rPr>
                <w:rFonts w:ascii="Times New Roman" w:cs="Times New Roman" w:eastAsia="Times New Roman" w:hAnsi="Times New Roman"/>
                <w:sz w:val="19"/>
                <w:szCs w:val="19"/>
                <w:color w:val="231F20"/>
              </w:rPr>
              <w:t>4.1</w:t>
            </w:r>
          </w:p>
        </w:tc>
        <w:tc>
          <w:tcPr>
            <w:tcW w:w="770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Indenture, dated as of April 1, 2021, among STERIS Irish FinCo Unlimited Company, the</w:t>
            </w:r>
          </w:p>
        </w:tc>
      </w:tr>
      <w:tr>
        <w:trPr>
          <w:trHeight w:val="194"/>
        </w:trPr>
        <w:tc>
          <w:tcPr>
            <w:tcW w:w="780" w:type="dxa"/>
            <w:vAlign w:val="bottom"/>
          </w:tcPr>
          <w:p>
            <w:pPr>
              <w:spacing w:after="0"/>
              <w:rPr>
                <w:sz w:val="16"/>
                <w:szCs w:val="16"/>
                <w:color w:val="auto"/>
              </w:rPr>
            </w:pPr>
          </w:p>
        </w:tc>
        <w:tc>
          <w:tcPr>
            <w:tcW w:w="7700" w:type="dxa"/>
            <w:vAlign w:val="bottom"/>
          </w:tcPr>
          <w:p>
            <w:pPr>
              <w:ind w:left="160"/>
              <w:spacing w:after="0" w:line="194" w:lineRule="exact"/>
              <w:rPr>
                <w:sz w:val="20"/>
                <w:szCs w:val="20"/>
                <w:color w:val="auto"/>
              </w:rPr>
            </w:pPr>
            <w:r>
              <w:rPr>
                <w:rFonts w:ascii="Times New Roman" w:cs="Times New Roman" w:eastAsia="Times New Roman" w:hAnsi="Times New Roman"/>
                <w:sz w:val="19"/>
                <w:szCs w:val="19"/>
                <w:color w:val="231F20"/>
              </w:rPr>
              <w:t>guarantors party thereto, and U.S. Bank National Association, as trustee (filed as Exhibit 4.1 to</w:t>
            </w:r>
          </w:p>
        </w:tc>
      </w:tr>
      <w:tr>
        <w:trPr>
          <w:trHeight w:val="194"/>
        </w:trPr>
        <w:tc>
          <w:tcPr>
            <w:tcW w:w="780" w:type="dxa"/>
            <w:vAlign w:val="bottom"/>
          </w:tcPr>
          <w:p>
            <w:pPr>
              <w:spacing w:after="0"/>
              <w:rPr>
                <w:sz w:val="16"/>
                <w:szCs w:val="16"/>
                <w:color w:val="auto"/>
              </w:rPr>
            </w:pPr>
          </w:p>
        </w:tc>
        <w:tc>
          <w:tcPr>
            <w:tcW w:w="7700" w:type="dxa"/>
            <w:vAlign w:val="bottom"/>
          </w:tcPr>
          <w:p>
            <w:pPr>
              <w:ind w:left="160"/>
              <w:spacing w:after="0" w:line="194" w:lineRule="exact"/>
              <w:rPr>
                <w:sz w:val="20"/>
                <w:szCs w:val="20"/>
                <w:color w:val="auto"/>
              </w:rPr>
            </w:pPr>
            <w:r>
              <w:rPr>
                <w:rFonts w:ascii="Times New Roman" w:cs="Times New Roman" w:eastAsia="Times New Roman" w:hAnsi="Times New Roman"/>
                <w:sz w:val="19"/>
                <w:szCs w:val="19"/>
                <w:color w:val="231F20"/>
              </w:rPr>
              <w:t>STERIS plc Form 8-K filed April 1, 2021 (Commission File No. 001-38848) and incorporated</w:t>
            </w:r>
          </w:p>
        </w:tc>
      </w:tr>
      <w:tr>
        <w:trPr>
          <w:trHeight w:val="253"/>
        </w:trPr>
        <w:tc>
          <w:tcPr>
            <w:tcW w:w="780" w:type="dxa"/>
            <w:vAlign w:val="bottom"/>
          </w:tcPr>
          <w:p>
            <w:pPr>
              <w:spacing w:after="0"/>
              <w:rPr>
                <w:sz w:val="21"/>
                <w:szCs w:val="21"/>
                <w:color w:val="auto"/>
              </w:rPr>
            </w:pPr>
          </w:p>
        </w:tc>
        <w:tc>
          <w:tcPr>
            <w:tcW w:w="770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herein by reference).</w:t>
            </w:r>
          </w:p>
        </w:tc>
      </w:tr>
      <w:tr>
        <w:trPr>
          <w:trHeight w:val="290"/>
        </w:trPr>
        <w:tc>
          <w:tcPr>
            <w:tcW w:w="780" w:type="dxa"/>
            <w:vAlign w:val="bottom"/>
          </w:tcPr>
          <w:p>
            <w:pPr>
              <w:jc w:val="center"/>
              <w:ind w:right="43"/>
              <w:spacing w:after="0"/>
              <w:rPr>
                <w:sz w:val="20"/>
                <w:szCs w:val="20"/>
                <w:color w:val="auto"/>
              </w:rPr>
            </w:pPr>
            <w:r>
              <w:rPr>
                <w:rFonts w:ascii="Times New Roman" w:cs="Times New Roman" w:eastAsia="Times New Roman" w:hAnsi="Times New Roman"/>
                <w:sz w:val="19"/>
                <w:szCs w:val="19"/>
                <w:color w:val="231F20"/>
              </w:rPr>
              <w:t>4.2</w:t>
            </w:r>
          </w:p>
        </w:tc>
        <w:tc>
          <w:tcPr>
            <w:tcW w:w="770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First Supplemental Indenture, dated as of April 1, 2021, among STERIS Irish FinCo Unlimited</w:t>
            </w:r>
          </w:p>
        </w:tc>
      </w:tr>
      <w:tr>
        <w:trPr>
          <w:trHeight w:val="194"/>
        </w:trPr>
        <w:tc>
          <w:tcPr>
            <w:tcW w:w="780" w:type="dxa"/>
            <w:vAlign w:val="bottom"/>
          </w:tcPr>
          <w:p>
            <w:pPr>
              <w:spacing w:after="0"/>
              <w:rPr>
                <w:sz w:val="16"/>
                <w:szCs w:val="16"/>
                <w:color w:val="auto"/>
              </w:rPr>
            </w:pPr>
          </w:p>
        </w:tc>
        <w:tc>
          <w:tcPr>
            <w:tcW w:w="7700" w:type="dxa"/>
            <w:vAlign w:val="bottom"/>
          </w:tcPr>
          <w:p>
            <w:pPr>
              <w:ind w:left="160"/>
              <w:spacing w:after="0" w:line="194" w:lineRule="exact"/>
              <w:rPr>
                <w:sz w:val="20"/>
                <w:szCs w:val="20"/>
                <w:color w:val="auto"/>
              </w:rPr>
            </w:pPr>
            <w:r>
              <w:rPr>
                <w:rFonts w:ascii="Times New Roman" w:cs="Times New Roman" w:eastAsia="Times New Roman" w:hAnsi="Times New Roman"/>
                <w:sz w:val="19"/>
                <w:szCs w:val="19"/>
                <w:color w:val="231F20"/>
              </w:rPr>
              <w:t>Company, the guarantors party thereto and U.S. Bank National Association, as trustee (filed as</w:t>
            </w:r>
          </w:p>
        </w:tc>
      </w:tr>
      <w:tr>
        <w:trPr>
          <w:trHeight w:val="194"/>
        </w:trPr>
        <w:tc>
          <w:tcPr>
            <w:tcW w:w="780" w:type="dxa"/>
            <w:vAlign w:val="bottom"/>
          </w:tcPr>
          <w:p>
            <w:pPr>
              <w:spacing w:after="0"/>
              <w:rPr>
                <w:sz w:val="16"/>
                <w:szCs w:val="16"/>
                <w:color w:val="auto"/>
              </w:rPr>
            </w:pPr>
          </w:p>
        </w:tc>
        <w:tc>
          <w:tcPr>
            <w:tcW w:w="7700" w:type="dxa"/>
            <w:vAlign w:val="bottom"/>
          </w:tcPr>
          <w:p>
            <w:pPr>
              <w:ind w:left="160"/>
              <w:spacing w:after="0" w:line="194" w:lineRule="exact"/>
              <w:rPr>
                <w:sz w:val="20"/>
                <w:szCs w:val="20"/>
                <w:color w:val="auto"/>
              </w:rPr>
            </w:pPr>
            <w:r>
              <w:rPr>
                <w:rFonts w:ascii="Times New Roman" w:cs="Times New Roman" w:eastAsia="Times New Roman" w:hAnsi="Times New Roman"/>
                <w:sz w:val="19"/>
                <w:szCs w:val="19"/>
                <w:color w:val="231F20"/>
              </w:rPr>
              <w:t>Exhibit 4.2 to STERIS plc Form 8-K filed April 1, 2021 (Commission File No. 001-38848) and</w:t>
            </w:r>
          </w:p>
        </w:tc>
      </w:tr>
      <w:tr>
        <w:trPr>
          <w:trHeight w:val="253"/>
        </w:trPr>
        <w:tc>
          <w:tcPr>
            <w:tcW w:w="780" w:type="dxa"/>
            <w:vAlign w:val="bottom"/>
          </w:tcPr>
          <w:p>
            <w:pPr>
              <w:spacing w:after="0"/>
              <w:rPr>
                <w:sz w:val="21"/>
                <w:szCs w:val="21"/>
                <w:color w:val="auto"/>
              </w:rPr>
            </w:pPr>
          </w:p>
        </w:tc>
        <w:tc>
          <w:tcPr>
            <w:tcW w:w="770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incorporated herein by reference).</w:t>
            </w:r>
          </w:p>
        </w:tc>
      </w:tr>
      <w:tr>
        <w:trPr>
          <w:trHeight w:val="290"/>
        </w:trPr>
        <w:tc>
          <w:tcPr>
            <w:tcW w:w="780" w:type="dxa"/>
            <w:vAlign w:val="bottom"/>
          </w:tcPr>
          <w:p>
            <w:pPr>
              <w:jc w:val="center"/>
              <w:ind w:right="43"/>
              <w:spacing w:after="0"/>
              <w:rPr>
                <w:sz w:val="20"/>
                <w:szCs w:val="20"/>
                <w:color w:val="auto"/>
              </w:rPr>
            </w:pPr>
            <w:r>
              <w:rPr>
                <w:rFonts w:ascii="Times New Roman" w:cs="Times New Roman" w:eastAsia="Times New Roman" w:hAnsi="Times New Roman"/>
                <w:sz w:val="19"/>
                <w:szCs w:val="19"/>
                <w:color w:val="231F20"/>
              </w:rPr>
              <w:t>4.3</w:t>
            </w:r>
          </w:p>
        </w:tc>
        <w:tc>
          <w:tcPr>
            <w:tcW w:w="770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Form of 2.700% Notes due 2031 (filed as Exhibit 4.3 to STERIS plc Form 8-K filed April 1,</w:t>
            </w:r>
          </w:p>
        </w:tc>
      </w:tr>
      <w:tr>
        <w:trPr>
          <w:trHeight w:val="253"/>
        </w:trPr>
        <w:tc>
          <w:tcPr>
            <w:tcW w:w="780" w:type="dxa"/>
            <w:vAlign w:val="bottom"/>
          </w:tcPr>
          <w:p>
            <w:pPr>
              <w:spacing w:after="0"/>
              <w:rPr>
                <w:sz w:val="21"/>
                <w:szCs w:val="21"/>
                <w:color w:val="auto"/>
              </w:rPr>
            </w:pPr>
          </w:p>
        </w:tc>
        <w:tc>
          <w:tcPr>
            <w:tcW w:w="770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2021 (Commission File No. 001-38848) and incorporated herein by reference).</w:t>
            </w:r>
          </w:p>
        </w:tc>
      </w:tr>
      <w:tr>
        <w:trPr>
          <w:trHeight w:val="271"/>
        </w:trPr>
        <w:tc>
          <w:tcPr>
            <w:tcW w:w="780" w:type="dxa"/>
            <w:vAlign w:val="bottom"/>
          </w:tcPr>
          <w:p>
            <w:pPr>
              <w:jc w:val="center"/>
              <w:ind w:right="43"/>
              <w:spacing w:after="0"/>
              <w:rPr>
                <w:sz w:val="20"/>
                <w:szCs w:val="20"/>
                <w:color w:val="auto"/>
              </w:rPr>
            </w:pPr>
            <w:r>
              <w:rPr>
                <w:rFonts w:ascii="Times New Roman" w:cs="Times New Roman" w:eastAsia="Times New Roman" w:hAnsi="Times New Roman"/>
                <w:sz w:val="19"/>
                <w:szCs w:val="19"/>
                <w:color w:val="231F20"/>
              </w:rPr>
              <w:t>4.4</w:t>
            </w:r>
          </w:p>
        </w:tc>
        <w:tc>
          <w:tcPr>
            <w:tcW w:w="770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Form of 3.750% Notes due 2051 (filed as Exhibit 4.4 to STERIS plc Form 8-K filed April 1,</w:t>
            </w:r>
          </w:p>
        </w:tc>
      </w:tr>
      <w:tr>
        <w:trPr>
          <w:trHeight w:val="253"/>
        </w:trPr>
        <w:tc>
          <w:tcPr>
            <w:tcW w:w="780" w:type="dxa"/>
            <w:vAlign w:val="bottom"/>
          </w:tcPr>
          <w:p>
            <w:pPr>
              <w:spacing w:after="0"/>
              <w:rPr>
                <w:sz w:val="21"/>
                <w:szCs w:val="21"/>
                <w:color w:val="auto"/>
              </w:rPr>
            </w:pPr>
          </w:p>
        </w:tc>
        <w:tc>
          <w:tcPr>
            <w:tcW w:w="770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2021 (Commission File No. 001-38848) and incorporated herein by reference)</w:t>
            </w:r>
            <w:r>
              <w:rPr>
                <w:rFonts w:ascii="Times New Roman" w:cs="Times New Roman" w:eastAsia="Times New Roman" w:hAnsi="Times New Roman"/>
                <w:sz w:val="19"/>
                <w:szCs w:val="19"/>
                <w:u w:val="single" w:color="auto"/>
                <w:color w:val="231F20"/>
              </w:rPr>
              <w:t>.</w:t>
            </w:r>
          </w:p>
        </w:tc>
      </w:tr>
      <w:tr>
        <w:trPr>
          <w:trHeight w:val="271"/>
        </w:trPr>
        <w:tc>
          <w:tcPr>
            <w:tcW w:w="780" w:type="dxa"/>
            <w:vAlign w:val="bottom"/>
          </w:tcPr>
          <w:p>
            <w:pPr>
              <w:jc w:val="center"/>
              <w:ind w:right="43"/>
              <w:spacing w:after="0"/>
              <w:rPr>
                <w:sz w:val="20"/>
                <w:szCs w:val="20"/>
                <w:color w:val="auto"/>
              </w:rPr>
            </w:pPr>
            <w:r>
              <w:rPr>
                <w:rFonts w:ascii="Times New Roman" w:cs="Times New Roman" w:eastAsia="Times New Roman" w:hAnsi="Times New Roman"/>
                <w:sz w:val="19"/>
                <w:szCs w:val="19"/>
                <w:color w:val="231F20"/>
              </w:rPr>
              <w:t>4.5</w:t>
            </w:r>
          </w:p>
        </w:tc>
        <w:tc>
          <w:tcPr>
            <w:tcW w:w="770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Description of Securities Registered Under Section 12 of the Securities Exchange Act of 1934</w:t>
            </w:r>
          </w:p>
        </w:tc>
      </w:tr>
      <w:tr>
        <w:trPr>
          <w:trHeight w:val="194"/>
        </w:trPr>
        <w:tc>
          <w:tcPr>
            <w:tcW w:w="780" w:type="dxa"/>
            <w:vAlign w:val="bottom"/>
          </w:tcPr>
          <w:p>
            <w:pPr>
              <w:spacing w:after="0"/>
              <w:rPr>
                <w:sz w:val="16"/>
                <w:szCs w:val="16"/>
                <w:color w:val="auto"/>
              </w:rPr>
            </w:pPr>
          </w:p>
        </w:tc>
        <w:tc>
          <w:tcPr>
            <w:tcW w:w="7700" w:type="dxa"/>
            <w:vAlign w:val="bottom"/>
          </w:tcPr>
          <w:p>
            <w:pPr>
              <w:ind w:left="160"/>
              <w:spacing w:after="0" w:line="194" w:lineRule="exact"/>
              <w:rPr>
                <w:sz w:val="20"/>
                <w:szCs w:val="20"/>
                <w:color w:val="auto"/>
              </w:rPr>
            </w:pPr>
            <w:r>
              <w:rPr>
                <w:rFonts w:ascii="Times New Roman" w:cs="Times New Roman" w:eastAsia="Times New Roman" w:hAnsi="Times New Roman"/>
                <w:sz w:val="19"/>
                <w:szCs w:val="19"/>
                <w:color w:val="231F20"/>
              </w:rPr>
              <w:t>(filed as Exhibit 4.5 to STERIS plc Form 10-K for the fiscal year ended March 31, 2021</w:t>
            </w:r>
          </w:p>
        </w:tc>
      </w:tr>
      <w:tr>
        <w:trPr>
          <w:trHeight w:val="253"/>
        </w:trPr>
        <w:tc>
          <w:tcPr>
            <w:tcW w:w="780" w:type="dxa"/>
            <w:vAlign w:val="bottom"/>
          </w:tcPr>
          <w:p>
            <w:pPr>
              <w:spacing w:after="0"/>
              <w:rPr>
                <w:sz w:val="21"/>
                <w:szCs w:val="21"/>
                <w:color w:val="auto"/>
              </w:rPr>
            </w:pPr>
          </w:p>
        </w:tc>
        <w:tc>
          <w:tcPr>
            <w:tcW w:w="770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(Commission File No. 001-38848), and incorporated herein by reference).</w:t>
            </w:r>
          </w:p>
        </w:tc>
      </w:tr>
      <w:tr>
        <w:trPr>
          <w:trHeight w:val="339"/>
        </w:trPr>
        <w:tc>
          <w:tcPr>
            <w:tcW w:w="780" w:type="dxa"/>
            <w:vAlign w:val="bottom"/>
          </w:tcPr>
          <w:p>
            <w:pPr>
              <w:jc w:val="center"/>
              <w:ind w:right="63"/>
              <w:spacing w:after="0"/>
              <w:rPr>
                <w:sz w:val="20"/>
                <w:szCs w:val="20"/>
                <w:color w:val="auto"/>
              </w:rPr>
            </w:pPr>
            <w:r>
              <w:rPr>
                <w:rFonts w:ascii="Times New Roman" w:cs="Times New Roman" w:eastAsia="Times New Roman" w:hAnsi="Times New Roman"/>
                <w:sz w:val="19"/>
                <w:szCs w:val="19"/>
                <w:color w:val="231F20"/>
              </w:rPr>
              <w:t>10.1</w:t>
            </w:r>
          </w:p>
        </w:tc>
        <w:tc>
          <w:tcPr>
            <w:tcW w:w="770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STERIS plc 2006 Long-Term Equity Incentive Plan, as Assumed, Amended and Restated</w:t>
            </w:r>
          </w:p>
        </w:tc>
      </w:tr>
      <w:tr>
        <w:trPr>
          <w:trHeight w:val="194"/>
        </w:trPr>
        <w:tc>
          <w:tcPr>
            <w:tcW w:w="780" w:type="dxa"/>
            <w:vAlign w:val="bottom"/>
          </w:tcPr>
          <w:p>
            <w:pPr>
              <w:spacing w:after="0"/>
              <w:rPr>
                <w:sz w:val="16"/>
                <w:szCs w:val="16"/>
                <w:color w:val="auto"/>
              </w:rPr>
            </w:pPr>
          </w:p>
        </w:tc>
        <w:tc>
          <w:tcPr>
            <w:tcW w:w="7700" w:type="dxa"/>
            <w:vAlign w:val="bottom"/>
          </w:tcPr>
          <w:p>
            <w:pPr>
              <w:ind w:left="160"/>
              <w:spacing w:after="0" w:line="194" w:lineRule="exact"/>
              <w:rPr>
                <w:sz w:val="20"/>
                <w:szCs w:val="20"/>
                <w:color w:val="auto"/>
              </w:rPr>
            </w:pPr>
            <w:r>
              <w:rPr>
                <w:rFonts w:ascii="Times New Roman" w:cs="Times New Roman" w:eastAsia="Times New Roman" w:hAnsi="Times New Roman"/>
                <w:sz w:val="19"/>
                <w:szCs w:val="19"/>
                <w:color w:val="231F20"/>
              </w:rPr>
              <w:t>Effective March 28, 2019 (filed as Exhibit 10.1 to STERIS plc Form 8-K filed March 28, 2019</w:t>
            </w:r>
          </w:p>
        </w:tc>
      </w:tr>
      <w:tr>
        <w:trPr>
          <w:trHeight w:val="253"/>
        </w:trPr>
        <w:tc>
          <w:tcPr>
            <w:tcW w:w="780" w:type="dxa"/>
            <w:vAlign w:val="bottom"/>
          </w:tcPr>
          <w:p>
            <w:pPr>
              <w:spacing w:after="0"/>
              <w:rPr>
                <w:sz w:val="21"/>
                <w:szCs w:val="21"/>
                <w:color w:val="auto"/>
              </w:rPr>
            </w:pPr>
          </w:p>
        </w:tc>
        <w:tc>
          <w:tcPr>
            <w:tcW w:w="770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(Commission File No. 001-38848) and incorporated herein by reference).*</w:t>
            </w:r>
          </w:p>
        </w:tc>
      </w:tr>
      <w:tr>
        <w:trPr>
          <w:trHeight w:val="281"/>
        </w:trPr>
        <w:tc>
          <w:tcPr>
            <w:tcW w:w="780" w:type="dxa"/>
            <w:vAlign w:val="bottom"/>
          </w:tcPr>
          <w:p>
            <w:pPr>
              <w:jc w:val="center"/>
              <w:ind w:right="63"/>
              <w:spacing w:after="0"/>
              <w:rPr>
                <w:sz w:val="20"/>
                <w:szCs w:val="20"/>
                <w:color w:val="auto"/>
              </w:rPr>
            </w:pPr>
            <w:r>
              <w:rPr>
                <w:rFonts w:ascii="Times New Roman" w:cs="Times New Roman" w:eastAsia="Times New Roman" w:hAnsi="Times New Roman"/>
                <w:sz w:val="19"/>
                <w:szCs w:val="19"/>
                <w:color w:val="231F20"/>
              </w:rPr>
              <w:t>10.2</w:t>
            </w:r>
          </w:p>
        </w:tc>
        <w:tc>
          <w:tcPr>
            <w:tcW w:w="770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Amendment No. 1 to STERIS plc 2006 Long-Term Equity Incentive Plan (as Assumed,</w:t>
            </w:r>
          </w:p>
        </w:tc>
      </w:tr>
      <w:tr>
        <w:trPr>
          <w:trHeight w:val="194"/>
        </w:trPr>
        <w:tc>
          <w:tcPr>
            <w:tcW w:w="780" w:type="dxa"/>
            <w:vAlign w:val="bottom"/>
          </w:tcPr>
          <w:p>
            <w:pPr>
              <w:spacing w:after="0"/>
              <w:rPr>
                <w:sz w:val="16"/>
                <w:szCs w:val="16"/>
                <w:color w:val="auto"/>
              </w:rPr>
            </w:pPr>
          </w:p>
        </w:tc>
        <w:tc>
          <w:tcPr>
            <w:tcW w:w="7700" w:type="dxa"/>
            <w:vAlign w:val="bottom"/>
          </w:tcPr>
          <w:p>
            <w:pPr>
              <w:ind w:left="160"/>
              <w:spacing w:after="0" w:line="194" w:lineRule="exact"/>
              <w:rPr>
                <w:sz w:val="20"/>
                <w:szCs w:val="20"/>
                <w:color w:val="auto"/>
              </w:rPr>
            </w:pPr>
            <w:r>
              <w:rPr>
                <w:rFonts w:ascii="Times New Roman" w:cs="Times New Roman" w:eastAsia="Times New Roman" w:hAnsi="Times New Roman"/>
                <w:sz w:val="19"/>
                <w:szCs w:val="19"/>
                <w:color w:val="231F20"/>
              </w:rPr>
              <w:t>Amended and Restated Effective March 28, 2019), effective July 27, 2021 (filed as Exhibit 10.2</w:t>
            </w:r>
          </w:p>
        </w:tc>
      </w:tr>
      <w:tr>
        <w:trPr>
          <w:trHeight w:val="194"/>
        </w:trPr>
        <w:tc>
          <w:tcPr>
            <w:tcW w:w="780" w:type="dxa"/>
            <w:vAlign w:val="bottom"/>
          </w:tcPr>
          <w:p>
            <w:pPr>
              <w:spacing w:after="0"/>
              <w:rPr>
                <w:sz w:val="16"/>
                <w:szCs w:val="16"/>
                <w:color w:val="auto"/>
              </w:rPr>
            </w:pPr>
          </w:p>
        </w:tc>
        <w:tc>
          <w:tcPr>
            <w:tcW w:w="7700" w:type="dxa"/>
            <w:vAlign w:val="bottom"/>
          </w:tcPr>
          <w:p>
            <w:pPr>
              <w:ind w:left="160"/>
              <w:spacing w:after="0" w:line="194" w:lineRule="exact"/>
              <w:rPr>
                <w:sz w:val="20"/>
                <w:szCs w:val="20"/>
                <w:color w:val="auto"/>
              </w:rPr>
            </w:pPr>
            <w:r>
              <w:rPr>
                <w:rFonts w:ascii="Times New Roman" w:cs="Times New Roman" w:eastAsia="Times New Roman" w:hAnsi="Times New Roman"/>
                <w:sz w:val="19"/>
                <w:szCs w:val="19"/>
                <w:color w:val="231F20"/>
              </w:rPr>
              <w:t>to Form 10-Q for the fiscal quarter ended September 30, 2021 (Commission File No. 001-38848)</w:t>
            </w:r>
          </w:p>
        </w:tc>
      </w:tr>
      <w:tr>
        <w:trPr>
          <w:trHeight w:val="253"/>
        </w:trPr>
        <w:tc>
          <w:tcPr>
            <w:tcW w:w="780" w:type="dxa"/>
            <w:vAlign w:val="bottom"/>
          </w:tcPr>
          <w:p>
            <w:pPr>
              <w:spacing w:after="0"/>
              <w:rPr>
                <w:sz w:val="21"/>
                <w:szCs w:val="21"/>
                <w:color w:val="auto"/>
              </w:rPr>
            </w:pPr>
          </w:p>
        </w:tc>
        <w:tc>
          <w:tcPr>
            <w:tcW w:w="770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and incorporated herein by reference).*</w:t>
            </w:r>
          </w:p>
        </w:tc>
      </w:tr>
      <w:tr>
        <w:trPr>
          <w:trHeight w:val="378"/>
        </w:trPr>
        <w:tc>
          <w:tcPr>
            <w:tcW w:w="780" w:type="dxa"/>
            <w:vAlign w:val="bottom"/>
          </w:tcPr>
          <w:p>
            <w:pPr>
              <w:jc w:val="center"/>
              <w:ind w:right="63"/>
              <w:spacing w:after="0"/>
              <w:rPr>
                <w:sz w:val="20"/>
                <w:szCs w:val="20"/>
                <w:color w:val="auto"/>
              </w:rPr>
            </w:pPr>
            <w:r>
              <w:rPr>
                <w:rFonts w:ascii="Times New Roman" w:cs="Times New Roman" w:eastAsia="Times New Roman" w:hAnsi="Times New Roman"/>
                <w:sz w:val="19"/>
                <w:szCs w:val="19"/>
                <w:color w:val="231F20"/>
              </w:rPr>
              <w:t>10.3</w:t>
            </w:r>
          </w:p>
        </w:tc>
        <w:tc>
          <w:tcPr>
            <w:tcW w:w="770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STERIS Corporation Form of Career Restricted Stock Unit Agreement for Nonemployee</w:t>
            </w:r>
          </w:p>
        </w:tc>
      </w:tr>
      <w:tr>
        <w:trPr>
          <w:trHeight w:val="194"/>
        </w:trPr>
        <w:tc>
          <w:tcPr>
            <w:tcW w:w="780" w:type="dxa"/>
            <w:vAlign w:val="bottom"/>
          </w:tcPr>
          <w:p>
            <w:pPr>
              <w:spacing w:after="0"/>
              <w:rPr>
                <w:sz w:val="16"/>
                <w:szCs w:val="16"/>
                <w:color w:val="auto"/>
              </w:rPr>
            </w:pPr>
          </w:p>
        </w:tc>
        <w:tc>
          <w:tcPr>
            <w:tcW w:w="7700" w:type="dxa"/>
            <w:vAlign w:val="bottom"/>
          </w:tcPr>
          <w:p>
            <w:pPr>
              <w:ind w:left="160"/>
              <w:spacing w:after="0" w:line="194" w:lineRule="exact"/>
              <w:rPr>
                <w:sz w:val="20"/>
                <w:szCs w:val="20"/>
                <w:color w:val="auto"/>
              </w:rPr>
            </w:pPr>
            <w:r>
              <w:rPr>
                <w:rFonts w:ascii="Times New Roman" w:cs="Times New Roman" w:eastAsia="Times New Roman" w:hAnsi="Times New Roman"/>
                <w:sz w:val="19"/>
                <w:szCs w:val="19"/>
                <w:color w:val="231F20"/>
              </w:rPr>
              <w:t>Directors (filed as Exhibit 10.33 to Form 10-K for the fiscal year ended March 31, 2013</w:t>
            </w:r>
          </w:p>
        </w:tc>
      </w:tr>
      <w:tr>
        <w:trPr>
          <w:trHeight w:val="253"/>
        </w:trPr>
        <w:tc>
          <w:tcPr>
            <w:tcW w:w="780" w:type="dxa"/>
            <w:vAlign w:val="bottom"/>
          </w:tcPr>
          <w:p>
            <w:pPr>
              <w:spacing w:after="0"/>
              <w:rPr>
                <w:sz w:val="21"/>
                <w:szCs w:val="21"/>
                <w:color w:val="auto"/>
              </w:rPr>
            </w:pPr>
          </w:p>
        </w:tc>
        <w:tc>
          <w:tcPr>
            <w:tcW w:w="770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(Commission File No. 001-14643) and incorporated herein by reference).*</w:t>
            </w:r>
          </w:p>
        </w:tc>
      </w:tr>
    </w:tbl>
    <w:p>
      <w:pPr>
        <w:spacing w:after="0" w:line="200" w:lineRule="exact"/>
        <w:rPr>
          <w:sz w:val="20"/>
          <w:szCs w:val="20"/>
          <w:color w:val="auto"/>
        </w:rPr>
      </w:pPr>
    </w:p>
    <w:p>
      <w:pPr>
        <w:sectPr>
          <w:pgSz w:w="11880" w:h="15480" w:orient="portrait"/>
          <w:cols w:equalWidth="0" w:num="1">
            <w:col w:w="9960"/>
          </w:cols>
          <w:pgMar w:left="960" w:top="801" w:right="960" w:bottom="0" w:gutter="0" w:footer="0" w:header="0"/>
        </w:sect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106</w:t>
      </w:r>
    </w:p>
    <w:p>
      <w:pPr>
        <w:sectPr>
          <w:pgSz w:w="11880" w:h="15480" w:orient="portrait"/>
          <w:cols w:equalWidth="0" w:num="1">
            <w:col w:w="9960"/>
          </w:cols>
          <w:pgMar w:left="960" w:top="801" w:right="960" w:bottom="0" w:gutter="0" w:footer="0" w:header="0"/>
          <w:type w:val="continuous"/>
        </w:sectPr>
      </w:pPr>
    </w:p>
    <w:bookmarkStart w:id="107" w:name="page108"/>
    <w:bookmarkEnd w:id="107"/>
    <w:p>
      <w:pPr>
        <w:jc w:val="both"/>
        <w:ind w:left="1300" w:right="160" w:hanging="791"/>
        <w:spacing w:after="0" w:line="234" w:lineRule="auto"/>
        <w:tabs>
          <w:tab w:leader="none" w:pos="1280" w:val="left"/>
        </w:tabs>
        <w:rPr>
          <w:sz w:val="20"/>
          <w:szCs w:val="20"/>
          <w:color w:val="auto"/>
        </w:rPr>
      </w:pPr>
      <w:r>
        <w:rPr>
          <w:rFonts w:ascii="Times New Roman" w:cs="Times New Roman" w:eastAsia="Times New Roman" w:hAnsi="Times New Roman"/>
          <w:sz w:val="19"/>
          <w:szCs w:val="19"/>
          <w:color w:val="231F20"/>
        </w:rPr>
        <w:t>10.4</w:t>
      </w:r>
      <w:r>
        <w:rPr>
          <w:sz w:val="20"/>
          <w:szCs w:val="20"/>
          <w:color w:val="auto"/>
        </w:rPr>
        <w:tab/>
      </w:r>
      <w:r>
        <w:rPr>
          <w:rFonts w:ascii="Times New Roman" w:cs="Times New Roman" w:eastAsia="Times New Roman" w:hAnsi="Times New Roman"/>
          <w:sz w:val="19"/>
          <w:szCs w:val="19"/>
          <w:color w:val="231F20"/>
        </w:rPr>
        <w:t>Form of STERIS plc Nonqualified Stock Option Agreement for Employees (filed as Exhibit 10.2 to STERIS plc Form 10-Q for the fiscal quarter ended December 31, 2015 (Commission File No. 001-37614) and incorporated herein by reference).*</w:t>
      </w:r>
    </w:p>
    <w:p>
      <w:pPr>
        <w:spacing w:after="0" w:line="89" w:lineRule="exact"/>
        <w:rPr>
          <w:sz w:val="20"/>
          <w:szCs w:val="20"/>
          <w:color w:val="auto"/>
        </w:rPr>
      </w:pPr>
    </w:p>
    <w:p>
      <w:pPr>
        <w:ind w:left="1300" w:right="180" w:hanging="791"/>
        <w:spacing w:after="0" w:line="234" w:lineRule="auto"/>
        <w:tabs>
          <w:tab w:leader="none" w:pos="1280" w:val="left"/>
        </w:tabs>
        <w:rPr>
          <w:sz w:val="20"/>
          <w:szCs w:val="20"/>
          <w:color w:val="auto"/>
        </w:rPr>
      </w:pPr>
      <w:r>
        <w:rPr>
          <w:rFonts w:ascii="Times New Roman" w:cs="Times New Roman" w:eastAsia="Times New Roman" w:hAnsi="Times New Roman"/>
          <w:sz w:val="19"/>
          <w:szCs w:val="19"/>
          <w:color w:val="231F20"/>
        </w:rPr>
        <w:t>10.5</w:t>
      </w:r>
      <w:r>
        <w:rPr>
          <w:sz w:val="20"/>
          <w:szCs w:val="20"/>
          <w:color w:val="auto"/>
        </w:rPr>
        <w:tab/>
      </w:r>
      <w:r>
        <w:rPr>
          <w:rFonts w:ascii="Times New Roman" w:cs="Times New Roman" w:eastAsia="Times New Roman" w:hAnsi="Times New Roman"/>
          <w:sz w:val="19"/>
          <w:szCs w:val="19"/>
          <w:color w:val="231F20"/>
        </w:rPr>
        <w:t>STERIS plc Form of Nonqualified Stock Option Agreement for Nonemployee Directors (filed as Exhibit 10.20 to STERIS plc Form 10-K for the year ended March 31, 2016 (Commission File No. 001-37614) and incorporated herein by reference).*</w:t>
      </w:r>
    </w:p>
    <w:p>
      <w:pPr>
        <w:spacing w:after="0" w:line="89" w:lineRule="exact"/>
        <w:rPr>
          <w:sz w:val="20"/>
          <w:szCs w:val="20"/>
          <w:color w:val="auto"/>
        </w:rPr>
      </w:pPr>
    </w:p>
    <w:p>
      <w:pPr>
        <w:ind w:left="1300" w:right="140" w:hanging="791"/>
        <w:spacing w:after="0" w:line="234" w:lineRule="auto"/>
        <w:tabs>
          <w:tab w:leader="none" w:pos="1280" w:val="left"/>
        </w:tabs>
        <w:rPr>
          <w:sz w:val="20"/>
          <w:szCs w:val="20"/>
          <w:color w:val="auto"/>
        </w:rPr>
      </w:pPr>
      <w:r>
        <w:rPr>
          <w:rFonts w:ascii="Times New Roman" w:cs="Times New Roman" w:eastAsia="Times New Roman" w:hAnsi="Times New Roman"/>
          <w:sz w:val="19"/>
          <w:szCs w:val="19"/>
          <w:color w:val="231F20"/>
        </w:rPr>
        <w:t>10.6</w:t>
      </w:r>
      <w:r>
        <w:rPr>
          <w:sz w:val="20"/>
          <w:szCs w:val="20"/>
          <w:color w:val="auto"/>
        </w:rPr>
        <w:tab/>
      </w:r>
      <w:r>
        <w:rPr>
          <w:rFonts w:ascii="Times New Roman" w:cs="Times New Roman" w:eastAsia="Times New Roman" w:hAnsi="Times New Roman"/>
          <w:sz w:val="19"/>
          <w:szCs w:val="19"/>
          <w:color w:val="231F20"/>
        </w:rPr>
        <w:t>Amendment to Nonqualified Stock Option Agreement (filed as Exhibit 10.4 to STERIS plc Form 10-Q for the fiscal quarter ended September 30, 2018 (Commission File No. 001-37614) and incorporated herein by reference).*</w:t>
      </w:r>
    </w:p>
    <w:p>
      <w:pPr>
        <w:spacing w:after="0" w:line="89" w:lineRule="exact"/>
        <w:rPr>
          <w:sz w:val="20"/>
          <w:szCs w:val="20"/>
          <w:color w:val="auto"/>
        </w:rPr>
      </w:pPr>
    </w:p>
    <w:p>
      <w:pPr>
        <w:jc w:val="both"/>
        <w:ind w:left="1300" w:right="140" w:hanging="791"/>
        <w:spacing w:after="0" w:line="234" w:lineRule="auto"/>
        <w:tabs>
          <w:tab w:leader="none" w:pos="1280" w:val="left"/>
        </w:tabs>
        <w:rPr>
          <w:sz w:val="20"/>
          <w:szCs w:val="20"/>
          <w:color w:val="auto"/>
        </w:rPr>
      </w:pPr>
      <w:r>
        <w:rPr>
          <w:rFonts w:ascii="Times New Roman" w:cs="Times New Roman" w:eastAsia="Times New Roman" w:hAnsi="Times New Roman"/>
          <w:sz w:val="19"/>
          <w:szCs w:val="19"/>
          <w:color w:val="231F20"/>
        </w:rPr>
        <w:t>10.7</w:t>
      </w:r>
      <w:r>
        <w:rPr>
          <w:sz w:val="20"/>
          <w:szCs w:val="20"/>
          <w:color w:val="auto"/>
        </w:rPr>
        <w:tab/>
      </w:r>
      <w:r>
        <w:rPr>
          <w:rFonts w:ascii="Times New Roman" w:cs="Times New Roman" w:eastAsia="Times New Roman" w:hAnsi="Times New Roman"/>
          <w:sz w:val="19"/>
          <w:szCs w:val="19"/>
          <w:color w:val="231F20"/>
        </w:rPr>
        <w:t>STERIS plc Form of Nonqualified Stock Option Agreement for Employees (filed as Exhibit 10.2 to STERIS plc Form 10-Q for the fiscal quarter ended September 30, 2018 (Commission File No. 001-37614) and incorporated herein by reference).*</w:t>
      </w:r>
    </w:p>
    <w:p>
      <w:pPr>
        <w:spacing w:after="0" w:line="89" w:lineRule="exact"/>
        <w:rPr>
          <w:sz w:val="20"/>
          <w:szCs w:val="20"/>
          <w:color w:val="auto"/>
        </w:rPr>
      </w:pPr>
    </w:p>
    <w:p>
      <w:pPr>
        <w:jc w:val="both"/>
        <w:ind w:left="1300" w:right="140" w:hanging="791"/>
        <w:spacing w:after="0" w:line="234" w:lineRule="auto"/>
        <w:tabs>
          <w:tab w:leader="none" w:pos="1280" w:val="left"/>
        </w:tabs>
        <w:rPr>
          <w:sz w:val="20"/>
          <w:szCs w:val="20"/>
          <w:color w:val="auto"/>
        </w:rPr>
      </w:pPr>
      <w:r>
        <w:rPr>
          <w:rFonts w:ascii="Times New Roman" w:cs="Times New Roman" w:eastAsia="Times New Roman" w:hAnsi="Times New Roman"/>
          <w:sz w:val="19"/>
          <w:szCs w:val="19"/>
          <w:color w:val="231F20"/>
        </w:rPr>
        <w:t>10.8</w:t>
      </w:r>
      <w:r>
        <w:rPr>
          <w:sz w:val="20"/>
          <w:szCs w:val="20"/>
          <w:color w:val="auto"/>
        </w:rPr>
        <w:tab/>
      </w:r>
      <w:r>
        <w:rPr>
          <w:rFonts w:ascii="Times New Roman" w:cs="Times New Roman" w:eastAsia="Times New Roman" w:hAnsi="Times New Roman"/>
          <w:sz w:val="19"/>
          <w:szCs w:val="19"/>
          <w:color w:val="231F20"/>
        </w:rPr>
        <w:t>Form of STERIS plc Nonqualified Stock Option Agreement for Employees (filed as Exhibit 10.3 to STERIS plc Form 10-Q for the fiscal quarter ended September 30, 2019 (Commission File No. 001-38848) and incorporated herein by reference).*</w:t>
      </w:r>
    </w:p>
    <w:p>
      <w:pPr>
        <w:spacing w:after="0" w:line="89" w:lineRule="exact"/>
        <w:rPr>
          <w:sz w:val="20"/>
          <w:szCs w:val="20"/>
          <w:color w:val="auto"/>
        </w:rPr>
      </w:pPr>
    </w:p>
    <w:p>
      <w:pPr>
        <w:jc w:val="both"/>
        <w:ind w:left="1300" w:right="160" w:hanging="791"/>
        <w:spacing w:after="0" w:line="234" w:lineRule="auto"/>
        <w:tabs>
          <w:tab w:leader="none" w:pos="1280" w:val="left"/>
        </w:tabs>
        <w:rPr>
          <w:sz w:val="20"/>
          <w:szCs w:val="20"/>
          <w:color w:val="auto"/>
        </w:rPr>
      </w:pPr>
      <w:r>
        <w:rPr>
          <w:rFonts w:ascii="Times New Roman" w:cs="Times New Roman" w:eastAsia="Times New Roman" w:hAnsi="Times New Roman"/>
          <w:sz w:val="19"/>
          <w:szCs w:val="19"/>
          <w:color w:val="231F20"/>
        </w:rPr>
        <w:t>10.9</w:t>
      </w:r>
      <w:r>
        <w:rPr>
          <w:sz w:val="20"/>
          <w:szCs w:val="20"/>
          <w:color w:val="auto"/>
        </w:rPr>
        <w:tab/>
      </w:r>
      <w:r>
        <w:rPr>
          <w:rFonts w:ascii="Times New Roman" w:cs="Times New Roman" w:eastAsia="Times New Roman" w:hAnsi="Times New Roman"/>
          <w:sz w:val="19"/>
          <w:szCs w:val="19"/>
          <w:color w:val="231F20"/>
        </w:rPr>
        <w:t>Form of STERIS plc Career Restricted Stock Unit Agreement for Nonemployee Directors (filed as Exhibit 10.21 to STERIS plc Form 10-K for the year ended March 31, 2016 (Commission File No. 001-37614) and incorporated herein by reference).*</w:t>
      </w:r>
    </w:p>
    <w:p>
      <w:pPr>
        <w:spacing w:after="0" w:line="89" w:lineRule="exact"/>
        <w:rPr>
          <w:sz w:val="20"/>
          <w:szCs w:val="20"/>
          <w:color w:val="auto"/>
        </w:rPr>
      </w:pPr>
    </w:p>
    <w:p>
      <w:pPr>
        <w:ind w:left="1300" w:right="680" w:hanging="840"/>
        <w:spacing w:after="0" w:line="225" w:lineRule="auto"/>
        <w:tabs>
          <w:tab w:leader="none" w:pos="1280" w:val="left"/>
        </w:tabs>
        <w:rPr>
          <w:sz w:val="20"/>
          <w:szCs w:val="20"/>
          <w:color w:val="auto"/>
        </w:rPr>
      </w:pPr>
      <w:r>
        <w:rPr>
          <w:rFonts w:ascii="Times New Roman" w:cs="Times New Roman" w:eastAsia="Times New Roman" w:hAnsi="Times New Roman"/>
          <w:sz w:val="19"/>
          <w:szCs w:val="19"/>
          <w:color w:val="231F20"/>
        </w:rPr>
        <w:t>10.10</w:t>
      </w:r>
      <w:r>
        <w:rPr>
          <w:sz w:val="20"/>
          <w:szCs w:val="20"/>
          <w:color w:val="auto"/>
        </w:rPr>
        <w:tab/>
      </w:r>
      <w:r>
        <w:rPr>
          <w:rFonts w:ascii="Times New Roman" w:cs="Times New Roman" w:eastAsia="Times New Roman" w:hAnsi="Times New Roman"/>
          <w:sz w:val="19"/>
          <w:szCs w:val="19"/>
          <w:color w:val="231F20"/>
        </w:rPr>
        <w:t>Form of STERIS plc Restricted Stock Agreement for Employees (filed as Exhibit 10.16 to STERIS plc Form 10-K for the fiscal year ended March 31, 2023 (Commission File No.</w:t>
      </w:r>
    </w:p>
    <w:p>
      <w:pPr>
        <w:ind w:left="1300"/>
        <w:spacing w:after="0"/>
        <w:rPr>
          <w:sz w:val="20"/>
          <w:szCs w:val="20"/>
          <w:color w:val="auto"/>
        </w:rPr>
      </w:pPr>
      <w:r>
        <w:rPr>
          <w:rFonts w:ascii="Times New Roman" w:cs="Times New Roman" w:eastAsia="Times New Roman" w:hAnsi="Times New Roman"/>
          <w:sz w:val="19"/>
          <w:szCs w:val="19"/>
          <w:color w:val="231F20"/>
        </w:rPr>
        <w:t>001-38848) and incorporated herein by reference).*</w:t>
      </w:r>
    </w:p>
    <w:p>
      <w:pPr>
        <w:spacing w:after="0" w:line="140" w:lineRule="exact"/>
        <w:rPr>
          <w:sz w:val="20"/>
          <w:szCs w:val="20"/>
          <w:color w:val="auto"/>
        </w:rPr>
      </w:pPr>
    </w:p>
    <w:p>
      <w:pPr>
        <w:ind w:left="460"/>
        <w:spacing w:after="0"/>
        <w:tabs>
          <w:tab w:leader="none" w:pos="1280" w:val="left"/>
        </w:tabs>
        <w:rPr>
          <w:sz w:val="20"/>
          <w:szCs w:val="20"/>
          <w:color w:val="auto"/>
        </w:rPr>
      </w:pPr>
      <w:r>
        <w:rPr>
          <w:rFonts w:ascii="Times New Roman" w:cs="Times New Roman" w:eastAsia="Times New Roman" w:hAnsi="Times New Roman"/>
          <w:sz w:val="19"/>
          <w:szCs w:val="19"/>
          <w:color w:val="231F20"/>
        </w:rPr>
        <w:t>10.11</w:t>
      </w:r>
      <w:r>
        <w:rPr>
          <w:sz w:val="20"/>
          <w:szCs w:val="20"/>
          <w:color w:val="auto"/>
        </w:rPr>
        <w:tab/>
      </w:r>
      <w:r>
        <w:rPr>
          <w:rFonts w:ascii="Times New Roman" w:cs="Times New Roman" w:eastAsia="Times New Roman" w:hAnsi="Times New Roman"/>
          <w:sz w:val="19"/>
          <w:szCs w:val="19"/>
          <w:color w:val="231F20"/>
        </w:rPr>
        <w:t>Form of STERIS plc Nonqualified Stock Option Agreement for Employees (filed as Exhibit</w:t>
      </w:r>
    </w:p>
    <w:p>
      <w:pPr>
        <w:ind w:left="1300"/>
        <w:spacing w:after="0" w:line="213" w:lineRule="auto"/>
        <w:rPr>
          <w:sz w:val="20"/>
          <w:szCs w:val="20"/>
          <w:color w:val="auto"/>
        </w:rPr>
      </w:pPr>
      <w:r>
        <w:rPr>
          <w:rFonts w:ascii="Times New Roman" w:cs="Times New Roman" w:eastAsia="Times New Roman" w:hAnsi="Times New Roman"/>
          <w:sz w:val="19"/>
          <w:szCs w:val="19"/>
          <w:color w:val="231F20"/>
        </w:rPr>
        <w:t>10.17 to STERIS plc Form 10-K for the fiscal year ended March 31, 2023 (Commission File No.</w:t>
      </w:r>
    </w:p>
    <w:p>
      <w:pPr>
        <w:ind w:left="1300"/>
        <w:spacing w:after="0"/>
        <w:rPr>
          <w:sz w:val="20"/>
          <w:szCs w:val="20"/>
          <w:color w:val="auto"/>
        </w:rPr>
      </w:pPr>
      <w:r>
        <w:rPr>
          <w:rFonts w:ascii="Times New Roman" w:cs="Times New Roman" w:eastAsia="Times New Roman" w:hAnsi="Times New Roman"/>
          <w:sz w:val="19"/>
          <w:szCs w:val="19"/>
          <w:color w:val="231F20"/>
        </w:rPr>
        <w:t>001-38848) and incorporated herein by reference).*</w:t>
      </w:r>
    </w:p>
    <w:p>
      <w:pPr>
        <w:spacing w:after="0" w:line="186" w:lineRule="exact"/>
        <w:rPr>
          <w:sz w:val="20"/>
          <w:szCs w:val="20"/>
          <w:color w:val="auto"/>
        </w:rPr>
      </w:pPr>
    </w:p>
    <w:p>
      <w:pPr>
        <w:jc w:val="both"/>
        <w:ind w:left="1300" w:right="420" w:hanging="840"/>
        <w:spacing w:after="0" w:line="234" w:lineRule="auto"/>
        <w:tabs>
          <w:tab w:leader="none" w:pos="1280" w:val="left"/>
        </w:tabs>
        <w:rPr>
          <w:sz w:val="20"/>
          <w:szCs w:val="20"/>
          <w:color w:val="auto"/>
        </w:rPr>
      </w:pPr>
      <w:r>
        <w:rPr>
          <w:rFonts w:ascii="Times New Roman" w:cs="Times New Roman" w:eastAsia="Times New Roman" w:hAnsi="Times New Roman"/>
          <w:sz w:val="19"/>
          <w:szCs w:val="19"/>
          <w:color w:val="231F20"/>
        </w:rPr>
        <w:t>10.12</w:t>
      </w:r>
      <w:r>
        <w:rPr>
          <w:sz w:val="20"/>
          <w:szCs w:val="20"/>
          <w:color w:val="auto"/>
        </w:rPr>
        <w:tab/>
      </w:r>
      <w:r>
        <w:rPr>
          <w:rFonts w:ascii="Times New Roman" w:cs="Times New Roman" w:eastAsia="Times New Roman" w:hAnsi="Times New Roman"/>
          <w:sz w:val="19"/>
          <w:szCs w:val="19"/>
          <w:color w:val="231F20"/>
        </w:rPr>
        <w:t>Description of STERIS plc Non-Employee Director Compensation Program (filed as Exhibit 10.1 to STERIS plc Form 10-Q for the fiscal quarter ended September 30, 2024 (Commission File No. 001-38848) and incorporated herein by reference).*</w:t>
      </w:r>
    </w:p>
    <w:p>
      <w:pPr>
        <w:spacing w:after="0" w:line="118" w:lineRule="exact"/>
        <w:rPr>
          <w:sz w:val="20"/>
          <w:szCs w:val="20"/>
          <w:color w:val="auto"/>
        </w:rPr>
      </w:pPr>
    </w:p>
    <w:p>
      <w:pPr>
        <w:ind w:left="1300" w:right="340" w:hanging="840"/>
        <w:spacing w:after="0" w:line="234" w:lineRule="auto"/>
        <w:tabs>
          <w:tab w:leader="none" w:pos="1280" w:val="left"/>
        </w:tabs>
        <w:rPr>
          <w:sz w:val="20"/>
          <w:szCs w:val="20"/>
          <w:color w:val="auto"/>
        </w:rPr>
      </w:pPr>
      <w:r>
        <w:rPr>
          <w:rFonts w:ascii="Times New Roman" w:cs="Times New Roman" w:eastAsia="Times New Roman" w:hAnsi="Times New Roman"/>
          <w:sz w:val="19"/>
          <w:szCs w:val="19"/>
          <w:color w:val="231F20"/>
        </w:rPr>
        <w:t>10.13</w:t>
      </w:r>
      <w:r>
        <w:rPr>
          <w:sz w:val="20"/>
          <w:szCs w:val="20"/>
          <w:color w:val="auto"/>
        </w:rPr>
        <w:tab/>
      </w:r>
      <w:r>
        <w:rPr>
          <w:rFonts w:ascii="Times New Roman" w:cs="Times New Roman" w:eastAsia="Times New Roman" w:hAnsi="Times New Roman"/>
          <w:sz w:val="19"/>
          <w:szCs w:val="19"/>
          <w:color w:val="231F20"/>
        </w:rPr>
        <w:t>STERIS Corporation Deferred Compensation Plan Document (As Amended and Restated Effective January 1, 2009) (filed as Exhibit 10.1 to Form 10-Q for the fiscal quarter ended December 31, 2008 (Commission File No. 001-14643) and incorporated herein by reference).*</w:t>
      </w:r>
    </w:p>
    <w:p>
      <w:pPr>
        <w:spacing w:after="0" w:line="89" w:lineRule="exact"/>
        <w:rPr>
          <w:sz w:val="20"/>
          <w:szCs w:val="20"/>
          <w:color w:val="auto"/>
        </w:rPr>
      </w:pPr>
    </w:p>
    <w:p>
      <w:pPr>
        <w:ind w:left="1300" w:right="340" w:hanging="840"/>
        <w:spacing w:after="0" w:line="229" w:lineRule="auto"/>
        <w:tabs>
          <w:tab w:leader="none" w:pos="1280" w:val="left"/>
        </w:tabs>
        <w:rPr>
          <w:sz w:val="20"/>
          <w:szCs w:val="20"/>
          <w:color w:val="auto"/>
        </w:rPr>
      </w:pPr>
      <w:r>
        <w:rPr>
          <w:rFonts w:ascii="Times New Roman" w:cs="Times New Roman" w:eastAsia="Times New Roman" w:hAnsi="Times New Roman"/>
          <w:sz w:val="19"/>
          <w:szCs w:val="19"/>
          <w:color w:val="231F20"/>
        </w:rPr>
        <w:t>10.14</w:t>
      </w:r>
      <w:r>
        <w:rPr>
          <w:sz w:val="20"/>
          <w:szCs w:val="20"/>
          <w:color w:val="auto"/>
        </w:rPr>
        <w:tab/>
      </w:r>
      <w:r>
        <w:rPr>
          <w:rFonts w:ascii="Times New Roman" w:cs="Times New Roman" w:eastAsia="Times New Roman" w:hAnsi="Times New Roman"/>
          <w:sz w:val="19"/>
          <w:szCs w:val="19"/>
          <w:color w:val="231F20"/>
        </w:rPr>
        <w:t>Amended and Restated Adoption Agreement related to STERIS Corporation Deferred Compensation Plan, dated December 16, 2008 (filed as Exhibit 10.2 to Form 10-Q filed for the fiscal quarter ended December 31, 2008 (Commission File No. 001-14643) and incorporated herein by reference).*</w:t>
      </w:r>
    </w:p>
    <w:p>
      <w:pPr>
        <w:spacing w:after="0" w:line="98" w:lineRule="exact"/>
        <w:rPr>
          <w:sz w:val="20"/>
          <w:szCs w:val="20"/>
          <w:color w:val="auto"/>
        </w:rPr>
      </w:pPr>
    </w:p>
    <w:p>
      <w:pPr>
        <w:ind w:left="1300" w:right="480" w:hanging="840"/>
        <w:spacing w:after="0" w:line="221" w:lineRule="auto"/>
        <w:tabs>
          <w:tab w:leader="none" w:pos="1280" w:val="left"/>
        </w:tabs>
        <w:rPr>
          <w:sz w:val="20"/>
          <w:szCs w:val="20"/>
          <w:color w:val="auto"/>
        </w:rPr>
      </w:pPr>
      <w:r>
        <w:rPr>
          <w:rFonts w:ascii="Times New Roman" w:cs="Times New Roman" w:eastAsia="Times New Roman" w:hAnsi="Times New Roman"/>
          <w:sz w:val="19"/>
          <w:szCs w:val="19"/>
          <w:color w:val="231F20"/>
        </w:rPr>
        <w:t>10.15</w:t>
      </w:r>
      <w:r>
        <w:rPr>
          <w:sz w:val="20"/>
          <w:szCs w:val="20"/>
          <w:color w:val="auto"/>
        </w:rPr>
        <w:tab/>
      </w:r>
      <w:r>
        <w:rPr>
          <w:rFonts w:ascii="Times New Roman" w:cs="Times New Roman" w:eastAsia="Times New Roman" w:hAnsi="Times New Roman"/>
          <w:sz w:val="19"/>
          <w:szCs w:val="19"/>
          <w:color w:val="231F20"/>
        </w:rPr>
        <w:t>Amendment No. 1 to STERIS Corporation Deferred Compensation Plan Document (As Amended and Restated Effective January 1, 2009), dated November 4, 2011 (filed as Exhibit 10.1 to Form 10-Q for the fiscal quarter ended December 31, 2011 (Commission File No.</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231F20"/>
        </w:rPr>
        <w:t>001-14643), and incorporated herein by reference).*</w:t>
      </w:r>
    </w:p>
    <w:p>
      <w:pPr>
        <w:spacing w:after="0" w:line="109" w:lineRule="exact"/>
        <w:rPr>
          <w:sz w:val="20"/>
          <w:szCs w:val="20"/>
          <w:color w:val="auto"/>
        </w:rPr>
      </w:pPr>
    </w:p>
    <w:p>
      <w:pPr>
        <w:jc w:val="both"/>
        <w:ind w:left="1300" w:right="400" w:hanging="840"/>
        <w:spacing w:after="0" w:line="234" w:lineRule="auto"/>
        <w:tabs>
          <w:tab w:leader="none" w:pos="1280" w:val="left"/>
        </w:tabs>
        <w:rPr>
          <w:sz w:val="20"/>
          <w:szCs w:val="20"/>
          <w:color w:val="auto"/>
        </w:rPr>
      </w:pPr>
      <w:r>
        <w:rPr>
          <w:rFonts w:ascii="Times New Roman" w:cs="Times New Roman" w:eastAsia="Times New Roman" w:hAnsi="Times New Roman"/>
          <w:sz w:val="19"/>
          <w:szCs w:val="19"/>
          <w:color w:val="231F20"/>
        </w:rPr>
        <w:t>10.16</w:t>
      </w:r>
      <w:r>
        <w:rPr>
          <w:sz w:val="20"/>
          <w:szCs w:val="20"/>
          <w:color w:val="auto"/>
        </w:rPr>
        <w:tab/>
      </w:r>
      <w:r>
        <w:rPr>
          <w:rFonts w:ascii="Times New Roman" w:cs="Times New Roman" w:eastAsia="Times New Roman" w:hAnsi="Times New Roman"/>
          <w:sz w:val="19"/>
          <w:szCs w:val="19"/>
          <w:color w:val="231F20"/>
        </w:rPr>
        <w:t>STERIS plc Senior Executive Severance Plan, As Adopted Effective March 28, 2019 (filed as Exhibit 10.3 to STERIS plc 8-K filed March 28, 2019 (Commission File No. 001-38848) and incorporated herein by reference).*</w:t>
      </w:r>
    </w:p>
    <w:p>
      <w:pPr>
        <w:spacing w:after="0" w:line="89" w:lineRule="exact"/>
        <w:rPr>
          <w:sz w:val="20"/>
          <w:szCs w:val="20"/>
          <w:color w:val="auto"/>
        </w:rPr>
      </w:pPr>
    </w:p>
    <w:p>
      <w:pPr>
        <w:ind w:left="1300" w:right="260" w:hanging="840"/>
        <w:spacing w:after="0" w:line="234" w:lineRule="auto"/>
        <w:tabs>
          <w:tab w:leader="none" w:pos="1280" w:val="left"/>
        </w:tabs>
        <w:rPr>
          <w:sz w:val="20"/>
          <w:szCs w:val="20"/>
          <w:color w:val="auto"/>
        </w:rPr>
      </w:pPr>
      <w:r>
        <w:rPr>
          <w:rFonts w:ascii="Times New Roman" w:cs="Times New Roman" w:eastAsia="Times New Roman" w:hAnsi="Times New Roman"/>
          <w:sz w:val="19"/>
          <w:szCs w:val="19"/>
          <w:color w:val="231F20"/>
        </w:rPr>
        <w:t>10.17</w:t>
      </w:r>
      <w:r>
        <w:rPr>
          <w:sz w:val="20"/>
          <w:szCs w:val="20"/>
          <w:color w:val="auto"/>
        </w:rPr>
        <w:tab/>
      </w:r>
      <w:r>
        <w:rPr>
          <w:rFonts w:ascii="Times New Roman" w:cs="Times New Roman" w:eastAsia="Times New Roman" w:hAnsi="Times New Roman"/>
          <w:sz w:val="19"/>
          <w:szCs w:val="19"/>
          <w:color w:val="231F20"/>
        </w:rPr>
        <w:t>Form of Indemnification Agreement between STERIS Corporation and each of its directors and certain executive officers (filed as Exhibit 10.3 to Form 10-Q for the fiscal quarter ended June 30, 2022 (Commission File No. 001-14643) and incorporated herein by reference). *</w:t>
      </w:r>
    </w:p>
    <w:p>
      <w:pPr>
        <w:spacing w:after="0" w:line="89" w:lineRule="exact"/>
        <w:rPr>
          <w:sz w:val="20"/>
          <w:szCs w:val="20"/>
          <w:color w:val="auto"/>
        </w:rPr>
      </w:pPr>
    </w:p>
    <w:p>
      <w:pPr>
        <w:ind w:left="1300" w:right="280" w:hanging="840"/>
        <w:spacing w:after="0" w:line="234" w:lineRule="auto"/>
        <w:tabs>
          <w:tab w:leader="none" w:pos="1280" w:val="left"/>
        </w:tabs>
        <w:rPr>
          <w:sz w:val="20"/>
          <w:szCs w:val="20"/>
          <w:color w:val="auto"/>
        </w:rPr>
      </w:pPr>
      <w:r>
        <w:rPr>
          <w:rFonts w:ascii="Times New Roman" w:cs="Times New Roman" w:eastAsia="Times New Roman" w:hAnsi="Times New Roman"/>
          <w:sz w:val="19"/>
          <w:szCs w:val="19"/>
          <w:color w:val="231F20"/>
        </w:rPr>
        <w:t>10.18</w:t>
      </w:r>
      <w:r>
        <w:rPr>
          <w:sz w:val="20"/>
          <w:szCs w:val="20"/>
          <w:color w:val="auto"/>
        </w:rPr>
        <w:tab/>
      </w:r>
      <w:r>
        <w:rPr>
          <w:rFonts w:ascii="Times New Roman" w:cs="Times New Roman" w:eastAsia="Times New Roman" w:hAnsi="Times New Roman"/>
          <w:sz w:val="19"/>
          <w:szCs w:val="19"/>
          <w:color w:val="231F20"/>
        </w:rPr>
        <w:t>Form of Deed of Indemnification for STERIS plc directors and executive officers (filed as Exhibit 10.1 to STERIS plc Form 10-Q for the fiscal quarter ended June 30, 2022 (Commission File No. 001-38848) and incorporated herein by reference). *</w:t>
      </w:r>
    </w:p>
    <w:p>
      <w:pPr>
        <w:spacing w:after="0" w:line="89" w:lineRule="exact"/>
        <w:rPr>
          <w:sz w:val="20"/>
          <w:szCs w:val="20"/>
          <w:color w:val="auto"/>
        </w:rPr>
      </w:pPr>
    </w:p>
    <w:p>
      <w:pPr>
        <w:ind w:left="1300" w:right="260" w:hanging="840"/>
        <w:spacing w:after="0" w:line="234" w:lineRule="auto"/>
        <w:tabs>
          <w:tab w:leader="none" w:pos="1280" w:val="left"/>
        </w:tabs>
        <w:rPr>
          <w:sz w:val="20"/>
          <w:szCs w:val="20"/>
          <w:color w:val="auto"/>
        </w:rPr>
      </w:pPr>
      <w:r>
        <w:rPr>
          <w:rFonts w:ascii="Times New Roman" w:cs="Times New Roman" w:eastAsia="Times New Roman" w:hAnsi="Times New Roman"/>
          <w:sz w:val="19"/>
          <w:szCs w:val="19"/>
          <w:color w:val="231F20"/>
        </w:rPr>
        <w:t>10.19</w:t>
      </w:r>
      <w:r>
        <w:rPr>
          <w:sz w:val="20"/>
          <w:szCs w:val="20"/>
          <w:color w:val="auto"/>
        </w:rPr>
        <w:tab/>
      </w:r>
      <w:r>
        <w:rPr>
          <w:rFonts w:ascii="Times New Roman" w:cs="Times New Roman" w:eastAsia="Times New Roman" w:hAnsi="Times New Roman"/>
          <w:sz w:val="19"/>
          <w:szCs w:val="19"/>
          <w:color w:val="231F20"/>
        </w:rPr>
        <w:t>Form of Deed of Indemnification for STERIS plc directors and executive officers (filed as Exhibit 10.2 to STERIS plc Form 10-Q for the fiscal quarter ended June 30, 2022)(Commission File No. 001-38848) and incorporated herein by reference).*</w:t>
      </w:r>
    </w:p>
    <w:p>
      <w:pPr>
        <w:spacing w:after="0" w:line="132" w:lineRule="exact"/>
        <w:rPr>
          <w:sz w:val="20"/>
          <w:szCs w:val="20"/>
          <w:color w:val="auto"/>
        </w:rPr>
      </w:pPr>
    </w:p>
    <w:p>
      <w:pPr>
        <w:ind w:left="1300" w:right="220" w:hanging="840"/>
        <w:spacing w:after="0" w:line="229" w:lineRule="auto"/>
        <w:tabs>
          <w:tab w:leader="none" w:pos="1280" w:val="left"/>
        </w:tabs>
        <w:rPr>
          <w:sz w:val="20"/>
          <w:szCs w:val="20"/>
          <w:color w:val="auto"/>
        </w:rPr>
      </w:pPr>
      <w:r>
        <w:rPr>
          <w:rFonts w:ascii="Times New Roman" w:cs="Times New Roman" w:eastAsia="Times New Roman" w:hAnsi="Times New Roman"/>
          <w:sz w:val="19"/>
          <w:szCs w:val="19"/>
          <w:color w:val="231F20"/>
        </w:rPr>
        <w:t>10.20</w:t>
      </w:r>
      <w:r>
        <w:rPr>
          <w:sz w:val="20"/>
          <w:szCs w:val="20"/>
          <w:color w:val="auto"/>
        </w:rPr>
        <w:tab/>
      </w:r>
      <w:r>
        <w:rPr>
          <w:rFonts w:ascii="Times New Roman" w:cs="Times New Roman" w:eastAsia="Times New Roman" w:hAnsi="Times New Roman"/>
          <w:sz w:val="19"/>
          <w:szCs w:val="19"/>
          <w:color w:val="231F20"/>
        </w:rPr>
        <w:t>First Amendment dated as of March 19, 2021 to Amended and Restated Note Purchase Agreement, dated as of March 5, 2019, among STERIS Corporation and each of the institutions signatory thereto (filed as Exhibit 10.4 to Form 8-K filed March 23, 2021 (Commission File No. 001-38848) and incorporated herein by reference).</w:t>
      </w:r>
    </w:p>
    <w:p>
      <w:pPr>
        <w:sectPr>
          <w:pgSz w:w="11880" w:h="15480" w:orient="portrait"/>
          <w:cols w:equalWidth="0" w:num="1">
            <w:col w:w="9000"/>
          </w:cols>
          <w:pgMar w:left="1440" w:top="87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107</w:t>
      </w:r>
    </w:p>
    <w:p>
      <w:pPr>
        <w:sectPr>
          <w:pgSz w:w="11880" w:h="15480" w:orient="portrait"/>
          <w:cols w:equalWidth="0" w:num="1">
            <w:col w:w="9000"/>
          </w:cols>
          <w:pgMar w:left="1440" w:top="876" w:right="1440" w:bottom="0" w:gutter="0" w:footer="0" w:header="0"/>
          <w:type w:val="continuous"/>
        </w:sectPr>
      </w:pPr>
    </w:p>
    <w:bookmarkStart w:id="108" w:name="page109"/>
    <w:bookmarkEnd w:id="108"/>
    <w:tbl>
      <w:tblPr>
        <w:tblLayout w:type="fixed"/>
        <w:tblInd w:w="320" w:type="dxa"/>
        <w:tblCellMar>
          <w:top w:w="0" w:type="dxa"/>
          <w:left w:w="0" w:type="dxa"/>
          <w:bottom w:w="0" w:type="dxa"/>
          <w:right w:w="0" w:type="dxa"/>
        </w:tblCellMar>
      </w:tblPr>
      <w:tr>
        <w:trPr>
          <w:trHeight w:val="218"/>
        </w:trPr>
        <w:tc>
          <w:tcPr>
            <w:tcW w:w="840" w:type="dxa"/>
            <w:vAlign w:val="bottom"/>
          </w:tcPr>
          <w:p>
            <w:pPr>
              <w:jc w:val="center"/>
              <w:ind w:right="23"/>
              <w:spacing w:after="0"/>
              <w:rPr>
                <w:sz w:val="20"/>
                <w:szCs w:val="20"/>
                <w:color w:val="auto"/>
              </w:rPr>
            </w:pPr>
            <w:r>
              <w:rPr>
                <w:rFonts w:ascii="Times New Roman" w:cs="Times New Roman" w:eastAsia="Times New Roman" w:hAnsi="Times New Roman"/>
                <w:sz w:val="19"/>
                <w:szCs w:val="19"/>
                <w:color w:val="231F20"/>
              </w:rPr>
              <w:t>10.21</w:t>
            </w: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First Amendment dated as of March 19, 2021 to Amended and Restated Note Purchase</w:t>
            </w:r>
          </w:p>
        </w:tc>
      </w:tr>
      <w:tr>
        <w:trPr>
          <w:trHeight w:val="194"/>
        </w:trPr>
        <w:tc>
          <w:tcPr>
            <w:tcW w:w="840" w:type="dxa"/>
            <w:vAlign w:val="bottom"/>
          </w:tcPr>
          <w:p>
            <w:pPr>
              <w:spacing w:after="0"/>
              <w:rPr>
                <w:sz w:val="16"/>
                <w:szCs w:val="16"/>
                <w:color w:val="auto"/>
              </w:rPr>
            </w:pPr>
          </w:p>
        </w:tc>
        <w:tc>
          <w:tcPr>
            <w:tcW w:w="7680" w:type="dxa"/>
            <w:vAlign w:val="bottom"/>
          </w:tcPr>
          <w:p>
            <w:pPr>
              <w:ind w:left="140"/>
              <w:spacing w:after="0" w:line="194" w:lineRule="exact"/>
              <w:rPr>
                <w:sz w:val="20"/>
                <w:szCs w:val="20"/>
                <w:color w:val="auto"/>
              </w:rPr>
            </w:pPr>
            <w:r>
              <w:rPr>
                <w:rFonts w:ascii="Times New Roman" w:cs="Times New Roman" w:eastAsia="Times New Roman" w:hAnsi="Times New Roman"/>
                <w:sz w:val="19"/>
                <w:szCs w:val="19"/>
                <w:color w:val="231F20"/>
              </w:rPr>
              <w:t>Agreement, dated as of March 5, 2019, among STERIS Corporation and each of the institutions</w:t>
            </w:r>
          </w:p>
        </w:tc>
      </w:tr>
      <w:tr>
        <w:trPr>
          <w:trHeight w:val="194"/>
        </w:trPr>
        <w:tc>
          <w:tcPr>
            <w:tcW w:w="840" w:type="dxa"/>
            <w:vAlign w:val="bottom"/>
          </w:tcPr>
          <w:p>
            <w:pPr>
              <w:spacing w:after="0"/>
              <w:rPr>
                <w:sz w:val="16"/>
                <w:szCs w:val="16"/>
                <w:color w:val="auto"/>
              </w:rPr>
            </w:pPr>
          </w:p>
        </w:tc>
        <w:tc>
          <w:tcPr>
            <w:tcW w:w="7680" w:type="dxa"/>
            <w:vAlign w:val="bottom"/>
          </w:tcPr>
          <w:p>
            <w:pPr>
              <w:ind w:left="140"/>
              <w:spacing w:after="0" w:line="194" w:lineRule="exact"/>
              <w:rPr>
                <w:sz w:val="20"/>
                <w:szCs w:val="20"/>
                <w:color w:val="auto"/>
              </w:rPr>
            </w:pPr>
            <w:r>
              <w:rPr>
                <w:rFonts w:ascii="Times New Roman" w:cs="Times New Roman" w:eastAsia="Times New Roman" w:hAnsi="Times New Roman"/>
                <w:sz w:val="19"/>
                <w:szCs w:val="19"/>
                <w:color w:val="231F20"/>
              </w:rPr>
              <w:t>signatory thereto (filed as Exhibit 10.5 to Form 8-K filed March 23, 2021 (Commission File No.</w:t>
            </w:r>
          </w:p>
        </w:tc>
      </w:tr>
      <w:tr>
        <w:trPr>
          <w:trHeight w:val="253"/>
        </w:trPr>
        <w:tc>
          <w:tcPr>
            <w:tcW w:w="840" w:type="dxa"/>
            <w:vAlign w:val="bottom"/>
          </w:tcPr>
          <w:p>
            <w:pPr>
              <w:spacing w:after="0"/>
              <w:rPr>
                <w:sz w:val="21"/>
                <w:szCs w:val="21"/>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001-38848) and incorporated herein by reference).</w:t>
            </w:r>
          </w:p>
        </w:tc>
      </w:tr>
      <w:tr>
        <w:trPr>
          <w:trHeight w:val="290"/>
        </w:trPr>
        <w:tc>
          <w:tcPr>
            <w:tcW w:w="840" w:type="dxa"/>
            <w:vAlign w:val="bottom"/>
          </w:tcPr>
          <w:p>
            <w:pPr>
              <w:jc w:val="center"/>
              <w:ind w:right="23"/>
              <w:spacing w:after="0"/>
              <w:rPr>
                <w:sz w:val="20"/>
                <w:szCs w:val="20"/>
                <w:color w:val="auto"/>
              </w:rPr>
            </w:pPr>
            <w:r>
              <w:rPr>
                <w:rFonts w:ascii="Times New Roman" w:cs="Times New Roman" w:eastAsia="Times New Roman" w:hAnsi="Times New Roman"/>
                <w:sz w:val="19"/>
                <w:szCs w:val="19"/>
                <w:color w:val="231F20"/>
              </w:rPr>
              <w:t>10.22</w:t>
            </w: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First Amendment dated as of March 19, 2021 to Amended and Restated Note Purchase</w:t>
            </w:r>
          </w:p>
        </w:tc>
      </w:tr>
      <w:tr>
        <w:trPr>
          <w:trHeight w:val="194"/>
        </w:trPr>
        <w:tc>
          <w:tcPr>
            <w:tcW w:w="840" w:type="dxa"/>
            <w:vAlign w:val="bottom"/>
          </w:tcPr>
          <w:p>
            <w:pPr>
              <w:spacing w:after="0"/>
              <w:rPr>
                <w:sz w:val="16"/>
                <w:szCs w:val="16"/>
                <w:color w:val="auto"/>
              </w:rPr>
            </w:pPr>
          </w:p>
        </w:tc>
        <w:tc>
          <w:tcPr>
            <w:tcW w:w="7680" w:type="dxa"/>
            <w:vAlign w:val="bottom"/>
          </w:tcPr>
          <w:p>
            <w:pPr>
              <w:ind w:left="140"/>
              <w:spacing w:after="0" w:line="194" w:lineRule="exact"/>
              <w:rPr>
                <w:sz w:val="20"/>
                <w:szCs w:val="20"/>
                <w:color w:val="auto"/>
              </w:rPr>
            </w:pPr>
            <w:r>
              <w:rPr>
                <w:rFonts w:ascii="Times New Roman" w:cs="Times New Roman" w:eastAsia="Times New Roman" w:hAnsi="Times New Roman"/>
                <w:sz w:val="19"/>
                <w:szCs w:val="19"/>
                <w:color w:val="231F20"/>
              </w:rPr>
              <w:t>Agreement, dated as of March 5, 2019, among STERIS Limited and each of the institutions</w:t>
            </w:r>
          </w:p>
        </w:tc>
      </w:tr>
      <w:tr>
        <w:trPr>
          <w:trHeight w:val="194"/>
        </w:trPr>
        <w:tc>
          <w:tcPr>
            <w:tcW w:w="840" w:type="dxa"/>
            <w:vAlign w:val="bottom"/>
          </w:tcPr>
          <w:p>
            <w:pPr>
              <w:spacing w:after="0"/>
              <w:rPr>
                <w:sz w:val="16"/>
                <w:szCs w:val="16"/>
                <w:color w:val="auto"/>
              </w:rPr>
            </w:pPr>
          </w:p>
        </w:tc>
        <w:tc>
          <w:tcPr>
            <w:tcW w:w="7680" w:type="dxa"/>
            <w:vAlign w:val="bottom"/>
          </w:tcPr>
          <w:p>
            <w:pPr>
              <w:ind w:left="140"/>
              <w:spacing w:after="0" w:line="194" w:lineRule="exact"/>
              <w:rPr>
                <w:sz w:val="20"/>
                <w:szCs w:val="20"/>
                <w:color w:val="auto"/>
              </w:rPr>
            </w:pPr>
            <w:r>
              <w:rPr>
                <w:rFonts w:ascii="Times New Roman" w:cs="Times New Roman" w:eastAsia="Times New Roman" w:hAnsi="Times New Roman"/>
                <w:sz w:val="19"/>
                <w:szCs w:val="19"/>
                <w:color w:val="231F20"/>
              </w:rPr>
              <w:t>signatory thereto (filed as Exhibit 10.6 to Form 8-K filed March 23, 2021 (Commission File No.</w:t>
            </w:r>
          </w:p>
        </w:tc>
      </w:tr>
      <w:tr>
        <w:trPr>
          <w:trHeight w:val="253"/>
        </w:trPr>
        <w:tc>
          <w:tcPr>
            <w:tcW w:w="840" w:type="dxa"/>
            <w:vAlign w:val="bottom"/>
          </w:tcPr>
          <w:p>
            <w:pPr>
              <w:spacing w:after="0"/>
              <w:rPr>
                <w:sz w:val="21"/>
                <w:szCs w:val="21"/>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001-38848) and incorporated herein by reference).</w:t>
            </w:r>
          </w:p>
        </w:tc>
      </w:tr>
      <w:tr>
        <w:trPr>
          <w:trHeight w:val="305"/>
        </w:trPr>
        <w:tc>
          <w:tcPr>
            <w:tcW w:w="840" w:type="dxa"/>
            <w:vAlign w:val="bottom"/>
          </w:tcPr>
          <w:p>
            <w:pPr>
              <w:jc w:val="center"/>
              <w:ind w:right="63"/>
              <w:spacing w:after="0"/>
              <w:rPr>
                <w:sz w:val="20"/>
                <w:szCs w:val="20"/>
                <w:color w:val="auto"/>
              </w:rPr>
            </w:pPr>
            <w:r>
              <w:rPr>
                <w:rFonts w:ascii="Times New Roman" w:cs="Times New Roman" w:eastAsia="Times New Roman" w:hAnsi="Times New Roman"/>
                <w:sz w:val="19"/>
                <w:szCs w:val="19"/>
                <w:color w:val="231F20"/>
              </w:rPr>
              <w:t>10.23</w:t>
            </w: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Credit Agreement, dated as of October 7, 2024, among STERIS plc, STERIS Limited, STERIS</w:t>
            </w:r>
          </w:p>
        </w:tc>
      </w:tr>
      <w:tr>
        <w:trPr>
          <w:trHeight w:val="194"/>
        </w:trPr>
        <w:tc>
          <w:tcPr>
            <w:tcW w:w="840" w:type="dxa"/>
            <w:vAlign w:val="bottom"/>
          </w:tcPr>
          <w:p>
            <w:pPr>
              <w:spacing w:after="0"/>
              <w:rPr>
                <w:sz w:val="16"/>
                <w:szCs w:val="16"/>
                <w:color w:val="auto"/>
              </w:rPr>
            </w:pPr>
          </w:p>
        </w:tc>
        <w:tc>
          <w:tcPr>
            <w:tcW w:w="7680" w:type="dxa"/>
            <w:vAlign w:val="bottom"/>
          </w:tcPr>
          <w:p>
            <w:pPr>
              <w:ind w:left="140"/>
              <w:spacing w:after="0" w:line="194" w:lineRule="exact"/>
              <w:rPr>
                <w:sz w:val="20"/>
                <w:szCs w:val="20"/>
                <w:color w:val="auto"/>
              </w:rPr>
            </w:pPr>
            <w:r>
              <w:rPr>
                <w:rFonts w:ascii="Times New Roman" w:cs="Times New Roman" w:eastAsia="Times New Roman" w:hAnsi="Times New Roman"/>
                <w:sz w:val="19"/>
                <w:szCs w:val="19"/>
                <w:color w:val="231F20"/>
              </w:rPr>
              <w:t>Corporation, STERIS Irish FinCo Unlimited Company, the lenders party thereto and JPMorgan</w:t>
            </w:r>
          </w:p>
        </w:tc>
      </w:tr>
      <w:tr>
        <w:trPr>
          <w:trHeight w:val="194"/>
        </w:trPr>
        <w:tc>
          <w:tcPr>
            <w:tcW w:w="840" w:type="dxa"/>
            <w:vAlign w:val="bottom"/>
          </w:tcPr>
          <w:p>
            <w:pPr>
              <w:spacing w:after="0"/>
              <w:rPr>
                <w:sz w:val="16"/>
                <w:szCs w:val="16"/>
                <w:color w:val="auto"/>
              </w:rPr>
            </w:pPr>
          </w:p>
        </w:tc>
        <w:tc>
          <w:tcPr>
            <w:tcW w:w="7680" w:type="dxa"/>
            <w:vAlign w:val="bottom"/>
          </w:tcPr>
          <w:p>
            <w:pPr>
              <w:ind w:left="140"/>
              <w:spacing w:after="0" w:line="194" w:lineRule="exact"/>
              <w:rPr>
                <w:sz w:val="20"/>
                <w:szCs w:val="20"/>
                <w:color w:val="auto"/>
              </w:rPr>
            </w:pPr>
            <w:r>
              <w:rPr>
                <w:rFonts w:ascii="Times New Roman" w:cs="Times New Roman" w:eastAsia="Times New Roman" w:hAnsi="Times New Roman"/>
                <w:sz w:val="19"/>
                <w:szCs w:val="19"/>
                <w:color w:val="231F20"/>
              </w:rPr>
              <w:t>Chase Bank, N.A., as administrative agent. (filed as Exhibit 10.1 to Form 8-K filed October 7,</w:t>
            </w:r>
          </w:p>
        </w:tc>
      </w:tr>
      <w:tr>
        <w:trPr>
          <w:trHeight w:val="253"/>
        </w:trPr>
        <w:tc>
          <w:tcPr>
            <w:tcW w:w="840" w:type="dxa"/>
            <w:vAlign w:val="bottom"/>
          </w:tcPr>
          <w:p>
            <w:pPr>
              <w:spacing w:after="0"/>
              <w:rPr>
                <w:sz w:val="21"/>
                <w:szCs w:val="21"/>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2024 (Commission File No. 001-38848) and incorporated herein by reference).</w:t>
            </w:r>
          </w:p>
        </w:tc>
      </w:tr>
      <w:tr>
        <w:trPr>
          <w:trHeight w:val="290"/>
        </w:trPr>
        <w:tc>
          <w:tcPr>
            <w:tcW w:w="840" w:type="dxa"/>
            <w:vAlign w:val="bottom"/>
          </w:tcPr>
          <w:p>
            <w:pPr>
              <w:jc w:val="center"/>
              <w:ind w:right="63"/>
              <w:spacing w:after="0"/>
              <w:rPr>
                <w:sz w:val="20"/>
                <w:szCs w:val="20"/>
                <w:color w:val="auto"/>
              </w:rPr>
            </w:pPr>
            <w:r>
              <w:rPr>
                <w:rFonts w:ascii="Times New Roman" w:cs="Times New Roman" w:eastAsia="Times New Roman" w:hAnsi="Times New Roman"/>
                <w:sz w:val="19"/>
                <w:szCs w:val="19"/>
                <w:color w:val="231F20"/>
              </w:rPr>
              <w:t>10.24</w:t>
            </w: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Transition Agreement effective August 18, 2025, by and among STERIS Corporation, STERIS</w:t>
            </w:r>
          </w:p>
        </w:tc>
      </w:tr>
      <w:tr>
        <w:trPr>
          <w:trHeight w:val="194"/>
        </w:trPr>
        <w:tc>
          <w:tcPr>
            <w:tcW w:w="840" w:type="dxa"/>
            <w:vAlign w:val="bottom"/>
          </w:tcPr>
          <w:p>
            <w:pPr>
              <w:spacing w:after="0"/>
              <w:rPr>
                <w:sz w:val="16"/>
                <w:szCs w:val="16"/>
                <w:color w:val="auto"/>
              </w:rPr>
            </w:pPr>
          </w:p>
        </w:tc>
        <w:tc>
          <w:tcPr>
            <w:tcW w:w="7680" w:type="dxa"/>
            <w:vAlign w:val="bottom"/>
          </w:tcPr>
          <w:p>
            <w:pPr>
              <w:ind w:left="140"/>
              <w:spacing w:after="0" w:line="194" w:lineRule="exact"/>
              <w:rPr>
                <w:sz w:val="20"/>
                <w:szCs w:val="20"/>
                <w:color w:val="auto"/>
              </w:rPr>
            </w:pPr>
            <w:r>
              <w:rPr>
                <w:rFonts w:ascii="Times New Roman" w:cs="Times New Roman" w:eastAsia="Times New Roman" w:hAnsi="Times New Roman"/>
                <w:sz w:val="19"/>
                <w:szCs w:val="19"/>
                <w:color w:val="231F20"/>
              </w:rPr>
              <w:t>plc and Michael J. Tokich (filed as Exhibit 10.1 to Form 10-Q filed November 6, 2025</w:t>
            </w:r>
          </w:p>
        </w:tc>
      </w:tr>
      <w:tr>
        <w:trPr>
          <w:trHeight w:val="253"/>
        </w:trPr>
        <w:tc>
          <w:tcPr>
            <w:tcW w:w="840" w:type="dxa"/>
            <w:vAlign w:val="bottom"/>
          </w:tcPr>
          <w:p>
            <w:pPr>
              <w:spacing w:after="0"/>
              <w:rPr>
                <w:sz w:val="21"/>
                <w:szCs w:val="21"/>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(Commission File No. 000-38848) and incorporated herein by reference).</w:t>
            </w:r>
          </w:p>
        </w:tc>
      </w:tr>
      <w:tr>
        <w:trPr>
          <w:trHeight w:val="266"/>
        </w:trPr>
        <w:tc>
          <w:tcPr>
            <w:tcW w:w="840" w:type="dxa"/>
            <w:vAlign w:val="bottom"/>
          </w:tcPr>
          <w:p>
            <w:pPr>
              <w:jc w:val="center"/>
              <w:ind w:right="63"/>
              <w:spacing w:after="0"/>
              <w:rPr>
                <w:sz w:val="20"/>
                <w:szCs w:val="20"/>
                <w:color w:val="auto"/>
              </w:rPr>
            </w:pPr>
            <w:r>
              <w:rPr>
                <w:rFonts w:ascii="Times New Roman" w:cs="Times New Roman" w:eastAsia="Times New Roman" w:hAnsi="Times New Roman"/>
                <w:sz w:val="19"/>
                <w:szCs w:val="19"/>
                <w:color w:val="231F20"/>
              </w:rPr>
              <w:t>10.25</w:t>
            </w: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Amendment to the Transition Agreement effective April 1, 2026, by and among STERIS</w:t>
            </w:r>
          </w:p>
        </w:tc>
      </w:tr>
      <w:tr>
        <w:trPr>
          <w:trHeight w:val="253"/>
        </w:trPr>
        <w:tc>
          <w:tcPr>
            <w:tcW w:w="840" w:type="dxa"/>
            <w:vAlign w:val="bottom"/>
          </w:tcPr>
          <w:p>
            <w:pPr>
              <w:spacing w:after="0"/>
              <w:rPr>
                <w:sz w:val="21"/>
                <w:szCs w:val="21"/>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Corporation, STERIS plc and Michael J. Tokich.*</w:t>
            </w:r>
          </w:p>
        </w:tc>
      </w:tr>
      <w:tr>
        <w:trPr>
          <w:trHeight w:val="460"/>
        </w:trPr>
        <w:tc>
          <w:tcPr>
            <w:tcW w:w="840" w:type="dxa"/>
            <w:vAlign w:val="bottom"/>
          </w:tcPr>
          <w:p>
            <w:pPr>
              <w:jc w:val="center"/>
              <w:ind w:right="43"/>
              <w:spacing w:after="0"/>
              <w:rPr>
                <w:sz w:val="20"/>
                <w:szCs w:val="20"/>
                <w:color w:val="auto"/>
              </w:rPr>
            </w:pPr>
            <w:r>
              <w:rPr>
                <w:rFonts w:ascii="Times New Roman" w:cs="Times New Roman" w:eastAsia="Times New Roman" w:hAnsi="Times New Roman"/>
                <w:sz w:val="19"/>
                <w:szCs w:val="19"/>
                <w:color w:val="231F20"/>
              </w:rPr>
              <w:t>19.1</w:t>
            </w: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STERIS plc Insider Trading Policy (filed as Exhibit 19.1 to STERIS plc Form 10-K for the year</w:t>
            </w:r>
          </w:p>
        </w:tc>
      </w:tr>
      <w:tr>
        <w:trPr>
          <w:trHeight w:val="194"/>
        </w:trPr>
        <w:tc>
          <w:tcPr>
            <w:tcW w:w="840" w:type="dxa"/>
            <w:vAlign w:val="bottom"/>
          </w:tcPr>
          <w:p>
            <w:pPr>
              <w:spacing w:after="0"/>
              <w:rPr>
                <w:sz w:val="16"/>
                <w:szCs w:val="16"/>
                <w:color w:val="auto"/>
              </w:rPr>
            </w:pPr>
          </w:p>
        </w:tc>
        <w:tc>
          <w:tcPr>
            <w:tcW w:w="7680" w:type="dxa"/>
            <w:vAlign w:val="bottom"/>
          </w:tcPr>
          <w:p>
            <w:pPr>
              <w:ind w:left="140"/>
              <w:spacing w:after="0" w:line="194" w:lineRule="exact"/>
              <w:rPr>
                <w:sz w:val="20"/>
                <w:szCs w:val="20"/>
                <w:color w:val="auto"/>
              </w:rPr>
            </w:pPr>
            <w:r>
              <w:rPr>
                <w:rFonts w:ascii="Times New Roman" w:cs="Times New Roman" w:eastAsia="Times New Roman" w:hAnsi="Times New Roman"/>
                <w:sz w:val="19"/>
                <w:szCs w:val="19"/>
                <w:color w:val="231F20"/>
              </w:rPr>
              <w:t>ended March 31, 2024 filed May 29, 2024 (Commission File No. 001-38848) and incorporated</w:t>
            </w:r>
          </w:p>
        </w:tc>
      </w:tr>
      <w:tr>
        <w:trPr>
          <w:trHeight w:val="253"/>
        </w:trPr>
        <w:tc>
          <w:tcPr>
            <w:tcW w:w="840" w:type="dxa"/>
            <w:vAlign w:val="bottom"/>
          </w:tcPr>
          <w:p>
            <w:pPr>
              <w:spacing w:after="0"/>
              <w:rPr>
                <w:sz w:val="21"/>
                <w:szCs w:val="21"/>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herein by reference).</w:t>
            </w:r>
          </w:p>
        </w:tc>
      </w:tr>
      <w:tr>
        <w:trPr>
          <w:trHeight w:val="339"/>
        </w:trPr>
        <w:tc>
          <w:tcPr>
            <w:tcW w:w="840" w:type="dxa"/>
            <w:vAlign w:val="bottom"/>
          </w:tcPr>
          <w:p>
            <w:pPr>
              <w:jc w:val="center"/>
              <w:ind w:right="43"/>
              <w:spacing w:after="0"/>
              <w:rPr>
                <w:sz w:val="20"/>
                <w:szCs w:val="20"/>
                <w:color w:val="auto"/>
              </w:rPr>
            </w:pPr>
            <w:r>
              <w:rPr>
                <w:rFonts w:ascii="Times New Roman" w:cs="Times New Roman" w:eastAsia="Times New Roman" w:hAnsi="Times New Roman"/>
                <w:sz w:val="19"/>
                <w:szCs w:val="19"/>
                <w:color w:val="231F20"/>
              </w:rPr>
              <w:t>21.1</w:t>
            </w: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Subsidiaries of STERIS plc.</w:t>
            </w:r>
          </w:p>
        </w:tc>
      </w:tr>
      <w:tr>
        <w:trPr>
          <w:trHeight w:val="306"/>
        </w:trPr>
        <w:tc>
          <w:tcPr>
            <w:tcW w:w="840" w:type="dxa"/>
            <w:vAlign w:val="bottom"/>
          </w:tcPr>
          <w:p>
            <w:pPr>
              <w:jc w:val="center"/>
              <w:ind w:right="43"/>
              <w:spacing w:after="0"/>
              <w:rPr>
                <w:sz w:val="20"/>
                <w:szCs w:val="20"/>
                <w:color w:val="auto"/>
              </w:rPr>
            </w:pPr>
            <w:r>
              <w:rPr>
                <w:rFonts w:ascii="Times New Roman" w:cs="Times New Roman" w:eastAsia="Times New Roman" w:hAnsi="Times New Roman"/>
                <w:sz w:val="19"/>
                <w:szCs w:val="19"/>
                <w:color w:val="231F20"/>
              </w:rPr>
              <w:t>22.1</w:t>
            </w: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List of Guarantor Subsidiaries with respect to the 2.700% Notes due 2031 and 3.750% Notes due</w:t>
            </w:r>
          </w:p>
        </w:tc>
      </w:tr>
      <w:tr>
        <w:trPr>
          <w:trHeight w:val="194"/>
        </w:trPr>
        <w:tc>
          <w:tcPr>
            <w:tcW w:w="840" w:type="dxa"/>
            <w:vAlign w:val="bottom"/>
          </w:tcPr>
          <w:p>
            <w:pPr>
              <w:spacing w:after="0"/>
              <w:rPr>
                <w:sz w:val="16"/>
                <w:szCs w:val="16"/>
                <w:color w:val="auto"/>
              </w:rPr>
            </w:pPr>
          </w:p>
        </w:tc>
        <w:tc>
          <w:tcPr>
            <w:tcW w:w="7680" w:type="dxa"/>
            <w:vAlign w:val="bottom"/>
          </w:tcPr>
          <w:p>
            <w:pPr>
              <w:ind w:left="140"/>
              <w:spacing w:after="0" w:line="194" w:lineRule="exact"/>
              <w:rPr>
                <w:sz w:val="20"/>
                <w:szCs w:val="20"/>
                <w:color w:val="auto"/>
              </w:rPr>
            </w:pPr>
            <w:r>
              <w:rPr>
                <w:rFonts w:ascii="Times New Roman" w:cs="Times New Roman" w:eastAsia="Times New Roman" w:hAnsi="Times New Roman"/>
                <w:sz w:val="19"/>
                <w:szCs w:val="19"/>
                <w:color w:val="231F20"/>
              </w:rPr>
              <w:t>2051 issued by STERIS Irish FinCo Unlimited Company (filed as Exhibit 22.1 to Form 10-K for</w:t>
            </w:r>
          </w:p>
        </w:tc>
      </w:tr>
      <w:tr>
        <w:trPr>
          <w:trHeight w:val="194"/>
        </w:trPr>
        <w:tc>
          <w:tcPr>
            <w:tcW w:w="840" w:type="dxa"/>
            <w:vAlign w:val="bottom"/>
          </w:tcPr>
          <w:p>
            <w:pPr>
              <w:spacing w:after="0"/>
              <w:rPr>
                <w:sz w:val="16"/>
                <w:szCs w:val="16"/>
                <w:color w:val="auto"/>
              </w:rPr>
            </w:pPr>
          </w:p>
        </w:tc>
        <w:tc>
          <w:tcPr>
            <w:tcW w:w="7680" w:type="dxa"/>
            <w:vAlign w:val="bottom"/>
          </w:tcPr>
          <w:p>
            <w:pPr>
              <w:ind w:left="140"/>
              <w:spacing w:after="0" w:line="194" w:lineRule="exact"/>
              <w:rPr>
                <w:sz w:val="20"/>
                <w:szCs w:val="20"/>
                <w:color w:val="auto"/>
              </w:rPr>
            </w:pPr>
            <w:r>
              <w:rPr>
                <w:rFonts w:ascii="Times New Roman" w:cs="Times New Roman" w:eastAsia="Times New Roman" w:hAnsi="Times New Roman"/>
                <w:sz w:val="19"/>
                <w:szCs w:val="19"/>
                <w:color w:val="231F20"/>
              </w:rPr>
              <w:t>the fiscal year ended March 31, 2021 (Commission File No. 001-38848), and incorporated by</w:t>
            </w:r>
          </w:p>
        </w:tc>
      </w:tr>
      <w:tr>
        <w:trPr>
          <w:trHeight w:val="253"/>
        </w:trPr>
        <w:tc>
          <w:tcPr>
            <w:tcW w:w="840" w:type="dxa"/>
            <w:vAlign w:val="bottom"/>
          </w:tcPr>
          <w:p>
            <w:pPr>
              <w:spacing w:after="0"/>
              <w:rPr>
                <w:sz w:val="21"/>
                <w:szCs w:val="21"/>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reference).</w:t>
            </w:r>
          </w:p>
        </w:tc>
      </w:tr>
      <w:tr>
        <w:trPr>
          <w:trHeight w:val="450"/>
        </w:trPr>
        <w:tc>
          <w:tcPr>
            <w:tcW w:w="840" w:type="dxa"/>
            <w:vAlign w:val="bottom"/>
          </w:tcPr>
          <w:p>
            <w:pPr>
              <w:jc w:val="center"/>
              <w:ind w:right="43"/>
              <w:spacing w:after="0"/>
              <w:rPr>
                <w:sz w:val="20"/>
                <w:szCs w:val="20"/>
                <w:color w:val="auto"/>
              </w:rPr>
            </w:pPr>
            <w:r>
              <w:rPr>
                <w:rFonts w:ascii="Times New Roman" w:cs="Times New Roman" w:eastAsia="Times New Roman" w:hAnsi="Times New Roman"/>
                <w:sz w:val="19"/>
                <w:szCs w:val="19"/>
                <w:color w:val="231F20"/>
              </w:rPr>
              <w:t>23.1</w:t>
            </w: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Consent of Independent Registered Public Accounting Firm.</w:t>
            </w:r>
          </w:p>
        </w:tc>
      </w:tr>
      <w:tr>
        <w:trPr>
          <w:trHeight w:val="364"/>
        </w:trPr>
        <w:tc>
          <w:tcPr>
            <w:tcW w:w="840" w:type="dxa"/>
            <w:vAlign w:val="bottom"/>
          </w:tcPr>
          <w:p>
            <w:pPr>
              <w:jc w:val="center"/>
              <w:ind w:right="43"/>
              <w:spacing w:after="0"/>
              <w:rPr>
                <w:sz w:val="20"/>
                <w:szCs w:val="20"/>
                <w:color w:val="auto"/>
              </w:rPr>
            </w:pPr>
            <w:r>
              <w:rPr>
                <w:rFonts w:ascii="Times New Roman" w:cs="Times New Roman" w:eastAsia="Times New Roman" w:hAnsi="Times New Roman"/>
                <w:sz w:val="19"/>
                <w:szCs w:val="19"/>
                <w:color w:val="231F20"/>
              </w:rPr>
              <w:t>24.1</w:t>
            </w: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Power of Attorney</w:t>
            </w:r>
          </w:p>
        </w:tc>
      </w:tr>
      <w:tr>
        <w:trPr>
          <w:trHeight w:val="306"/>
        </w:trPr>
        <w:tc>
          <w:tcPr>
            <w:tcW w:w="840" w:type="dxa"/>
            <w:vAlign w:val="bottom"/>
          </w:tcPr>
          <w:p>
            <w:pPr>
              <w:jc w:val="center"/>
              <w:ind w:right="43"/>
              <w:spacing w:after="0"/>
              <w:rPr>
                <w:sz w:val="20"/>
                <w:szCs w:val="20"/>
                <w:color w:val="auto"/>
              </w:rPr>
            </w:pPr>
            <w:r>
              <w:rPr>
                <w:rFonts w:ascii="Times New Roman" w:cs="Times New Roman" w:eastAsia="Times New Roman" w:hAnsi="Times New Roman"/>
                <w:sz w:val="19"/>
                <w:szCs w:val="19"/>
                <w:color w:val="231F20"/>
              </w:rPr>
              <w:t>31.1</w:t>
            </w: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Certification of the Principal Executive Officer Pursuant to Exchange Act Rule</w:t>
            </w:r>
          </w:p>
        </w:tc>
      </w:tr>
      <w:tr>
        <w:trPr>
          <w:trHeight w:val="253"/>
        </w:trPr>
        <w:tc>
          <w:tcPr>
            <w:tcW w:w="840" w:type="dxa"/>
            <w:vAlign w:val="bottom"/>
          </w:tcPr>
          <w:p>
            <w:pPr>
              <w:spacing w:after="0"/>
              <w:rPr>
                <w:sz w:val="21"/>
                <w:szCs w:val="21"/>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13a-14(a)/15d-14(a).</w:t>
            </w:r>
          </w:p>
        </w:tc>
      </w:tr>
      <w:tr>
        <w:trPr>
          <w:trHeight w:val="300"/>
        </w:trPr>
        <w:tc>
          <w:tcPr>
            <w:tcW w:w="840" w:type="dxa"/>
            <w:vAlign w:val="bottom"/>
          </w:tcPr>
          <w:p>
            <w:pPr>
              <w:jc w:val="center"/>
              <w:ind w:right="43"/>
              <w:spacing w:after="0"/>
              <w:rPr>
                <w:sz w:val="20"/>
                <w:szCs w:val="20"/>
                <w:color w:val="auto"/>
              </w:rPr>
            </w:pPr>
            <w:r>
              <w:rPr>
                <w:rFonts w:ascii="Times New Roman" w:cs="Times New Roman" w:eastAsia="Times New Roman" w:hAnsi="Times New Roman"/>
                <w:sz w:val="19"/>
                <w:szCs w:val="19"/>
                <w:color w:val="231F20"/>
              </w:rPr>
              <w:t>31.2</w:t>
            </w: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Certification of the Principal Financial Officer Pursuant to Exchange Act Rule</w:t>
            </w:r>
          </w:p>
        </w:tc>
      </w:tr>
      <w:tr>
        <w:trPr>
          <w:trHeight w:val="253"/>
        </w:trPr>
        <w:tc>
          <w:tcPr>
            <w:tcW w:w="840" w:type="dxa"/>
            <w:vAlign w:val="bottom"/>
          </w:tcPr>
          <w:p>
            <w:pPr>
              <w:spacing w:after="0"/>
              <w:rPr>
                <w:sz w:val="21"/>
                <w:szCs w:val="21"/>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13a-14(a)/15d-14(a).</w:t>
            </w:r>
          </w:p>
        </w:tc>
      </w:tr>
      <w:tr>
        <w:trPr>
          <w:trHeight w:val="300"/>
        </w:trPr>
        <w:tc>
          <w:tcPr>
            <w:tcW w:w="840" w:type="dxa"/>
            <w:vAlign w:val="bottom"/>
          </w:tcPr>
          <w:p>
            <w:pPr>
              <w:jc w:val="center"/>
              <w:ind w:right="43"/>
              <w:spacing w:after="0"/>
              <w:rPr>
                <w:sz w:val="20"/>
                <w:szCs w:val="20"/>
                <w:color w:val="auto"/>
              </w:rPr>
            </w:pPr>
            <w:r>
              <w:rPr>
                <w:rFonts w:ascii="Times New Roman" w:cs="Times New Roman" w:eastAsia="Times New Roman" w:hAnsi="Times New Roman"/>
                <w:sz w:val="19"/>
                <w:szCs w:val="19"/>
                <w:color w:val="231F20"/>
              </w:rPr>
              <w:t>32.1</w:t>
            </w: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Certification of the Principal Executive Officer and the Principal Financial Officer Pursuant to</w:t>
            </w:r>
          </w:p>
        </w:tc>
      </w:tr>
      <w:tr>
        <w:trPr>
          <w:trHeight w:val="253"/>
        </w:trPr>
        <w:tc>
          <w:tcPr>
            <w:tcW w:w="840" w:type="dxa"/>
            <w:vAlign w:val="bottom"/>
          </w:tcPr>
          <w:p>
            <w:pPr>
              <w:spacing w:after="0"/>
              <w:rPr>
                <w:sz w:val="21"/>
                <w:szCs w:val="21"/>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Section 906 of the Sarbanes-Oxley Act of 2002.</w:t>
            </w:r>
          </w:p>
        </w:tc>
      </w:tr>
      <w:tr>
        <w:trPr>
          <w:trHeight w:val="329"/>
        </w:trPr>
        <w:tc>
          <w:tcPr>
            <w:tcW w:w="840" w:type="dxa"/>
            <w:vAlign w:val="bottom"/>
          </w:tcPr>
          <w:p>
            <w:pPr>
              <w:jc w:val="center"/>
              <w:ind w:right="43"/>
              <w:spacing w:after="0"/>
              <w:rPr>
                <w:sz w:val="20"/>
                <w:szCs w:val="20"/>
                <w:color w:val="auto"/>
              </w:rPr>
            </w:pPr>
            <w:r>
              <w:rPr>
                <w:rFonts w:ascii="Times New Roman" w:cs="Times New Roman" w:eastAsia="Times New Roman" w:hAnsi="Times New Roman"/>
                <w:sz w:val="19"/>
                <w:szCs w:val="19"/>
                <w:color w:val="231F20"/>
              </w:rPr>
              <w:t>97.1</w:t>
            </w: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STERIS plc Policy relating to recovery of erroneously awarded compensation. filed as Exhibit</w:t>
            </w:r>
          </w:p>
        </w:tc>
      </w:tr>
      <w:tr>
        <w:trPr>
          <w:trHeight w:val="194"/>
        </w:trPr>
        <w:tc>
          <w:tcPr>
            <w:tcW w:w="840" w:type="dxa"/>
            <w:vAlign w:val="bottom"/>
          </w:tcPr>
          <w:p>
            <w:pPr>
              <w:spacing w:after="0"/>
              <w:rPr>
                <w:sz w:val="16"/>
                <w:szCs w:val="16"/>
                <w:color w:val="auto"/>
              </w:rPr>
            </w:pPr>
          </w:p>
        </w:tc>
        <w:tc>
          <w:tcPr>
            <w:tcW w:w="7680" w:type="dxa"/>
            <w:vAlign w:val="bottom"/>
          </w:tcPr>
          <w:p>
            <w:pPr>
              <w:ind w:left="140"/>
              <w:spacing w:after="0" w:line="194" w:lineRule="exact"/>
              <w:rPr>
                <w:sz w:val="20"/>
                <w:szCs w:val="20"/>
                <w:color w:val="auto"/>
              </w:rPr>
            </w:pPr>
            <w:r>
              <w:rPr>
                <w:rFonts w:ascii="Times New Roman" w:cs="Times New Roman" w:eastAsia="Times New Roman" w:hAnsi="Times New Roman"/>
                <w:sz w:val="19"/>
                <w:szCs w:val="19"/>
                <w:color w:val="231F20"/>
              </w:rPr>
              <w:t>97.1 to STERIS plc Form 10-K for the year ended March 31, 2024 filed May 29, 2024</w:t>
            </w:r>
          </w:p>
        </w:tc>
      </w:tr>
      <w:tr>
        <w:trPr>
          <w:trHeight w:val="253"/>
        </w:trPr>
        <w:tc>
          <w:tcPr>
            <w:tcW w:w="840" w:type="dxa"/>
            <w:vAlign w:val="bottom"/>
          </w:tcPr>
          <w:p>
            <w:pPr>
              <w:spacing w:after="0"/>
              <w:rPr>
                <w:sz w:val="21"/>
                <w:szCs w:val="21"/>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(Commission File No. 001-38848) and incorporated herein by reference).</w:t>
            </w:r>
          </w:p>
        </w:tc>
      </w:tr>
      <w:tr>
        <w:trPr>
          <w:trHeight w:val="339"/>
        </w:trPr>
        <w:tc>
          <w:tcPr>
            <w:tcW w:w="840" w:type="dxa"/>
            <w:vAlign w:val="bottom"/>
          </w:tcPr>
          <w:p>
            <w:pPr>
              <w:jc w:val="center"/>
              <w:ind w:right="23"/>
              <w:spacing w:after="0"/>
              <w:rPr>
                <w:sz w:val="20"/>
                <w:szCs w:val="20"/>
                <w:color w:val="auto"/>
              </w:rPr>
            </w:pPr>
            <w:r>
              <w:rPr>
                <w:rFonts w:ascii="Times New Roman" w:cs="Times New Roman" w:eastAsia="Times New Roman" w:hAnsi="Times New Roman"/>
                <w:sz w:val="19"/>
                <w:szCs w:val="19"/>
                <w:color w:val="231F20"/>
              </w:rPr>
              <w:t>101.SCH</w:t>
            </w: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Inline Schema Document.</w:t>
            </w:r>
          </w:p>
        </w:tc>
      </w:tr>
      <w:tr>
        <w:trPr>
          <w:trHeight w:val="364"/>
        </w:trPr>
        <w:tc>
          <w:tcPr>
            <w:tcW w:w="840" w:type="dxa"/>
            <w:vAlign w:val="bottom"/>
          </w:tcPr>
          <w:p>
            <w:pPr>
              <w:jc w:val="center"/>
              <w:ind w:right="23"/>
              <w:spacing w:after="0"/>
              <w:rPr>
                <w:sz w:val="20"/>
                <w:szCs w:val="20"/>
                <w:color w:val="auto"/>
              </w:rPr>
            </w:pPr>
            <w:r>
              <w:rPr>
                <w:rFonts w:ascii="Times New Roman" w:cs="Times New Roman" w:eastAsia="Times New Roman" w:hAnsi="Times New Roman"/>
                <w:sz w:val="19"/>
                <w:szCs w:val="19"/>
                <w:color w:val="231F20"/>
              </w:rPr>
              <w:t>101.CAL</w:t>
            </w: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Inline Calculation Linkbase Document.</w:t>
            </w:r>
          </w:p>
        </w:tc>
      </w:tr>
      <w:tr>
        <w:trPr>
          <w:trHeight w:val="378"/>
        </w:trPr>
        <w:tc>
          <w:tcPr>
            <w:tcW w:w="840" w:type="dxa"/>
            <w:vAlign w:val="bottom"/>
          </w:tcPr>
          <w:p>
            <w:pPr>
              <w:jc w:val="center"/>
              <w:ind w:right="43"/>
              <w:spacing w:after="0"/>
              <w:rPr>
                <w:sz w:val="20"/>
                <w:szCs w:val="20"/>
                <w:color w:val="auto"/>
              </w:rPr>
            </w:pPr>
            <w:r>
              <w:rPr>
                <w:rFonts w:ascii="Times New Roman" w:cs="Times New Roman" w:eastAsia="Times New Roman" w:hAnsi="Times New Roman"/>
                <w:sz w:val="19"/>
                <w:szCs w:val="19"/>
                <w:color w:val="231F20"/>
              </w:rPr>
              <w:t>101.DEF</w:t>
            </w: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Inline Definition Linkbase Document.</w:t>
            </w:r>
          </w:p>
        </w:tc>
      </w:tr>
      <w:tr>
        <w:trPr>
          <w:trHeight w:val="393"/>
        </w:trPr>
        <w:tc>
          <w:tcPr>
            <w:tcW w:w="840" w:type="dxa"/>
            <w:vAlign w:val="bottom"/>
          </w:tcPr>
          <w:p>
            <w:pPr>
              <w:jc w:val="center"/>
              <w:ind w:right="23"/>
              <w:spacing w:after="0"/>
              <w:rPr>
                <w:sz w:val="20"/>
                <w:szCs w:val="20"/>
                <w:color w:val="auto"/>
              </w:rPr>
            </w:pPr>
            <w:r>
              <w:rPr>
                <w:rFonts w:ascii="Times New Roman" w:cs="Times New Roman" w:eastAsia="Times New Roman" w:hAnsi="Times New Roman"/>
                <w:sz w:val="19"/>
                <w:szCs w:val="19"/>
                <w:color w:val="231F20"/>
              </w:rPr>
              <w:t>101.LAB</w:t>
            </w: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Inline Labels Linkbase Document.</w:t>
            </w:r>
          </w:p>
        </w:tc>
      </w:tr>
      <w:tr>
        <w:trPr>
          <w:trHeight w:val="364"/>
        </w:trPr>
        <w:tc>
          <w:tcPr>
            <w:tcW w:w="840" w:type="dxa"/>
            <w:vAlign w:val="bottom"/>
          </w:tcPr>
          <w:p>
            <w:pPr>
              <w:jc w:val="center"/>
              <w:ind w:right="43"/>
              <w:spacing w:after="0"/>
              <w:rPr>
                <w:sz w:val="20"/>
                <w:szCs w:val="20"/>
                <w:color w:val="auto"/>
              </w:rPr>
            </w:pPr>
            <w:r>
              <w:rPr>
                <w:rFonts w:ascii="Times New Roman" w:cs="Times New Roman" w:eastAsia="Times New Roman" w:hAnsi="Times New Roman"/>
                <w:sz w:val="19"/>
                <w:szCs w:val="19"/>
                <w:color w:val="231F20"/>
              </w:rPr>
              <w:t>101.PRE</w:t>
            </w: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Inline Presentation Linkbase Document.</w:t>
            </w:r>
          </w:p>
        </w:tc>
      </w:tr>
      <w:tr>
        <w:trPr>
          <w:trHeight w:val="378"/>
        </w:trPr>
        <w:tc>
          <w:tcPr>
            <w:tcW w:w="840" w:type="dxa"/>
            <w:vAlign w:val="bottom"/>
          </w:tcPr>
          <w:p>
            <w:pPr>
              <w:jc w:val="center"/>
              <w:ind w:right="23"/>
              <w:spacing w:after="0"/>
              <w:rPr>
                <w:sz w:val="20"/>
                <w:szCs w:val="20"/>
                <w:color w:val="auto"/>
              </w:rPr>
            </w:pPr>
            <w:r>
              <w:rPr>
                <w:rFonts w:ascii="Times New Roman" w:cs="Times New Roman" w:eastAsia="Times New Roman" w:hAnsi="Times New Roman"/>
                <w:sz w:val="19"/>
                <w:szCs w:val="19"/>
                <w:color w:val="231F20"/>
                <w:w w:val="98"/>
              </w:rPr>
              <w:t>104</w:t>
            </w:r>
          </w:p>
        </w:tc>
        <w:tc>
          <w:tcPr>
            <w:tcW w:w="768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Cover Page Interactive Data File (formatted as Inline XBRL and contained in Exhibits 101).</w:t>
            </w:r>
          </w:p>
        </w:tc>
      </w:tr>
    </w:tbl>
    <w:p>
      <w:pPr>
        <w:spacing w:after="0" w:line="155" w:lineRule="exact"/>
        <w:rPr>
          <w:sz w:val="20"/>
          <w:szCs w:val="20"/>
          <w:color w:val="auto"/>
        </w:rPr>
      </w:pPr>
    </w:p>
    <w:p>
      <w:pPr>
        <w:ind w:left="1300" w:right="340" w:hanging="672"/>
        <w:spacing w:after="0" w:line="250" w:lineRule="auto"/>
        <w:tabs>
          <w:tab w:leader="none" w:pos="1300" w:val="left"/>
        </w:tabs>
        <w:numPr>
          <w:ilvl w:val="0"/>
          <w:numId w:val="3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 management contract or compensatory plan or arrangement required to be filed as an exhibit hereto.</w:t>
      </w:r>
    </w:p>
    <w:p>
      <w:pPr>
        <w:sectPr>
          <w:pgSz w:w="11880" w:h="15480" w:orient="portrait"/>
          <w:cols w:equalWidth="0" w:num="1">
            <w:col w:w="9000"/>
          </w:cols>
          <w:pgMar w:left="1440" w:top="85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108</w:t>
      </w:r>
    </w:p>
    <w:p>
      <w:pPr>
        <w:sectPr>
          <w:pgSz w:w="11880" w:h="15480" w:orient="portrait"/>
          <w:cols w:equalWidth="0" w:num="1">
            <w:col w:w="9000"/>
          </w:cols>
          <w:pgMar w:left="1440" w:top="852" w:right="1440" w:bottom="0" w:gutter="0" w:footer="0" w:header="0"/>
          <w:type w:val="continuous"/>
        </w:sectPr>
      </w:pPr>
    </w:p>
    <w:bookmarkStart w:id="109" w:name="page110"/>
    <w:bookmarkEnd w:id="109"/>
    <w:p>
      <w:pPr>
        <w:spacing w:after="0"/>
        <w:tabs>
          <w:tab w:leader="none" w:pos="1380" w:val="left"/>
        </w:tabs>
        <w:rPr>
          <w:sz w:val="20"/>
          <w:szCs w:val="20"/>
          <w:color w:val="auto"/>
        </w:rPr>
      </w:pPr>
      <w:r>
        <w:rPr>
          <w:rFonts w:ascii="Times New Roman" w:cs="Times New Roman" w:eastAsia="Times New Roman" w:hAnsi="Times New Roman"/>
          <w:sz w:val="27"/>
          <w:szCs w:val="27"/>
          <w:color w:val="231F20"/>
        </w:rPr>
        <w:t>ITEM 16.</w:t>
        <w:tab/>
        <w:t>FORM 10-K SUMMARY</w:t>
      </w:r>
    </w:p>
    <w:p>
      <w:pPr>
        <w:sectPr>
          <w:pgSz w:w="11880" w:h="15480" w:orient="portrait"/>
          <w:cols w:equalWidth="0" w:num="1">
            <w:col w:w="9480"/>
          </w:cols>
          <w:pgMar w:left="960" w:top="801" w:right="1440" w:bottom="0" w:gutter="0" w:footer="0" w:header="0"/>
        </w:sectPr>
      </w:pP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231F20"/>
        </w:rPr>
        <w:t>Not Applicable.</w:t>
      </w:r>
    </w:p>
    <w:p>
      <w:pPr>
        <w:sectPr>
          <w:pgSz w:w="11880" w:h="15480" w:orient="portrait"/>
          <w:cols w:equalWidth="0" w:num="1">
            <w:col w:w="9480"/>
          </w:cols>
          <w:pgMar w:left="960" w:top="80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231F20"/>
        </w:rPr>
        <w:t>109</w:t>
      </w:r>
    </w:p>
    <w:p>
      <w:pPr>
        <w:sectPr>
          <w:pgSz w:w="11880" w:h="15480" w:orient="portrait"/>
          <w:cols w:equalWidth="0" w:num="1">
            <w:col w:w="9480"/>
          </w:cols>
          <w:pgMar w:left="960" w:top="801" w:right="1440" w:bottom="0" w:gutter="0" w:footer="0" w:header="0"/>
          <w:type w:val="continuous"/>
        </w:sectPr>
      </w:pPr>
    </w:p>
    <w:bookmarkStart w:id="110" w:name="page111"/>
    <w:bookmarkEnd w:id="110"/>
    <w:p>
      <w:pPr>
        <w:jc w:val="center"/>
        <w:ind w:right="-159"/>
        <w:spacing w:after="0"/>
        <w:rPr>
          <w:sz w:val="20"/>
          <w:szCs w:val="20"/>
          <w:color w:val="auto"/>
        </w:rPr>
      </w:pPr>
      <w:r>
        <w:rPr>
          <w:rFonts w:ascii="Times New Roman" w:cs="Times New Roman" w:eastAsia="Times New Roman" w:hAnsi="Times New Roman"/>
          <w:sz w:val="19"/>
          <w:szCs w:val="19"/>
          <w:color w:val="231F20"/>
        </w:rPr>
        <w:t>SIGNATURES</w:t>
      </w:r>
    </w:p>
    <w:p>
      <w:pPr>
        <w:spacing w:after="0" w:line="131" w:lineRule="exact"/>
        <w:rPr>
          <w:sz w:val="20"/>
          <w:szCs w:val="20"/>
          <w:color w:val="auto"/>
        </w:rPr>
      </w:pPr>
    </w:p>
    <w:p>
      <w:pPr>
        <w:ind w:right="420" w:firstLine="349"/>
        <w:spacing w:after="0" w:line="293" w:lineRule="auto"/>
        <w:rPr>
          <w:sz w:val="20"/>
          <w:szCs w:val="20"/>
          <w:color w:val="auto"/>
        </w:rPr>
      </w:pPr>
      <w:r>
        <w:rPr>
          <w:rFonts w:ascii="Times New Roman" w:cs="Times New Roman" w:eastAsia="Times New Roman" w:hAnsi="Times New Roman"/>
          <w:sz w:val="19"/>
          <w:szCs w:val="19"/>
          <w:color w:val="231F20"/>
        </w:rPr>
        <w:t>Pursuant to the requirements of Sections 13 or 15(d) of the Securities Exchange Act of 1934, the Registrant has duly caused this report to be signed on its behalf by the undersigned, thereunto duly authorized, on the date indicated.</w:t>
      </w:r>
    </w:p>
    <w:p>
      <w:pPr>
        <w:spacing w:after="0" w:line="12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7"/>
          <w:szCs w:val="17"/>
          <w:color w:val="231F20"/>
        </w:rPr>
        <w:t>STERIS plc</w:t>
      </w:r>
    </w:p>
    <w:p>
      <w:pPr>
        <w:ind w:left="3840"/>
        <w:spacing w:after="0"/>
        <w:rPr>
          <w:sz w:val="20"/>
          <w:szCs w:val="20"/>
          <w:color w:val="auto"/>
        </w:rPr>
      </w:pPr>
      <w:r>
        <w:rPr>
          <w:rFonts w:ascii="Times New Roman" w:cs="Times New Roman" w:eastAsia="Times New Roman" w:hAnsi="Times New Roman"/>
          <w:sz w:val="17"/>
          <w:szCs w:val="17"/>
          <w:color w:val="231F20"/>
        </w:rPr>
        <w:t>(Registrant)</w:t>
      </w:r>
    </w:p>
    <w:p>
      <w:pPr>
        <w:spacing w:after="0" w:line="34" w:lineRule="exact"/>
        <w:rPr>
          <w:sz w:val="20"/>
          <w:szCs w:val="20"/>
          <w:color w:val="auto"/>
        </w:rPr>
      </w:pPr>
    </w:p>
    <w:p>
      <w:pPr>
        <w:ind w:left="60"/>
        <w:spacing w:after="0"/>
        <w:tabs>
          <w:tab w:leader="none" w:pos="660" w:val="left"/>
          <w:tab w:leader="none" w:pos="3820" w:val="left"/>
          <w:tab w:leader="none" w:pos="4300" w:val="left"/>
          <w:tab w:leader="none" w:pos="4660" w:val="left"/>
        </w:tabs>
        <w:rPr>
          <w:sz w:val="20"/>
          <w:szCs w:val="20"/>
          <w:color w:val="auto"/>
        </w:rPr>
      </w:pPr>
      <w:r>
        <w:rPr>
          <w:rFonts w:ascii="Times New Roman" w:cs="Times New Roman" w:eastAsia="Times New Roman" w:hAnsi="Times New Roman"/>
          <w:sz w:val="17"/>
          <w:szCs w:val="17"/>
          <w:color w:val="231F20"/>
        </w:rPr>
        <w:t>Date:</w:t>
        <w:tab/>
        <w:t>May 29, 2026</w:t>
      </w:r>
      <w:r>
        <w:rPr>
          <w:sz w:val="20"/>
          <w:szCs w:val="20"/>
          <w:color w:val="auto"/>
        </w:rPr>
        <w:tab/>
      </w:r>
      <w:r>
        <w:rPr>
          <w:rFonts w:ascii="Times New Roman" w:cs="Times New Roman" w:eastAsia="Times New Roman" w:hAnsi="Times New Roman"/>
          <w:sz w:val="35"/>
          <w:szCs w:val="35"/>
          <w:color w:val="231F20"/>
          <w:vertAlign w:val="superscript"/>
        </w:rPr>
        <w:t>By:</w:t>
      </w:r>
      <w:r>
        <w:rPr>
          <w:sz w:val="20"/>
          <w:szCs w:val="20"/>
          <w:color w:val="auto"/>
        </w:rPr>
        <w:tab/>
      </w:r>
      <w:r>
        <w:rPr>
          <w:rFonts w:ascii="Times New Roman" w:cs="Times New Roman" w:eastAsia="Times New Roman" w:hAnsi="Times New Roman"/>
          <w:sz w:val="17"/>
          <w:szCs w:val="17"/>
          <w:color w:val="231F20"/>
        </w:rPr>
        <w:t>/S/</w:t>
        <w:tab/>
        <w:t>KAREN L. BURTON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2709545</wp:posOffset>
            </wp:positionH>
            <wp:positionV relativeFrom="paragraph">
              <wp:posOffset>-15875</wp:posOffset>
            </wp:positionV>
            <wp:extent cx="2837180" cy="120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8">
                      <a:extLst>
                        <a:ext uri="{28A0092B-C50C-407E-A947-70E740481C1C}"/>
                      </a:extLst>
                    </a:blip>
                    <a:srcRect/>
                    <a:stretch>
                      <a:fillRect/>
                    </a:stretch>
                  </pic:blipFill>
                  <pic:spPr bwMode="auto">
                    <a:xfrm>
                      <a:off x="0" y="0"/>
                      <a:ext cx="2837180" cy="12065"/>
                    </a:xfrm>
                    <a:prstGeom prst="rect">
                      <a:avLst/>
                    </a:prstGeom>
                    <a:noFill/>
                  </pic:spPr>
                </pic:pic>
              </a:graphicData>
            </a:graphic>
          </wp:anchor>
        </w:drawing>
      </w:r>
    </w:p>
    <w:p>
      <w:pPr>
        <w:ind w:left="3840"/>
        <w:spacing w:after="0"/>
        <w:rPr>
          <w:sz w:val="20"/>
          <w:szCs w:val="20"/>
          <w:color w:val="auto"/>
        </w:rPr>
      </w:pPr>
      <w:r>
        <w:rPr>
          <w:rFonts w:ascii="Times New Roman" w:cs="Times New Roman" w:eastAsia="Times New Roman" w:hAnsi="Times New Roman"/>
          <w:sz w:val="17"/>
          <w:szCs w:val="17"/>
          <w:color w:val="231F20"/>
        </w:rPr>
        <w:t>Karen L. Burton</w:t>
      </w:r>
    </w:p>
    <w:p>
      <w:pPr>
        <w:spacing w:after="0" w:line="9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7"/>
          <w:szCs w:val="17"/>
          <w:color w:val="231F20"/>
        </w:rPr>
        <w:t>Senior Vice President and Chief Financial Officer</w:t>
      </w:r>
    </w:p>
    <w:p>
      <w:pPr>
        <w:spacing w:after="0" w:line="200" w:lineRule="exact"/>
        <w:rPr>
          <w:sz w:val="20"/>
          <w:szCs w:val="20"/>
          <w:color w:val="auto"/>
        </w:rPr>
      </w:pPr>
    </w:p>
    <w:p>
      <w:pPr>
        <w:ind w:right="100" w:firstLine="349"/>
        <w:spacing w:after="0" w:line="293" w:lineRule="auto"/>
        <w:rPr>
          <w:sz w:val="20"/>
          <w:szCs w:val="20"/>
          <w:color w:val="auto"/>
        </w:rPr>
      </w:pPr>
      <w:r>
        <w:rPr>
          <w:rFonts w:ascii="Times New Roman" w:cs="Times New Roman" w:eastAsia="Times New Roman" w:hAnsi="Times New Roman"/>
          <w:sz w:val="19"/>
          <w:szCs w:val="19"/>
          <w:color w:val="231F20"/>
        </w:rPr>
        <w:t>Pursuant to the requirements of the Securities Exchange Act of 1934, this report has been signed below by the following persons on behalf of the Registrant and in the capacities and on the date indicated.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0" w:type="dxa"/>
            <w:vAlign w:val="bottom"/>
          </w:tcPr>
          <w:p>
            <w:pPr>
              <w:spacing w:after="0"/>
              <w:rPr>
                <w:sz w:val="17"/>
                <w:szCs w:val="17"/>
                <w:color w:val="auto"/>
              </w:rPr>
            </w:pPr>
          </w:p>
        </w:tc>
        <w:tc>
          <w:tcPr>
            <w:tcW w:w="2500" w:type="dxa"/>
            <w:vAlign w:val="bottom"/>
            <w:gridSpan w:val="3"/>
          </w:tcPr>
          <w:p>
            <w:pPr>
              <w:jc w:val="center"/>
              <w:ind w:right="840"/>
              <w:spacing w:after="0"/>
              <w:rPr>
                <w:sz w:val="20"/>
                <w:szCs w:val="20"/>
                <w:color w:val="auto"/>
              </w:rPr>
            </w:pPr>
            <w:r>
              <w:rPr>
                <w:rFonts w:ascii="Times New Roman" w:cs="Times New Roman" w:eastAsia="Times New Roman" w:hAnsi="Times New Roman"/>
                <w:sz w:val="17"/>
                <w:szCs w:val="17"/>
                <w:color w:val="231F20"/>
              </w:rPr>
              <w:t>SIGNATURE</w:t>
            </w:r>
          </w:p>
        </w:tc>
        <w:tc>
          <w:tcPr>
            <w:tcW w:w="2180" w:type="dxa"/>
            <w:vAlign w:val="bottom"/>
          </w:tcPr>
          <w:p>
            <w:pPr>
              <w:spacing w:after="0"/>
              <w:rPr>
                <w:sz w:val="17"/>
                <w:szCs w:val="17"/>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7"/>
                <w:szCs w:val="17"/>
                <w:color w:val="231F20"/>
              </w:rPr>
              <w:t>TITLE</w:t>
            </w:r>
          </w:p>
        </w:tc>
        <w:tc>
          <w:tcPr>
            <w:tcW w:w="820" w:type="dxa"/>
            <w:vAlign w:val="bottom"/>
          </w:tcPr>
          <w:p>
            <w:pPr>
              <w:spacing w:after="0"/>
              <w:rPr>
                <w:sz w:val="17"/>
                <w:szCs w:val="17"/>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231F20"/>
              </w:rPr>
              <w:t>DATE</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231F2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80" w:type="dxa"/>
            <w:vAlign w:val="bottom"/>
            <w:shd w:val="clear" w:color="auto" w:fill="231F2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shd w:val="clear" w:color="auto" w:fill="231F2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84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231F20"/>
              </w:rPr>
              <w:t>/S/</w:t>
            </w:r>
          </w:p>
        </w:tc>
        <w:tc>
          <w:tcPr>
            <w:tcW w:w="25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231F20"/>
              </w:rPr>
              <w:t>DANIEL A. CARESTIO</w:t>
            </w:r>
          </w:p>
        </w:tc>
        <w:tc>
          <w:tcPr>
            <w:tcW w:w="466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231F20"/>
              </w:rPr>
              <w:t>President, Chief Executive Officer and Director</w:t>
            </w:r>
          </w:p>
        </w:tc>
        <w:tc>
          <w:tcPr>
            <w:tcW w:w="1560" w:type="dxa"/>
            <w:vAlign w:val="bottom"/>
            <w:gridSpan w:val="3"/>
            <w:vMerge w:val="restart"/>
          </w:tcPr>
          <w:p>
            <w:pPr>
              <w:jc w:val="center"/>
              <w:ind w:left="493"/>
              <w:spacing w:after="0"/>
              <w:rPr>
                <w:sz w:val="20"/>
                <w:szCs w:val="20"/>
                <w:color w:val="auto"/>
              </w:rPr>
            </w:pPr>
            <w:r>
              <w:rPr>
                <w:rFonts w:ascii="Times New Roman" w:cs="Times New Roman" w:eastAsia="Times New Roman" w:hAnsi="Times New Roman"/>
                <w:sz w:val="17"/>
                <w:szCs w:val="17"/>
                <w:color w:val="231F20"/>
              </w:rPr>
              <w:t>May 29, 2026</w:t>
            </w:r>
          </w:p>
        </w:tc>
        <w:tc>
          <w:tcPr>
            <w:tcW w:w="0" w:type="dxa"/>
            <w:vAlign w:val="bottom"/>
          </w:tcPr>
          <w:p>
            <w:pPr>
              <w:spacing w:after="0"/>
              <w:rPr>
                <w:sz w:val="1"/>
                <w:szCs w:val="1"/>
                <w:color w:val="auto"/>
              </w:rPr>
            </w:pPr>
          </w:p>
        </w:tc>
      </w:tr>
      <w:tr>
        <w:trPr>
          <w:trHeight w:val="236"/>
        </w:trPr>
        <w:tc>
          <w:tcPr>
            <w:tcW w:w="840" w:type="dxa"/>
            <w:vAlign w:val="bottom"/>
            <w:tcBorders>
              <w:bottom w:val="single" w:sz="8" w:color="231F20"/>
            </w:tcBorders>
            <w:vMerge w:val="continue"/>
          </w:tcPr>
          <w:p>
            <w:pPr>
              <w:spacing w:after="0"/>
              <w:rPr>
                <w:sz w:val="20"/>
                <w:szCs w:val="20"/>
                <w:color w:val="auto"/>
              </w:rPr>
            </w:pPr>
          </w:p>
        </w:tc>
        <w:tc>
          <w:tcPr>
            <w:tcW w:w="2500" w:type="dxa"/>
            <w:vAlign w:val="bottom"/>
            <w:tcBorders>
              <w:bottom w:val="single" w:sz="8" w:color="231F20"/>
            </w:tcBorders>
            <w:gridSpan w:val="3"/>
            <w:vMerge w:val="continue"/>
          </w:tcPr>
          <w:p>
            <w:pPr>
              <w:spacing w:after="0"/>
              <w:rPr>
                <w:sz w:val="20"/>
                <w:szCs w:val="20"/>
                <w:color w:val="auto"/>
              </w:rPr>
            </w:pPr>
          </w:p>
        </w:tc>
        <w:tc>
          <w:tcPr>
            <w:tcW w:w="466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231F20"/>
              </w:rPr>
              <w:t>(Principal Executive Officer)</w:t>
            </w:r>
          </w:p>
        </w:tc>
        <w:tc>
          <w:tcPr>
            <w:tcW w:w="15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40" w:type="dxa"/>
            <w:vAlign w:val="bottom"/>
          </w:tcPr>
          <w:p>
            <w:pPr>
              <w:spacing w:after="0"/>
              <w:rPr>
                <w:sz w:val="19"/>
                <w:szCs w:val="19"/>
                <w:color w:val="auto"/>
              </w:rPr>
            </w:pPr>
          </w:p>
        </w:tc>
        <w:tc>
          <w:tcPr>
            <w:tcW w:w="2500" w:type="dxa"/>
            <w:vAlign w:val="bottom"/>
            <w:gridSpan w:val="3"/>
          </w:tcPr>
          <w:p>
            <w:pPr>
              <w:jc w:val="center"/>
              <w:ind w:right="840"/>
              <w:spacing w:after="0"/>
              <w:rPr>
                <w:sz w:val="20"/>
                <w:szCs w:val="20"/>
                <w:color w:val="auto"/>
              </w:rPr>
            </w:pPr>
            <w:r>
              <w:rPr>
                <w:rFonts w:ascii="Times New Roman" w:cs="Times New Roman" w:eastAsia="Times New Roman" w:hAnsi="Times New Roman"/>
                <w:sz w:val="17"/>
                <w:szCs w:val="17"/>
                <w:color w:val="231F20"/>
              </w:rPr>
              <w:t>Daniel A. Carestio</w:t>
            </w:r>
          </w:p>
        </w:tc>
        <w:tc>
          <w:tcPr>
            <w:tcW w:w="2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60" w:type="dxa"/>
            <w:vAlign w:val="bottom"/>
            <w:gridSpan w:val="3"/>
          </w:tcPr>
          <w:p>
            <w:pPr>
              <w:ind w:left="440"/>
              <w:spacing w:after="0" w:line="191" w:lineRule="exact"/>
              <w:rPr>
                <w:sz w:val="20"/>
                <w:szCs w:val="20"/>
                <w:color w:val="auto"/>
              </w:rPr>
            </w:pPr>
            <w:r>
              <w:rPr>
                <w:rFonts w:ascii="Times New Roman" w:cs="Times New Roman" w:eastAsia="Times New Roman" w:hAnsi="Times New Roman"/>
                <w:sz w:val="17"/>
                <w:szCs w:val="17"/>
                <w:color w:val="231F20"/>
              </w:rPr>
              <w:t>Senior Vice President and Chief Financial Officer</w:t>
            </w: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40" w:type="dxa"/>
            <w:vAlign w:val="bottom"/>
            <w:vMerge w:val="restart"/>
          </w:tcPr>
          <w:p>
            <w:pPr>
              <w:ind w:left="540"/>
              <w:spacing w:after="0"/>
              <w:rPr>
                <w:sz w:val="20"/>
                <w:szCs w:val="20"/>
                <w:color w:val="auto"/>
              </w:rPr>
            </w:pPr>
            <w:r>
              <w:rPr>
                <w:rFonts w:ascii="Times New Roman" w:cs="Times New Roman" w:eastAsia="Times New Roman" w:hAnsi="Times New Roman"/>
                <w:sz w:val="17"/>
                <w:szCs w:val="17"/>
                <w:color w:val="231F20"/>
              </w:rPr>
              <w:t>/S/</w:t>
            </w:r>
          </w:p>
        </w:tc>
        <w:tc>
          <w:tcPr>
            <w:tcW w:w="2500" w:type="dxa"/>
            <w:vAlign w:val="bottom"/>
            <w:gridSpan w:val="3"/>
            <w:vMerge w:val="restart"/>
          </w:tcPr>
          <w:p>
            <w:pPr>
              <w:jc w:val="center"/>
              <w:ind w:right="820"/>
              <w:spacing w:after="0"/>
              <w:rPr>
                <w:sz w:val="20"/>
                <w:szCs w:val="20"/>
                <w:color w:val="auto"/>
              </w:rPr>
            </w:pPr>
            <w:r>
              <w:rPr>
                <w:rFonts w:ascii="Times New Roman" w:cs="Times New Roman" w:eastAsia="Times New Roman" w:hAnsi="Times New Roman"/>
                <w:sz w:val="17"/>
                <w:szCs w:val="17"/>
                <w:color w:val="231F20"/>
              </w:rPr>
              <w:t>KAREN L. BURTON</w:t>
            </w:r>
          </w:p>
        </w:tc>
        <w:tc>
          <w:tcPr>
            <w:tcW w:w="4660" w:type="dxa"/>
            <w:vAlign w:val="bottom"/>
            <w:gridSpan w:val="3"/>
          </w:tcPr>
          <w:p>
            <w:pPr>
              <w:ind w:left="440"/>
              <w:spacing w:after="0" w:line="175" w:lineRule="exact"/>
              <w:rPr>
                <w:sz w:val="20"/>
                <w:szCs w:val="20"/>
                <w:color w:val="auto"/>
              </w:rPr>
            </w:pPr>
            <w:r>
              <w:rPr>
                <w:rFonts w:ascii="Times New Roman" w:cs="Times New Roman" w:eastAsia="Times New Roman" w:hAnsi="Times New Roman"/>
                <w:sz w:val="17"/>
                <w:szCs w:val="17"/>
                <w:color w:val="231F20"/>
              </w:rPr>
              <w:t>(Principal Financial Officer &amp; Principal Accounting</w:t>
            </w:r>
          </w:p>
        </w:tc>
        <w:tc>
          <w:tcPr>
            <w:tcW w:w="1560" w:type="dxa"/>
            <w:vAlign w:val="bottom"/>
            <w:gridSpan w:val="3"/>
            <w:vMerge w:val="restart"/>
          </w:tcPr>
          <w:p>
            <w:pPr>
              <w:jc w:val="center"/>
              <w:ind w:left="473"/>
              <w:spacing w:after="0"/>
              <w:rPr>
                <w:sz w:val="20"/>
                <w:szCs w:val="20"/>
                <w:color w:val="auto"/>
              </w:rPr>
            </w:pPr>
            <w:r>
              <w:rPr>
                <w:rFonts w:ascii="Times New Roman" w:cs="Times New Roman" w:eastAsia="Times New Roman" w:hAnsi="Times New Roman"/>
                <w:sz w:val="17"/>
                <w:szCs w:val="17"/>
                <w:color w:val="231F20"/>
              </w:rPr>
              <w:t>May 29, 2026</w:t>
            </w:r>
          </w:p>
        </w:tc>
        <w:tc>
          <w:tcPr>
            <w:tcW w:w="0" w:type="dxa"/>
            <w:vAlign w:val="bottom"/>
          </w:tcPr>
          <w:p>
            <w:pPr>
              <w:spacing w:after="0"/>
              <w:rPr>
                <w:sz w:val="1"/>
                <w:szCs w:val="1"/>
                <w:color w:val="auto"/>
              </w:rPr>
            </w:pPr>
          </w:p>
        </w:tc>
      </w:tr>
      <w:tr>
        <w:trPr>
          <w:trHeight w:val="236"/>
        </w:trPr>
        <w:tc>
          <w:tcPr>
            <w:tcW w:w="840" w:type="dxa"/>
            <w:vAlign w:val="bottom"/>
            <w:tcBorders>
              <w:bottom w:val="single" w:sz="8" w:color="231F20"/>
            </w:tcBorders>
            <w:vMerge w:val="continue"/>
          </w:tcPr>
          <w:p>
            <w:pPr>
              <w:spacing w:after="0"/>
              <w:rPr>
                <w:sz w:val="20"/>
                <w:szCs w:val="20"/>
                <w:color w:val="auto"/>
              </w:rPr>
            </w:pPr>
          </w:p>
        </w:tc>
        <w:tc>
          <w:tcPr>
            <w:tcW w:w="2500" w:type="dxa"/>
            <w:vAlign w:val="bottom"/>
            <w:tcBorders>
              <w:bottom w:val="single" w:sz="8" w:color="231F20"/>
            </w:tcBorders>
            <w:gridSpan w:val="3"/>
            <w:vMerge w:val="continue"/>
          </w:tcPr>
          <w:p>
            <w:pPr>
              <w:spacing w:after="0"/>
              <w:rPr>
                <w:sz w:val="20"/>
                <w:szCs w:val="20"/>
                <w:color w:val="auto"/>
              </w:rPr>
            </w:pPr>
          </w:p>
        </w:tc>
        <w:tc>
          <w:tcPr>
            <w:tcW w:w="466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231F20"/>
              </w:rPr>
              <w:t>Officer)</w:t>
            </w:r>
          </w:p>
        </w:tc>
        <w:tc>
          <w:tcPr>
            <w:tcW w:w="15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40" w:type="dxa"/>
            <w:vAlign w:val="bottom"/>
          </w:tcPr>
          <w:p>
            <w:pPr>
              <w:spacing w:after="0"/>
              <w:rPr>
                <w:sz w:val="21"/>
                <w:szCs w:val="21"/>
                <w:color w:val="auto"/>
              </w:rPr>
            </w:pPr>
          </w:p>
        </w:tc>
        <w:tc>
          <w:tcPr>
            <w:tcW w:w="2500" w:type="dxa"/>
            <w:vAlign w:val="bottom"/>
            <w:gridSpan w:val="3"/>
          </w:tcPr>
          <w:p>
            <w:pPr>
              <w:jc w:val="center"/>
              <w:ind w:right="840"/>
              <w:spacing w:after="0"/>
              <w:rPr>
                <w:sz w:val="20"/>
                <w:szCs w:val="20"/>
                <w:color w:val="auto"/>
              </w:rPr>
            </w:pPr>
            <w:r>
              <w:rPr>
                <w:rFonts w:ascii="Times New Roman" w:cs="Times New Roman" w:eastAsia="Times New Roman" w:hAnsi="Times New Roman"/>
                <w:sz w:val="17"/>
                <w:szCs w:val="17"/>
                <w:color w:val="231F20"/>
              </w:rPr>
              <w:t>Karen L. Burton</w:t>
            </w:r>
          </w:p>
        </w:tc>
        <w:tc>
          <w:tcPr>
            <w:tcW w:w="2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840" w:type="dxa"/>
            <w:vAlign w:val="bottom"/>
            <w:tcBorders>
              <w:bottom w:val="single" w:sz="8" w:color="231F20"/>
            </w:tcBorders>
          </w:tcPr>
          <w:p>
            <w:pPr>
              <w:spacing w:after="0"/>
              <w:rPr>
                <w:sz w:val="24"/>
                <w:szCs w:val="24"/>
                <w:color w:val="auto"/>
              </w:rPr>
            </w:pPr>
          </w:p>
        </w:tc>
        <w:tc>
          <w:tcPr>
            <w:tcW w:w="1320" w:type="dxa"/>
            <w:vAlign w:val="bottom"/>
            <w:tcBorders>
              <w:bottom w:val="single" w:sz="8" w:color="231F20"/>
            </w:tcBorders>
            <w:gridSpan w:val="2"/>
          </w:tcPr>
          <w:p>
            <w:pPr>
              <w:jc w:val="center"/>
              <w:ind w:left="253"/>
              <w:spacing w:after="0"/>
              <w:rPr>
                <w:sz w:val="20"/>
                <w:szCs w:val="20"/>
                <w:color w:val="auto"/>
              </w:rPr>
            </w:pPr>
            <w:r>
              <w:rPr>
                <w:rFonts w:ascii="Times New Roman" w:cs="Times New Roman" w:eastAsia="Times New Roman" w:hAnsi="Times New Roman"/>
                <w:sz w:val="17"/>
                <w:szCs w:val="17"/>
                <w:color w:val="231F20"/>
              </w:rPr>
              <w:t>*</w:t>
            </w:r>
          </w:p>
        </w:tc>
        <w:tc>
          <w:tcPr>
            <w:tcW w:w="1180" w:type="dxa"/>
            <w:vAlign w:val="bottom"/>
            <w:tcBorders>
              <w:bottom w:val="single" w:sz="8" w:color="231F20"/>
            </w:tcBorders>
          </w:tcPr>
          <w:p>
            <w:pPr>
              <w:spacing w:after="0"/>
              <w:rPr>
                <w:sz w:val="24"/>
                <w:szCs w:val="24"/>
                <w:color w:val="auto"/>
              </w:rPr>
            </w:pPr>
          </w:p>
        </w:tc>
        <w:tc>
          <w:tcPr>
            <w:tcW w:w="466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231F20"/>
              </w:rPr>
              <w:t>Chairman and Director</w:t>
            </w:r>
          </w:p>
        </w:tc>
        <w:tc>
          <w:tcPr>
            <w:tcW w:w="1560" w:type="dxa"/>
            <w:vAlign w:val="bottom"/>
            <w:gridSpan w:val="3"/>
          </w:tcPr>
          <w:p>
            <w:pPr>
              <w:jc w:val="center"/>
              <w:ind w:left="493"/>
              <w:spacing w:after="0"/>
              <w:rPr>
                <w:sz w:val="20"/>
                <w:szCs w:val="20"/>
                <w:color w:val="auto"/>
              </w:rPr>
            </w:pPr>
            <w:r>
              <w:rPr>
                <w:rFonts w:ascii="Times New Roman" w:cs="Times New Roman" w:eastAsia="Times New Roman" w:hAnsi="Times New Roman"/>
                <w:sz w:val="17"/>
                <w:szCs w:val="17"/>
                <w:color w:val="231F20"/>
              </w:rPr>
              <w:t>May 29, 2026</w:t>
            </w:r>
          </w:p>
        </w:tc>
        <w:tc>
          <w:tcPr>
            <w:tcW w:w="0" w:type="dxa"/>
            <w:vAlign w:val="bottom"/>
          </w:tcPr>
          <w:p>
            <w:pPr>
              <w:spacing w:after="0"/>
              <w:rPr>
                <w:sz w:val="1"/>
                <w:szCs w:val="1"/>
                <w:color w:val="auto"/>
              </w:rPr>
            </w:pPr>
          </w:p>
        </w:tc>
      </w:tr>
      <w:tr>
        <w:trPr>
          <w:trHeight w:val="252"/>
        </w:trPr>
        <w:tc>
          <w:tcPr>
            <w:tcW w:w="840" w:type="dxa"/>
            <w:vAlign w:val="bottom"/>
          </w:tcPr>
          <w:p>
            <w:pPr>
              <w:spacing w:after="0"/>
              <w:rPr>
                <w:sz w:val="21"/>
                <w:szCs w:val="21"/>
                <w:color w:val="auto"/>
              </w:rPr>
            </w:pPr>
          </w:p>
        </w:tc>
        <w:tc>
          <w:tcPr>
            <w:tcW w:w="2500" w:type="dxa"/>
            <w:vAlign w:val="bottom"/>
            <w:gridSpan w:val="3"/>
          </w:tcPr>
          <w:p>
            <w:pPr>
              <w:jc w:val="center"/>
              <w:ind w:right="840"/>
              <w:spacing w:after="0"/>
              <w:rPr>
                <w:sz w:val="20"/>
                <w:szCs w:val="20"/>
                <w:color w:val="auto"/>
              </w:rPr>
            </w:pPr>
            <w:r>
              <w:rPr>
                <w:rFonts w:ascii="Times New Roman" w:cs="Times New Roman" w:eastAsia="Times New Roman" w:hAnsi="Times New Roman"/>
                <w:sz w:val="17"/>
                <w:szCs w:val="17"/>
                <w:color w:val="231F20"/>
              </w:rPr>
              <w:t>Mohsen M. Sohi</w:t>
            </w:r>
          </w:p>
        </w:tc>
        <w:tc>
          <w:tcPr>
            <w:tcW w:w="2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840" w:type="dxa"/>
            <w:vAlign w:val="bottom"/>
            <w:tcBorders>
              <w:bottom w:val="single" w:sz="8" w:color="231F20"/>
            </w:tcBorders>
          </w:tcPr>
          <w:p>
            <w:pPr>
              <w:spacing w:after="0"/>
              <w:rPr>
                <w:sz w:val="24"/>
                <w:szCs w:val="24"/>
                <w:color w:val="auto"/>
              </w:rPr>
            </w:pPr>
          </w:p>
        </w:tc>
        <w:tc>
          <w:tcPr>
            <w:tcW w:w="1320" w:type="dxa"/>
            <w:vAlign w:val="bottom"/>
            <w:tcBorders>
              <w:bottom w:val="single" w:sz="8" w:color="231F20"/>
            </w:tcBorders>
            <w:gridSpan w:val="2"/>
          </w:tcPr>
          <w:p>
            <w:pPr>
              <w:jc w:val="center"/>
              <w:ind w:left="253"/>
              <w:spacing w:after="0"/>
              <w:rPr>
                <w:sz w:val="20"/>
                <w:szCs w:val="20"/>
                <w:color w:val="auto"/>
              </w:rPr>
            </w:pPr>
            <w:r>
              <w:rPr>
                <w:rFonts w:ascii="Times New Roman" w:cs="Times New Roman" w:eastAsia="Times New Roman" w:hAnsi="Times New Roman"/>
                <w:sz w:val="17"/>
                <w:szCs w:val="17"/>
                <w:color w:val="231F20"/>
              </w:rPr>
              <w:t>*</w:t>
            </w:r>
          </w:p>
        </w:tc>
        <w:tc>
          <w:tcPr>
            <w:tcW w:w="1180" w:type="dxa"/>
            <w:vAlign w:val="bottom"/>
            <w:tcBorders>
              <w:bottom w:val="single" w:sz="8" w:color="231F20"/>
            </w:tcBorders>
          </w:tcPr>
          <w:p>
            <w:pPr>
              <w:spacing w:after="0"/>
              <w:rPr>
                <w:sz w:val="24"/>
                <w:szCs w:val="24"/>
                <w:color w:val="auto"/>
              </w:rPr>
            </w:pPr>
          </w:p>
        </w:tc>
        <w:tc>
          <w:tcPr>
            <w:tcW w:w="466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231F20"/>
              </w:rPr>
              <w:t>Director</w:t>
            </w:r>
          </w:p>
        </w:tc>
        <w:tc>
          <w:tcPr>
            <w:tcW w:w="1560" w:type="dxa"/>
            <w:vAlign w:val="bottom"/>
            <w:gridSpan w:val="3"/>
          </w:tcPr>
          <w:p>
            <w:pPr>
              <w:jc w:val="center"/>
              <w:ind w:left="473"/>
              <w:spacing w:after="0"/>
              <w:rPr>
                <w:sz w:val="20"/>
                <w:szCs w:val="20"/>
                <w:color w:val="auto"/>
              </w:rPr>
            </w:pPr>
            <w:r>
              <w:rPr>
                <w:rFonts w:ascii="Times New Roman" w:cs="Times New Roman" w:eastAsia="Times New Roman" w:hAnsi="Times New Roman"/>
                <w:sz w:val="17"/>
                <w:szCs w:val="17"/>
                <w:color w:val="231F20"/>
              </w:rPr>
              <w:t>May 29, 2026</w:t>
            </w:r>
          </w:p>
        </w:tc>
        <w:tc>
          <w:tcPr>
            <w:tcW w:w="0" w:type="dxa"/>
            <w:vAlign w:val="bottom"/>
          </w:tcPr>
          <w:p>
            <w:pPr>
              <w:spacing w:after="0"/>
              <w:rPr>
                <w:sz w:val="1"/>
                <w:szCs w:val="1"/>
                <w:color w:val="auto"/>
              </w:rPr>
            </w:pPr>
          </w:p>
        </w:tc>
      </w:tr>
      <w:tr>
        <w:trPr>
          <w:trHeight w:val="252"/>
        </w:trPr>
        <w:tc>
          <w:tcPr>
            <w:tcW w:w="840" w:type="dxa"/>
            <w:vAlign w:val="bottom"/>
          </w:tcPr>
          <w:p>
            <w:pPr>
              <w:spacing w:after="0"/>
              <w:rPr>
                <w:sz w:val="21"/>
                <w:szCs w:val="21"/>
                <w:color w:val="auto"/>
              </w:rPr>
            </w:pPr>
          </w:p>
        </w:tc>
        <w:tc>
          <w:tcPr>
            <w:tcW w:w="2500" w:type="dxa"/>
            <w:vAlign w:val="bottom"/>
            <w:gridSpan w:val="3"/>
          </w:tcPr>
          <w:p>
            <w:pPr>
              <w:jc w:val="center"/>
              <w:ind w:right="840"/>
              <w:spacing w:after="0"/>
              <w:rPr>
                <w:sz w:val="20"/>
                <w:szCs w:val="20"/>
                <w:color w:val="auto"/>
              </w:rPr>
            </w:pPr>
            <w:r>
              <w:rPr>
                <w:rFonts w:ascii="Times New Roman" w:cs="Times New Roman" w:eastAsia="Times New Roman" w:hAnsi="Times New Roman"/>
                <w:sz w:val="17"/>
                <w:szCs w:val="17"/>
                <w:color w:val="231F20"/>
              </w:rPr>
              <w:t>Esther M. Alegria</w:t>
            </w:r>
          </w:p>
        </w:tc>
        <w:tc>
          <w:tcPr>
            <w:tcW w:w="2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840" w:type="dxa"/>
            <w:vAlign w:val="bottom"/>
            <w:tcBorders>
              <w:bottom w:val="single" w:sz="8" w:color="231F20"/>
            </w:tcBorders>
          </w:tcPr>
          <w:p>
            <w:pPr>
              <w:spacing w:after="0"/>
              <w:rPr>
                <w:sz w:val="24"/>
                <w:szCs w:val="24"/>
                <w:color w:val="auto"/>
              </w:rPr>
            </w:pPr>
          </w:p>
        </w:tc>
        <w:tc>
          <w:tcPr>
            <w:tcW w:w="1320" w:type="dxa"/>
            <w:vAlign w:val="bottom"/>
            <w:tcBorders>
              <w:bottom w:val="single" w:sz="8" w:color="231F20"/>
            </w:tcBorders>
            <w:gridSpan w:val="2"/>
          </w:tcPr>
          <w:p>
            <w:pPr>
              <w:jc w:val="center"/>
              <w:ind w:left="253"/>
              <w:spacing w:after="0"/>
              <w:rPr>
                <w:sz w:val="20"/>
                <w:szCs w:val="20"/>
                <w:color w:val="auto"/>
              </w:rPr>
            </w:pPr>
            <w:r>
              <w:rPr>
                <w:rFonts w:ascii="Times New Roman" w:cs="Times New Roman" w:eastAsia="Times New Roman" w:hAnsi="Times New Roman"/>
                <w:sz w:val="17"/>
                <w:szCs w:val="17"/>
                <w:color w:val="231F20"/>
              </w:rPr>
              <w:t>*</w:t>
            </w:r>
          </w:p>
        </w:tc>
        <w:tc>
          <w:tcPr>
            <w:tcW w:w="1180" w:type="dxa"/>
            <w:vAlign w:val="bottom"/>
            <w:tcBorders>
              <w:bottom w:val="single" w:sz="8" w:color="231F20"/>
            </w:tcBorders>
          </w:tcPr>
          <w:p>
            <w:pPr>
              <w:spacing w:after="0"/>
              <w:rPr>
                <w:sz w:val="24"/>
                <w:szCs w:val="24"/>
                <w:color w:val="auto"/>
              </w:rPr>
            </w:pPr>
          </w:p>
        </w:tc>
        <w:tc>
          <w:tcPr>
            <w:tcW w:w="466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231F20"/>
              </w:rPr>
              <w:t>Director</w:t>
            </w:r>
          </w:p>
        </w:tc>
        <w:tc>
          <w:tcPr>
            <w:tcW w:w="1560" w:type="dxa"/>
            <w:vAlign w:val="bottom"/>
            <w:gridSpan w:val="3"/>
          </w:tcPr>
          <w:p>
            <w:pPr>
              <w:jc w:val="center"/>
              <w:ind w:left="473"/>
              <w:spacing w:after="0"/>
              <w:rPr>
                <w:sz w:val="20"/>
                <w:szCs w:val="20"/>
                <w:color w:val="auto"/>
              </w:rPr>
            </w:pPr>
            <w:r>
              <w:rPr>
                <w:rFonts w:ascii="Times New Roman" w:cs="Times New Roman" w:eastAsia="Times New Roman" w:hAnsi="Times New Roman"/>
                <w:sz w:val="17"/>
                <w:szCs w:val="17"/>
                <w:color w:val="231F20"/>
              </w:rPr>
              <w:t>May 29, 2026</w:t>
            </w:r>
          </w:p>
        </w:tc>
        <w:tc>
          <w:tcPr>
            <w:tcW w:w="0" w:type="dxa"/>
            <w:vAlign w:val="bottom"/>
          </w:tcPr>
          <w:p>
            <w:pPr>
              <w:spacing w:after="0"/>
              <w:rPr>
                <w:sz w:val="1"/>
                <w:szCs w:val="1"/>
                <w:color w:val="auto"/>
              </w:rPr>
            </w:pPr>
          </w:p>
        </w:tc>
      </w:tr>
      <w:tr>
        <w:trPr>
          <w:trHeight w:val="252"/>
        </w:trPr>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60" w:type="dxa"/>
            <w:vAlign w:val="bottom"/>
            <w:gridSpan w:val="2"/>
          </w:tcPr>
          <w:p>
            <w:pPr>
              <w:jc w:val="center"/>
              <w:ind w:right="1180"/>
              <w:spacing w:after="0"/>
              <w:rPr>
                <w:sz w:val="20"/>
                <w:szCs w:val="20"/>
                <w:color w:val="auto"/>
              </w:rPr>
            </w:pPr>
            <w:r>
              <w:rPr>
                <w:rFonts w:ascii="Times New Roman" w:cs="Times New Roman" w:eastAsia="Times New Roman" w:hAnsi="Times New Roman"/>
                <w:sz w:val="17"/>
                <w:szCs w:val="17"/>
                <w:color w:val="231F20"/>
              </w:rPr>
              <w:t>Pierre Boulud</w:t>
            </w:r>
          </w:p>
        </w:tc>
        <w:tc>
          <w:tcPr>
            <w:tcW w:w="2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840" w:type="dxa"/>
            <w:vAlign w:val="bottom"/>
            <w:tcBorders>
              <w:bottom w:val="single" w:sz="8" w:color="231F20"/>
            </w:tcBorders>
          </w:tcPr>
          <w:p>
            <w:pPr>
              <w:spacing w:after="0"/>
              <w:rPr>
                <w:sz w:val="24"/>
                <w:szCs w:val="24"/>
                <w:color w:val="auto"/>
              </w:rPr>
            </w:pPr>
          </w:p>
        </w:tc>
        <w:tc>
          <w:tcPr>
            <w:tcW w:w="1320" w:type="dxa"/>
            <w:vAlign w:val="bottom"/>
            <w:tcBorders>
              <w:bottom w:val="single" w:sz="8" w:color="231F20"/>
            </w:tcBorders>
            <w:gridSpan w:val="2"/>
          </w:tcPr>
          <w:p>
            <w:pPr>
              <w:jc w:val="center"/>
              <w:ind w:left="253"/>
              <w:spacing w:after="0"/>
              <w:rPr>
                <w:sz w:val="20"/>
                <w:szCs w:val="20"/>
                <w:color w:val="auto"/>
              </w:rPr>
            </w:pPr>
            <w:r>
              <w:rPr>
                <w:rFonts w:ascii="Times New Roman" w:cs="Times New Roman" w:eastAsia="Times New Roman" w:hAnsi="Times New Roman"/>
                <w:sz w:val="17"/>
                <w:szCs w:val="17"/>
                <w:color w:val="231F20"/>
              </w:rPr>
              <w:t>*</w:t>
            </w:r>
          </w:p>
        </w:tc>
        <w:tc>
          <w:tcPr>
            <w:tcW w:w="1180" w:type="dxa"/>
            <w:vAlign w:val="bottom"/>
            <w:tcBorders>
              <w:bottom w:val="single" w:sz="8" w:color="231F20"/>
            </w:tcBorders>
          </w:tcPr>
          <w:p>
            <w:pPr>
              <w:spacing w:after="0"/>
              <w:rPr>
                <w:sz w:val="24"/>
                <w:szCs w:val="24"/>
                <w:color w:val="auto"/>
              </w:rPr>
            </w:pPr>
          </w:p>
        </w:tc>
        <w:tc>
          <w:tcPr>
            <w:tcW w:w="466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231F20"/>
              </w:rPr>
              <w:t>Director</w:t>
            </w:r>
          </w:p>
        </w:tc>
        <w:tc>
          <w:tcPr>
            <w:tcW w:w="1560" w:type="dxa"/>
            <w:vAlign w:val="bottom"/>
            <w:gridSpan w:val="3"/>
          </w:tcPr>
          <w:p>
            <w:pPr>
              <w:jc w:val="center"/>
              <w:ind w:left="473"/>
              <w:spacing w:after="0"/>
              <w:rPr>
                <w:sz w:val="20"/>
                <w:szCs w:val="20"/>
                <w:color w:val="auto"/>
              </w:rPr>
            </w:pPr>
            <w:r>
              <w:rPr>
                <w:rFonts w:ascii="Times New Roman" w:cs="Times New Roman" w:eastAsia="Times New Roman" w:hAnsi="Times New Roman"/>
                <w:sz w:val="17"/>
                <w:szCs w:val="17"/>
                <w:color w:val="231F20"/>
              </w:rPr>
              <w:t>May 29, 2026</w:t>
            </w:r>
          </w:p>
        </w:tc>
        <w:tc>
          <w:tcPr>
            <w:tcW w:w="0" w:type="dxa"/>
            <w:vAlign w:val="bottom"/>
          </w:tcPr>
          <w:p>
            <w:pPr>
              <w:spacing w:after="0"/>
              <w:rPr>
                <w:sz w:val="1"/>
                <w:szCs w:val="1"/>
                <w:color w:val="auto"/>
              </w:rPr>
            </w:pPr>
          </w:p>
        </w:tc>
      </w:tr>
      <w:tr>
        <w:trPr>
          <w:trHeight w:val="252"/>
        </w:trPr>
        <w:tc>
          <w:tcPr>
            <w:tcW w:w="840" w:type="dxa"/>
            <w:vAlign w:val="bottom"/>
          </w:tcPr>
          <w:p>
            <w:pPr>
              <w:spacing w:after="0"/>
              <w:rPr>
                <w:sz w:val="21"/>
                <w:szCs w:val="21"/>
                <w:color w:val="auto"/>
              </w:rPr>
            </w:pPr>
          </w:p>
        </w:tc>
        <w:tc>
          <w:tcPr>
            <w:tcW w:w="2500" w:type="dxa"/>
            <w:vAlign w:val="bottom"/>
            <w:gridSpan w:val="3"/>
          </w:tcPr>
          <w:p>
            <w:pPr>
              <w:jc w:val="center"/>
              <w:ind w:right="840"/>
              <w:spacing w:after="0"/>
              <w:rPr>
                <w:sz w:val="20"/>
                <w:szCs w:val="20"/>
                <w:color w:val="auto"/>
              </w:rPr>
            </w:pPr>
            <w:r>
              <w:rPr>
                <w:rFonts w:ascii="Times New Roman" w:cs="Times New Roman" w:eastAsia="Times New Roman" w:hAnsi="Times New Roman"/>
                <w:sz w:val="17"/>
                <w:szCs w:val="17"/>
                <w:color w:val="231F20"/>
              </w:rPr>
              <w:t>Richard C. Breeden</w:t>
            </w:r>
          </w:p>
        </w:tc>
        <w:tc>
          <w:tcPr>
            <w:tcW w:w="2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840" w:type="dxa"/>
            <w:vAlign w:val="bottom"/>
            <w:tcBorders>
              <w:bottom w:val="single" w:sz="8" w:color="231F20"/>
            </w:tcBorders>
          </w:tcPr>
          <w:p>
            <w:pPr>
              <w:spacing w:after="0"/>
              <w:rPr>
                <w:sz w:val="24"/>
                <w:szCs w:val="24"/>
                <w:color w:val="auto"/>
              </w:rPr>
            </w:pPr>
          </w:p>
        </w:tc>
        <w:tc>
          <w:tcPr>
            <w:tcW w:w="1320" w:type="dxa"/>
            <w:vAlign w:val="bottom"/>
            <w:tcBorders>
              <w:bottom w:val="single" w:sz="8" w:color="231F20"/>
            </w:tcBorders>
            <w:gridSpan w:val="2"/>
          </w:tcPr>
          <w:p>
            <w:pPr>
              <w:jc w:val="center"/>
              <w:ind w:left="253"/>
              <w:spacing w:after="0"/>
              <w:rPr>
                <w:sz w:val="20"/>
                <w:szCs w:val="20"/>
                <w:color w:val="auto"/>
              </w:rPr>
            </w:pPr>
            <w:r>
              <w:rPr>
                <w:rFonts w:ascii="Times New Roman" w:cs="Times New Roman" w:eastAsia="Times New Roman" w:hAnsi="Times New Roman"/>
                <w:sz w:val="17"/>
                <w:szCs w:val="17"/>
                <w:color w:val="231F20"/>
              </w:rPr>
              <w:t>*</w:t>
            </w:r>
          </w:p>
        </w:tc>
        <w:tc>
          <w:tcPr>
            <w:tcW w:w="1180" w:type="dxa"/>
            <w:vAlign w:val="bottom"/>
            <w:tcBorders>
              <w:bottom w:val="single" w:sz="8" w:color="231F20"/>
            </w:tcBorders>
          </w:tcPr>
          <w:p>
            <w:pPr>
              <w:spacing w:after="0"/>
              <w:rPr>
                <w:sz w:val="24"/>
                <w:szCs w:val="24"/>
                <w:color w:val="auto"/>
              </w:rPr>
            </w:pPr>
          </w:p>
        </w:tc>
        <w:tc>
          <w:tcPr>
            <w:tcW w:w="466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231F20"/>
              </w:rPr>
              <w:t>Director</w:t>
            </w:r>
          </w:p>
        </w:tc>
        <w:tc>
          <w:tcPr>
            <w:tcW w:w="1560" w:type="dxa"/>
            <w:vAlign w:val="bottom"/>
            <w:gridSpan w:val="3"/>
          </w:tcPr>
          <w:p>
            <w:pPr>
              <w:jc w:val="center"/>
              <w:ind w:left="473"/>
              <w:spacing w:after="0"/>
              <w:rPr>
                <w:sz w:val="20"/>
                <w:szCs w:val="20"/>
                <w:color w:val="auto"/>
              </w:rPr>
            </w:pPr>
            <w:r>
              <w:rPr>
                <w:rFonts w:ascii="Times New Roman" w:cs="Times New Roman" w:eastAsia="Times New Roman" w:hAnsi="Times New Roman"/>
                <w:sz w:val="17"/>
                <w:szCs w:val="17"/>
                <w:color w:val="231F20"/>
              </w:rPr>
              <w:t>May 29, 2026</w:t>
            </w:r>
          </w:p>
        </w:tc>
        <w:tc>
          <w:tcPr>
            <w:tcW w:w="0" w:type="dxa"/>
            <w:vAlign w:val="bottom"/>
          </w:tcPr>
          <w:p>
            <w:pPr>
              <w:spacing w:after="0"/>
              <w:rPr>
                <w:sz w:val="1"/>
                <w:szCs w:val="1"/>
                <w:color w:val="auto"/>
              </w:rPr>
            </w:pPr>
          </w:p>
        </w:tc>
      </w:tr>
      <w:tr>
        <w:trPr>
          <w:trHeight w:val="252"/>
        </w:trPr>
        <w:tc>
          <w:tcPr>
            <w:tcW w:w="840" w:type="dxa"/>
            <w:vAlign w:val="bottom"/>
          </w:tcPr>
          <w:p>
            <w:pPr>
              <w:spacing w:after="0"/>
              <w:rPr>
                <w:sz w:val="21"/>
                <w:szCs w:val="21"/>
                <w:color w:val="auto"/>
              </w:rPr>
            </w:pPr>
          </w:p>
        </w:tc>
        <w:tc>
          <w:tcPr>
            <w:tcW w:w="2500" w:type="dxa"/>
            <w:vAlign w:val="bottom"/>
            <w:gridSpan w:val="3"/>
          </w:tcPr>
          <w:p>
            <w:pPr>
              <w:jc w:val="center"/>
              <w:ind w:right="840"/>
              <w:spacing w:after="0"/>
              <w:rPr>
                <w:sz w:val="20"/>
                <w:szCs w:val="20"/>
                <w:color w:val="auto"/>
              </w:rPr>
            </w:pPr>
            <w:r>
              <w:rPr>
                <w:rFonts w:ascii="Times New Roman" w:cs="Times New Roman" w:eastAsia="Times New Roman" w:hAnsi="Times New Roman"/>
                <w:sz w:val="17"/>
                <w:szCs w:val="17"/>
                <w:color w:val="231F20"/>
              </w:rPr>
              <w:t>Daniel A. Carestio</w:t>
            </w:r>
          </w:p>
        </w:tc>
        <w:tc>
          <w:tcPr>
            <w:tcW w:w="2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840" w:type="dxa"/>
            <w:vAlign w:val="bottom"/>
            <w:tcBorders>
              <w:bottom w:val="single" w:sz="8" w:color="231F20"/>
            </w:tcBorders>
          </w:tcPr>
          <w:p>
            <w:pPr>
              <w:spacing w:after="0"/>
              <w:rPr>
                <w:sz w:val="24"/>
                <w:szCs w:val="24"/>
                <w:color w:val="auto"/>
              </w:rPr>
            </w:pPr>
          </w:p>
        </w:tc>
        <w:tc>
          <w:tcPr>
            <w:tcW w:w="1320" w:type="dxa"/>
            <w:vAlign w:val="bottom"/>
            <w:tcBorders>
              <w:bottom w:val="single" w:sz="8" w:color="231F20"/>
            </w:tcBorders>
            <w:gridSpan w:val="2"/>
          </w:tcPr>
          <w:p>
            <w:pPr>
              <w:jc w:val="center"/>
              <w:ind w:left="253"/>
              <w:spacing w:after="0"/>
              <w:rPr>
                <w:sz w:val="20"/>
                <w:szCs w:val="20"/>
                <w:color w:val="auto"/>
              </w:rPr>
            </w:pPr>
            <w:r>
              <w:rPr>
                <w:rFonts w:ascii="Times New Roman" w:cs="Times New Roman" w:eastAsia="Times New Roman" w:hAnsi="Times New Roman"/>
                <w:sz w:val="17"/>
                <w:szCs w:val="17"/>
                <w:color w:val="231F20"/>
              </w:rPr>
              <w:t>*</w:t>
            </w:r>
          </w:p>
        </w:tc>
        <w:tc>
          <w:tcPr>
            <w:tcW w:w="1180" w:type="dxa"/>
            <w:vAlign w:val="bottom"/>
            <w:tcBorders>
              <w:bottom w:val="single" w:sz="8" w:color="231F20"/>
            </w:tcBorders>
          </w:tcPr>
          <w:p>
            <w:pPr>
              <w:spacing w:after="0"/>
              <w:rPr>
                <w:sz w:val="24"/>
                <w:szCs w:val="24"/>
                <w:color w:val="auto"/>
              </w:rPr>
            </w:pPr>
          </w:p>
        </w:tc>
        <w:tc>
          <w:tcPr>
            <w:tcW w:w="466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231F20"/>
              </w:rPr>
              <w:t>Director</w:t>
            </w:r>
          </w:p>
        </w:tc>
        <w:tc>
          <w:tcPr>
            <w:tcW w:w="1560" w:type="dxa"/>
            <w:vAlign w:val="bottom"/>
            <w:gridSpan w:val="3"/>
          </w:tcPr>
          <w:p>
            <w:pPr>
              <w:jc w:val="center"/>
              <w:ind w:left="473"/>
              <w:spacing w:after="0"/>
              <w:rPr>
                <w:sz w:val="20"/>
                <w:szCs w:val="20"/>
                <w:color w:val="auto"/>
              </w:rPr>
            </w:pPr>
            <w:r>
              <w:rPr>
                <w:rFonts w:ascii="Times New Roman" w:cs="Times New Roman" w:eastAsia="Times New Roman" w:hAnsi="Times New Roman"/>
                <w:sz w:val="17"/>
                <w:szCs w:val="17"/>
                <w:color w:val="231F20"/>
              </w:rPr>
              <w:t>May 29, 2026</w:t>
            </w:r>
          </w:p>
        </w:tc>
        <w:tc>
          <w:tcPr>
            <w:tcW w:w="0" w:type="dxa"/>
            <w:vAlign w:val="bottom"/>
          </w:tcPr>
          <w:p>
            <w:pPr>
              <w:spacing w:after="0"/>
              <w:rPr>
                <w:sz w:val="1"/>
                <w:szCs w:val="1"/>
                <w:color w:val="auto"/>
              </w:rPr>
            </w:pPr>
          </w:p>
        </w:tc>
      </w:tr>
      <w:tr>
        <w:trPr>
          <w:trHeight w:val="252"/>
        </w:trPr>
        <w:tc>
          <w:tcPr>
            <w:tcW w:w="840" w:type="dxa"/>
            <w:vAlign w:val="bottom"/>
          </w:tcPr>
          <w:p>
            <w:pPr>
              <w:spacing w:after="0"/>
              <w:rPr>
                <w:sz w:val="21"/>
                <w:szCs w:val="21"/>
                <w:color w:val="auto"/>
              </w:rPr>
            </w:pPr>
          </w:p>
        </w:tc>
        <w:tc>
          <w:tcPr>
            <w:tcW w:w="2500" w:type="dxa"/>
            <w:vAlign w:val="bottom"/>
            <w:gridSpan w:val="3"/>
          </w:tcPr>
          <w:p>
            <w:pPr>
              <w:jc w:val="center"/>
              <w:ind w:right="840"/>
              <w:spacing w:after="0"/>
              <w:rPr>
                <w:sz w:val="20"/>
                <w:szCs w:val="20"/>
                <w:color w:val="auto"/>
              </w:rPr>
            </w:pPr>
            <w:r>
              <w:rPr>
                <w:rFonts w:ascii="Times New Roman" w:cs="Times New Roman" w:eastAsia="Times New Roman" w:hAnsi="Times New Roman"/>
                <w:sz w:val="17"/>
                <w:szCs w:val="17"/>
                <w:color w:val="231F20"/>
              </w:rPr>
              <w:t>Cynthia L. Feldmann</w:t>
            </w:r>
          </w:p>
        </w:tc>
        <w:tc>
          <w:tcPr>
            <w:tcW w:w="2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840" w:type="dxa"/>
            <w:vAlign w:val="bottom"/>
            <w:tcBorders>
              <w:bottom w:val="single" w:sz="8" w:color="231F20"/>
            </w:tcBorders>
          </w:tcPr>
          <w:p>
            <w:pPr>
              <w:spacing w:after="0"/>
              <w:rPr>
                <w:sz w:val="24"/>
                <w:szCs w:val="24"/>
                <w:color w:val="auto"/>
              </w:rPr>
            </w:pPr>
          </w:p>
        </w:tc>
        <w:tc>
          <w:tcPr>
            <w:tcW w:w="1320" w:type="dxa"/>
            <w:vAlign w:val="bottom"/>
            <w:tcBorders>
              <w:bottom w:val="single" w:sz="8" w:color="231F20"/>
            </w:tcBorders>
            <w:gridSpan w:val="2"/>
          </w:tcPr>
          <w:p>
            <w:pPr>
              <w:jc w:val="center"/>
              <w:ind w:left="253"/>
              <w:spacing w:after="0"/>
              <w:rPr>
                <w:sz w:val="20"/>
                <w:szCs w:val="20"/>
                <w:color w:val="auto"/>
              </w:rPr>
            </w:pPr>
            <w:r>
              <w:rPr>
                <w:rFonts w:ascii="Times New Roman" w:cs="Times New Roman" w:eastAsia="Times New Roman" w:hAnsi="Times New Roman"/>
                <w:sz w:val="17"/>
                <w:szCs w:val="17"/>
                <w:color w:val="231F20"/>
              </w:rPr>
              <w:t>*</w:t>
            </w:r>
          </w:p>
        </w:tc>
        <w:tc>
          <w:tcPr>
            <w:tcW w:w="1180" w:type="dxa"/>
            <w:vAlign w:val="bottom"/>
            <w:tcBorders>
              <w:bottom w:val="single" w:sz="8" w:color="231F20"/>
            </w:tcBorders>
          </w:tcPr>
          <w:p>
            <w:pPr>
              <w:spacing w:after="0"/>
              <w:rPr>
                <w:sz w:val="24"/>
                <w:szCs w:val="24"/>
                <w:color w:val="auto"/>
              </w:rPr>
            </w:pPr>
          </w:p>
        </w:tc>
        <w:tc>
          <w:tcPr>
            <w:tcW w:w="466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231F20"/>
              </w:rPr>
              <w:t>Director</w:t>
            </w:r>
          </w:p>
        </w:tc>
        <w:tc>
          <w:tcPr>
            <w:tcW w:w="1560" w:type="dxa"/>
            <w:vAlign w:val="bottom"/>
            <w:gridSpan w:val="3"/>
          </w:tcPr>
          <w:p>
            <w:pPr>
              <w:jc w:val="center"/>
              <w:ind w:left="473"/>
              <w:spacing w:after="0"/>
              <w:rPr>
                <w:sz w:val="20"/>
                <w:szCs w:val="20"/>
                <w:color w:val="auto"/>
              </w:rPr>
            </w:pPr>
            <w:r>
              <w:rPr>
                <w:rFonts w:ascii="Times New Roman" w:cs="Times New Roman" w:eastAsia="Times New Roman" w:hAnsi="Times New Roman"/>
                <w:sz w:val="17"/>
                <w:szCs w:val="17"/>
                <w:color w:val="231F20"/>
              </w:rPr>
              <w:t>May 29, 2026</w:t>
            </w:r>
          </w:p>
        </w:tc>
        <w:tc>
          <w:tcPr>
            <w:tcW w:w="0" w:type="dxa"/>
            <w:vAlign w:val="bottom"/>
          </w:tcPr>
          <w:p>
            <w:pPr>
              <w:spacing w:after="0"/>
              <w:rPr>
                <w:sz w:val="1"/>
                <w:szCs w:val="1"/>
                <w:color w:val="auto"/>
              </w:rPr>
            </w:pPr>
          </w:p>
        </w:tc>
      </w:tr>
      <w:tr>
        <w:trPr>
          <w:trHeight w:val="252"/>
        </w:trPr>
        <w:tc>
          <w:tcPr>
            <w:tcW w:w="840" w:type="dxa"/>
            <w:vAlign w:val="bottom"/>
          </w:tcPr>
          <w:p>
            <w:pPr>
              <w:spacing w:after="0"/>
              <w:rPr>
                <w:sz w:val="21"/>
                <w:szCs w:val="21"/>
                <w:color w:val="auto"/>
              </w:rPr>
            </w:pPr>
          </w:p>
        </w:tc>
        <w:tc>
          <w:tcPr>
            <w:tcW w:w="2500" w:type="dxa"/>
            <w:vAlign w:val="bottom"/>
            <w:gridSpan w:val="3"/>
          </w:tcPr>
          <w:p>
            <w:pPr>
              <w:jc w:val="center"/>
              <w:ind w:right="840"/>
              <w:spacing w:after="0"/>
              <w:rPr>
                <w:sz w:val="20"/>
                <w:szCs w:val="20"/>
                <w:color w:val="auto"/>
              </w:rPr>
            </w:pPr>
            <w:r>
              <w:rPr>
                <w:rFonts w:ascii="Times New Roman" w:cs="Times New Roman" w:eastAsia="Times New Roman" w:hAnsi="Times New Roman"/>
                <w:sz w:val="17"/>
                <w:szCs w:val="17"/>
                <w:color w:val="231F20"/>
              </w:rPr>
              <w:t>Christopher S. Holland</w:t>
            </w:r>
          </w:p>
        </w:tc>
        <w:tc>
          <w:tcPr>
            <w:tcW w:w="2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840" w:type="dxa"/>
            <w:vAlign w:val="bottom"/>
            <w:tcBorders>
              <w:bottom w:val="single" w:sz="8" w:color="231F20"/>
            </w:tcBorders>
          </w:tcPr>
          <w:p>
            <w:pPr>
              <w:spacing w:after="0"/>
              <w:rPr>
                <w:sz w:val="24"/>
                <w:szCs w:val="24"/>
                <w:color w:val="auto"/>
              </w:rPr>
            </w:pPr>
          </w:p>
        </w:tc>
        <w:tc>
          <w:tcPr>
            <w:tcW w:w="1320" w:type="dxa"/>
            <w:vAlign w:val="bottom"/>
            <w:tcBorders>
              <w:bottom w:val="single" w:sz="8" w:color="231F20"/>
            </w:tcBorders>
            <w:gridSpan w:val="2"/>
          </w:tcPr>
          <w:p>
            <w:pPr>
              <w:jc w:val="center"/>
              <w:ind w:left="253"/>
              <w:spacing w:after="0"/>
              <w:rPr>
                <w:sz w:val="20"/>
                <w:szCs w:val="20"/>
                <w:color w:val="auto"/>
              </w:rPr>
            </w:pPr>
            <w:r>
              <w:rPr>
                <w:rFonts w:ascii="Times New Roman" w:cs="Times New Roman" w:eastAsia="Times New Roman" w:hAnsi="Times New Roman"/>
                <w:sz w:val="17"/>
                <w:szCs w:val="17"/>
                <w:color w:val="231F20"/>
              </w:rPr>
              <w:t>*</w:t>
            </w:r>
          </w:p>
        </w:tc>
        <w:tc>
          <w:tcPr>
            <w:tcW w:w="1180" w:type="dxa"/>
            <w:vAlign w:val="bottom"/>
            <w:tcBorders>
              <w:bottom w:val="single" w:sz="8" w:color="231F20"/>
            </w:tcBorders>
          </w:tcPr>
          <w:p>
            <w:pPr>
              <w:spacing w:after="0"/>
              <w:rPr>
                <w:sz w:val="24"/>
                <w:szCs w:val="24"/>
                <w:color w:val="auto"/>
              </w:rPr>
            </w:pPr>
          </w:p>
        </w:tc>
        <w:tc>
          <w:tcPr>
            <w:tcW w:w="466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231F20"/>
              </w:rPr>
              <w:t>Director</w:t>
            </w:r>
          </w:p>
        </w:tc>
        <w:tc>
          <w:tcPr>
            <w:tcW w:w="1560" w:type="dxa"/>
            <w:vAlign w:val="bottom"/>
            <w:gridSpan w:val="3"/>
          </w:tcPr>
          <w:p>
            <w:pPr>
              <w:jc w:val="center"/>
              <w:ind w:left="473"/>
              <w:spacing w:after="0"/>
              <w:rPr>
                <w:sz w:val="20"/>
                <w:szCs w:val="20"/>
                <w:color w:val="auto"/>
              </w:rPr>
            </w:pPr>
            <w:r>
              <w:rPr>
                <w:rFonts w:ascii="Times New Roman" w:cs="Times New Roman" w:eastAsia="Times New Roman" w:hAnsi="Times New Roman"/>
                <w:sz w:val="17"/>
                <w:szCs w:val="17"/>
                <w:color w:val="231F20"/>
              </w:rPr>
              <w:t>May 29, 2026</w:t>
            </w:r>
          </w:p>
        </w:tc>
        <w:tc>
          <w:tcPr>
            <w:tcW w:w="0" w:type="dxa"/>
            <w:vAlign w:val="bottom"/>
          </w:tcPr>
          <w:p>
            <w:pPr>
              <w:spacing w:after="0"/>
              <w:rPr>
                <w:sz w:val="1"/>
                <w:szCs w:val="1"/>
                <w:color w:val="auto"/>
              </w:rPr>
            </w:pPr>
          </w:p>
        </w:tc>
      </w:tr>
      <w:tr>
        <w:trPr>
          <w:trHeight w:val="252"/>
        </w:trPr>
        <w:tc>
          <w:tcPr>
            <w:tcW w:w="840" w:type="dxa"/>
            <w:vAlign w:val="bottom"/>
          </w:tcPr>
          <w:p>
            <w:pPr>
              <w:spacing w:after="0"/>
              <w:rPr>
                <w:sz w:val="21"/>
                <w:szCs w:val="21"/>
                <w:color w:val="auto"/>
              </w:rPr>
            </w:pPr>
          </w:p>
        </w:tc>
        <w:tc>
          <w:tcPr>
            <w:tcW w:w="2500" w:type="dxa"/>
            <w:vAlign w:val="bottom"/>
            <w:gridSpan w:val="3"/>
          </w:tcPr>
          <w:p>
            <w:pPr>
              <w:jc w:val="center"/>
              <w:ind w:right="840"/>
              <w:spacing w:after="0"/>
              <w:rPr>
                <w:sz w:val="20"/>
                <w:szCs w:val="20"/>
                <w:color w:val="auto"/>
              </w:rPr>
            </w:pPr>
            <w:r>
              <w:rPr>
                <w:rFonts w:ascii="Times New Roman" w:cs="Times New Roman" w:eastAsia="Times New Roman" w:hAnsi="Times New Roman"/>
                <w:sz w:val="17"/>
                <w:szCs w:val="17"/>
                <w:color w:val="231F20"/>
              </w:rPr>
              <w:t>Paul E. Martin</w:t>
            </w:r>
          </w:p>
        </w:tc>
        <w:tc>
          <w:tcPr>
            <w:tcW w:w="2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840" w:type="dxa"/>
            <w:vAlign w:val="bottom"/>
            <w:tcBorders>
              <w:bottom w:val="single" w:sz="8" w:color="231F20"/>
            </w:tcBorders>
          </w:tcPr>
          <w:p>
            <w:pPr>
              <w:spacing w:after="0"/>
              <w:rPr>
                <w:sz w:val="24"/>
                <w:szCs w:val="24"/>
                <w:color w:val="auto"/>
              </w:rPr>
            </w:pPr>
          </w:p>
        </w:tc>
        <w:tc>
          <w:tcPr>
            <w:tcW w:w="1320" w:type="dxa"/>
            <w:vAlign w:val="bottom"/>
            <w:tcBorders>
              <w:bottom w:val="single" w:sz="8" w:color="231F20"/>
            </w:tcBorders>
            <w:gridSpan w:val="2"/>
          </w:tcPr>
          <w:p>
            <w:pPr>
              <w:jc w:val="center"/>
              <w:ind w:left="253"/>
              <w:spacing w:after="0"/>
              <w:rPr>
                <w:sz w:val="20"/>
                <w:szCs w:val="20"/>
                <w:color w:val="auto"/>
              </w:rPr>
            </w:pPr>
            <w:r>
              <w:rPr>
                <w:rFonts w:ascii="Times New Roman" w:cs="Times New Roman" w:eastAsia="Times New Roman" w:hAnsi="Times New Roman"/>
                <w:sz w:val="17"/>
                <w:szCs w:val="17"/>
                <w:color w:val="231F20"/>
              </w:rPr>
              <w:t>*</w:t>
            </w:r>
          </w:p>
        </w:tc>
        <w:tc>
          <w:tcPr>
            <w:tcW w:w="1180" w:type="dxa"/>
            <w:vAlign w:val="bottom"/>
            <w:tcBorders>
              <w:bottom w:val="single" w:sz="8" w:color="231F20"/>
            </w:tcBorders>
          </w:tcPr>
          <w:p>
            <w:pPr>
              <w:spacing w:after="0"/>
              <w:rPr>
                <w:sz w:val="24"/>
                <w:szCs w:val="24"/>
                <w:color w:val="auto"/>
              </w:rPr>
            </w:pPr>
          </w:p>
        </w:tc>
        <w:tc>
          <w:tcPr>
            <w:tcW w:w="466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231F20"/>
              </w:rPr>
              <w:t>Director</w:t>
            </w:r>
          </w:p>
        </w:tc>
        <w:tc>
          <w:tcPr>
            <w:tcW w:w="1560" w:type="dxa"/>
            <w:vAlign w:val="bottom"/>
            <w:gridSpan w:val="3"/>
          </w:tcPr>
          <w:p>
            <w:pPr>
              <w:jc w:val="center"/>
              <w:ind w:left="473"/>
              <w:spacing w:after="0"/>
              <w:rPr>
                <w:sz w:val="20"/>
                <w:szCs w:val="20"/>
                <w:color w:val="auto"/>
              </w:rPr>
            </w:pPr>
            <w:r>
              <w:rPr>
                <w:rFonts w:ascii="Times New Roman" w:cs="Times New Roman" w:eastAsia="Times New Roman" w:hAnsi="Times New Roman"/>
                <w:sz w:val="17"/>
                <w:szCs w:val="17"/>
                <w:color w:val="231F20"/>
              </w:rPr>
              <w:t>May 29, 2026</w:t>
            </w:r>
          </w:p>
        </w:tc>
        <w:tc>
          <w:tcPr>
            <w:tcW w:w="0" w:type="dxa"/>
            <w:vAlign w:val="bottom"/>
          </w:tcPr>
          <w:p>
            <w:pPr>
              <w:spacing w:after="0"/>
              <w:rPr>
                <w:sz w:val="1"/>
                <w:szCs w:val="1"/>
                <w:color w:val="auto"/>
              </w:rPr>
            </w:pPr>
          </w:p>
        </w:tc>
      </w:tr>
      <w:tr>
        <w:trPr>
          <w:trHeight w:val="252"/>
        </w:trPr>
        <w:tc>
          <w:tcPr>
            <w:tcW w:w="840" w:type="dxa"/>
            <w:vAlign w:val="bottom"/>
          </w:tcPr>
          <w:p>
            <w:pPr>
              <w:spacing w:after="0"/>
              <w:rPr>
                <w:sz w:val="21"/>
                <w:szCs w:val="21"/>
                <w:color w:val="auto"/>
              </w:rPr>
            </w:pPr>
          </w:p>
        </w:tc>
        <w:tc>
          <w:tcPr>
            <w:tcW w:w="2500" w:type="dxa"/>
            <w:vAlign w:val="bottom"/>
            <w:gridSpan w:val="3"/>
          </w:tcPr>
          <w:p>
            <w:pPr>
              <w:jc w:val="center"/>
              <w:ind w:right="840"/>
              <w:spacing w:after="0"/>
              <w:rPr>
                <w:sz w:val="20"/>
                <w:szCs w:val="20"/>
                <w:color w:val="auto"/>
              </w:rPr>
            </w:pPr>
            <w:r>
              <w:rPr>
                <w:rFonts w:ascii="Times New Roman" w:cs="Times New Roman" w:eastAsia="Times New Roman" w:hAnsi="Times New Roman"/>
                <w:sz w:val="17"/>
                <w:szCs w:val="17"/>
                <w:color w:val="231F20"/>
              </w:rPr>
              <w:t>Nirav R. Shah</w:t>
            </w:r>
          </w:p>
        </w:tc>
        <w:tc>
          <w:tcPr>
            <w:tcW w:w="2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840" w:type="dxa"/>
            <w:vAlign w:val="bottom"/>
            <w:tcBorders>
              <w:bottom w:val="single" w:sz="8" w:color="231F20"/>
            </w:tcBorders>
          </w:tcPr>
          <w:p>
            <w:pPr>
              <w:spacing w:after="0"/>
              <w:rPr>
                <w:sz w:val="24"/>
                <w:szCs w:val="24"/>
                <w:color w:val="auto"/>
              </w:rPr>
            </w:pPr>
          </w:p>
        </w:tc>
        <w:tc>
          <w:tcPr>
            <w:tcW w:w="1320" w:type="dxa"/>
            <w:vAlign w:val="bottom"/>
            <w:tcBorders>
              <w:bottom w:val="single" w:sz="8" w:color="231F20"/>
            </w:tcBorders>
            <w:gridSpan w:val="2"/>
          </w:tcPr>
          <w:p>
            <w:pPr>
              <w:jc w:val="center"/>
              <w:ind w:left="253"/>
              <w:spacing w:after="0"/>
              <w:rPr>
                <w:sz w:val="20"/>
                <w:szCs w:val="20"/>
                <w:color w:val="auto"/>
              </w:rPr>
            </w:pPr>
            <w:r>
              <w:rPr>
                <w:rFonts w:ascii="Times New Roman" w:cs="Times New Roman" w:eastAsia="Times New Roman" w:hAnsi="Times New Roman"/>
                <w:sz w:val="17"/>
                <w:szCs w:val="17"/>
                <w:color w:val="231F20"/>
              </w:rPr>
              <w:t>*</w:t>
            </w:r>
          </w:p>
        </w:tc>
        <w:tc>
          <w:tcPr>
            <w:tcW w:w="1180" w:type="dxa"/>
            <w:vAlign w:val="bottom"/>
            <w:tcBorders>
              <w:bottom w:val="single" w:sz="8" w:color="231F20"/>
            </w:tcBorders>
          </w:tcPr>
          <w:p>
            <w:pPr>
              <w:spacing w:after="0"/>
              <w:rPr>
                <w:sz w:val="24"/>
                <w:szCs w:val="24"/>
                <w:color w:val="auto"/>
              </w:rPr>
            </w:pPr>
          </w:p>
        </w:tc>
        <w:tc>
          <w:tcPr>
            <w:tcW w:w="466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231F20"/>
              </w:rPr>
              <w:t>Director</w:t>
            </w:r>
          </w:p>
        </w:tc>
        <w:tc>
          <w:tcPr>
            <w:tcW w:w="1560" w:type="dxa"/>
            <w:vAlign w:val="bottom"/>
            <w:gridSpan w:val="3"/>
          </w:tcPr>
          <w:p>
            <w:pPr>
              <w:jc w:val="center"/>
              <w:ind w:left="493"/>
              <w:spacing w:after="0"/>
              <w:rPr>
                <w:sz w:val="20"/>
                <w:szCs w:val="20"/>
                <w:color w:val="auto"/>
              </w:rPr>
            </w:pPr>
            <w:r>
              <w:rPr>
                <w:rFonts w:ascii="Times New Roman" w:cs="Times New Roman" w:eastAsia="Times New Roman" w:hAnsi="Times New Roman"/>
                <w:sz w:val="17"/>
                <w:szCs w:val="17"/>
                <w:color w:val="231F20"/>
              </w:rPr>
              <w:t>May 29, 2026</w:t>
            </w:r>
          </w:p>
        </w:tc>
        <w:tc>
          <w:tcPr>
            <w:tcW w:w="0" w:type="dxa"/>
            <w:vAlign w:val="bottom"/>
          </w:tcPr>
          <w:p>
            <w:pPr>
              <w:spacing w:after="0"/>
              <w:rPr>
                <w:sz w:val="1"/>
                <w:szCs w:val="1"/>
                <w:color w:val="auto"/>
              </w:rPr>
            </w:pPr>
          </w:p>
        </w:tc>
      </w:tr>
      <w:tr>
        <w:trPr>
          <w:trHeight w:val="252"/>
        </w:trPr>
        <w:tc>
          <w:tcPr>
            <w:tcW w:w="840" w:type="dxa"/>
            <w:vAlign w:val="bottom"/>
          </w:tcPr>
          <w:p>
            <w:pPr>
              <w:spacing w:after="0"/>
              <w:rPr>
                <w:sz w:val="21"/>
                <w:szCs w:val="21"/>
                <w:color w:val="auto"/>
              </w:rPr>
            </w:pPr>
          </w:p>
        </w:tc>
        <w:tc>
          <w:tcPr>
            <w:tcW w:w="2500" w:type="dxa"/>
            <w:vAlign w:val="bottom"/>
            <w:gridSpan w:val="3"/>
          </w:tcPr>
          <w:p>
            <w:pPr>
              <w:jc w:val="center"/>
              <w:ind w:right="840"/>
              <w:spacing w:after="0"/>
              <w:rPr>
                <w:sz w:val="20"/>
                <w:szCs w:val="20"/>
                <w:color w:val="auto"/>
              </w:rPr>
            </w:pPr>
            <w:r>
              <w:rPr>
                <w:rFonts w:ascii="Times New Roman" w:cs="Times New Roman" w:eastAsia="Times New Roman" w:hAnsi="Times New Roman"/>
                <w:sz w:val="17"/>
                <w:szCs w:val="17"/>
                <w:color w:val="231F20"/>
              </w:rPr>
              <w:t>Louis A. Shapiro</w:t>
            </w:r>
          </w:p>
        </w:tc>
        <w:tc>
          <w:tcPr>
            <w:tcW w:w="2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540" w:hanging="486"/>
        <w:spacing w:after="0" w:line="227" w:lineRule="auto"/>
        <w:tabs>
          <w:tab w:leader="none" w:pos="540" w:val="left"/>
        </w:tabs>
        <w:numPr>
          <w:ilvl w:val="0"/>
          <w:numId w:val="39"/>
        </w:numPr>
        <w:rPr>
          <w:rFonts w:ascii="Times New Roman" w:cs="Times New Roman" w:eastAsia="Times New Roman" w:hAnsi="Times New Roman"/>
          <w:sz w:val="19"/>
          <w:szCs w:val="19"/>
          <w:color w:val="231F20"/>
        </w:rPr>
      </w:pPr>
      <w:r>
        <w:rPr>
          <w:rFonts w:ascii="Times New Roman" w:cs="Times New Roman" w:eastAsia="Times New Roman" w:hAnsi="Times New Roman"/>
          <w:sz w:val="17"/>
          <w:szCs w:val="17"/>
          <w:color w:val="231F20"/>
        </w:rPr>
        <w:t>The undersigned, by signing his name hereto, does sign and execute this Annual Report on Form 10-K pursuant to the Powers of Attorney executed by the above-named directors of the Registrant and filed with the Securities and Exchange Commission on behalf of such directors.</w:t>
      </w:r>
    </w:p>
    <w:p>
      <w:pPr>
        <w:spacing w:after="0" w:line="175" w:lineRule="exact"/>
        <w:rPr>
          <w:sz w:val="20"/>
          <w:szCs w:val="20"/>
          <w:color w:val="auto"/>
        </w:rPr>
      </w:pPr>
    </w:p>
    <w:p>
      <w:pPr>
        <w:ind w:left="60"/>
        <w:spacing w:after="0"/>
        <w:tabs>
          <w:tab w:leader="none" w:pos="680" w:val="left"/>
          <w:tab w:leader="none" w:pos="3840" w:val="left"/>
          <w:tab w:leader="none" w:pos="4320" w:val="left"/>
          <w:tab w:leader="none" w:pos="4700" w:val="left"/>
        </w:tabs>
        <w:rPr>
          <w:sz w:val="20"/>
          <w:szCs w:val="20"/>
          <w:color w:val="auto"/>
        </w:rPr>
      </w:pPr>
      <w:r>
        <w:rPr>
          <w:rFonts w:ascii="Times New Roman" w:cs="Times New Roman" w:eastAsia="Times New Roman" w:hAnsi="Times New Roman"/>
          <w:sz w:val="17"/>
          <w:szCs w:val="17"/>
          <w:color w:val="231F20"/>
        </w:rPr>
        <w:t>Date:</w:t>
        <w:tab/>
        <w:t>May 29, 2026</w:t>
      </w:r>
      <w:r>
        <w:rPr>
          <w:sz w:val="20"/>
          <w:szCs w:val="20"/>
          <w:color w:val="auto"/>
        </w:rPr>
        <w:tab/>
      </w:r>
      <w:r>
        <w:rPr>
          <w:rFonts w:ascii="Times New Roman" w:cs="Times New Roman" w:eastAsia="Times New Roman" w:hAnsi="Times New Roman"/>
          <w:sz w:val="35"/>
          <w:szCs w:val="35"/>
          <w:color w:val="231F20"/>
          <w:vertAlign w:val="superscript"/>
        </w:rPr>
        <w:t>By:</w:t>
      </w:r>
      <w:r>
        <w:rPr>
          <w:sz w:val="20"/>
          <w:szCs w:val="20"/>
          <w:color w:val="auto"/>
        </w:rPr>
        <w:tab/>
      </w:r>
      <w:r>
        <w:rPr>
          <w:rFonts w:ascii="Times New Roman" w:cs="Times New Roman" w:eastAsia="Times New Roman" w:hAnsi="Times New Roman"/>
          <w:sz w:val="17"/>
          <w:szCs w:val="17"/>
          <w:color w:val="231F20"/>
        </w:rPr>
        <w:t>/S/</w:t>
        <w:tab/>
        <w:t>J. ADAM ZANGERLE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2727960</wp:posOffset>
            </wp:positionH>
            <wp:positionV relativeFrom="paragraph">
              <wp:posOffset>-40005</wp:posOffset>
            </wp:positionV>
            <wp:extent cx="1700530" cy="120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9">
                      <a:extLst>
                        <a:ext uri="{28A0092B-C50C-407E-A947-70E740481C1C}"/>
                      </a:extLst>
                    </a:blip>
                    <a:srcRect/>
                    <a:stretch>
                      <a:fillRect/>
                    </a:stretch>
                  </pic:blipFill>
                  <pic:spPr bwMode="auto">
                    <a:xfrm>
                      <a:off x="0" y="0"/>
                      <a:ext cx="1700530" cy="12065"/>
                    </a:xfrm>
                    <a:prstGeom prst="rect">
                      <a:avLst/>
                    </a:prstGeom>
                    <a:noFill/>
                  </pic:spPr>
                </pic:pic>
              </a:graphicData>
            </a:graphic>
          </wp:anchor>
        </w:drawing>
      </w:r>
    </w:p>
    <w:p>
      <w:pPr>
        <w:ind w:left="3860"/>
        <w:spacing w:after="0" w:line="214" w:lineRule="auto"/>
        <w:rPr>
          <w:sz w:val="20"/>
          <w:szCs w:val="20"/>
          <w:color w:val="auto"/>
        </w:rPr>
      </w:pPr>
      <w:r>
        <w:rPr>
          <w:rFonts w:ascii="Times New Roman" w:cs="Times New Roman" w:eastAsia="Times New Roman" w:hAnsi="Times New Roman"/>
          <w:sz w:val="17"/>
          <w:szCs w:val="17"/>
          <w:color w:val="231F20"/>
        </w:rPr>
        <w:t>J. Adam Zangerle,</w:t>
      </w:r>
    </w:p>
    <w:p>
      <w:pPr>
        <w:ind w:left="3860"/>
        <w:spacing w:after="0"/>
        <w:rPr>
          <w:sz w:val="20"/>
          <w:szCs w:val="20"/>
          <w:color w:val="auto"/>
        </w:rPr>
      </w:pPr>
      <w:r>
        <w:rPr>
          <w:rFonts w:ascii="Times New Roman" w:cs="Times New Roman" w:eastAsia="Times New Roman" w:hAnsi="Times New Roman"/>
          <w:sz w:val="17"/>
          <w:szCs w:val="17"/>
          <w:color w:val="231F20"/>
        </w:rPr>
        <w:t>Attorney-in-Fact for Directors</w:t>
      </w:r>
    </w:p>
    <w:p>
      <w:pPr>
        <w:sectPr>
          <w:pgSz w:w="11880" w:h="15480" w:orient="portrait"/>
          <w:cols w:equalWidth="0" w:num="1">
            <w:col w:w="9800"/>
          </w:cols>
          <w:pgMar w:left="960" w:top="825"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231F20"/>
        </w:rPr>
        <w:t>110</w:t>
      </w:r>
    </w:p>
    <w:p>
      <w:pPr>
        <w:sectPr>
          <w:pgSz w:w="11880" w:h="15480" w:orient="portrait"/>
          <w:cols w:equalWidth="0" w:num="1">
            <w:col w:w="9800"/>
          </w:cols>
          <w:pgMar w:left="960" w:top="825" w:right="1120" w:bottom="0" w:gutter="0" w:footer="0" w:header="0"/>
          <w:type w:val="continuous"/>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9"/>
          <w:szCs w:val="19"/>
          <w:b w:val="1"/>
          <w:bCs w:val="1"/>
          <w:color w:val="231F20"/>
        </w:rPr>
        <w:t>This Page is Not Part of STERIS plc's Form 10-K Filing</w:t>
      </w:r>
    </w:p>
    <w:p>
      <w:pPr>
        <w:spacing w:after="0" w:line="25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b w:val="1"/>
          <w:bCs w:val="1"/>
          <w:color w:val="231F20"/>
        </w:rPr>
        <w:t xml:space="preserve">Performance Graph. </w:t>
      </w:r>
      <w:r>
        <w:rPr>
          <w:rFonts w:ascii="Times New Roman" w:cs="Times New Roman" w:eastAsia="Times New Roman" w:hAnsi="Times New Roman"/>
          <w:sz w:val="19"/>
          <w:szCs w:val="19"/>
          <w:color w:val="231F20"/>
        </w:rPr>
        <w:t>The following graph shows the cumulative performance for our ordinary shares over the last five years</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as of March 31 of each year compared with the performance of the Standard &amp; Poor's 500 Index, the S&amp;P 500 Healthcare Equipment Index, and the Dow Jones U.S. Medical Supplies Index as of the same date. The Company changed its peer group as we believe the S&amp;P 500 Healthcare Equipment Index provides a more accurate representation of our industry peers compared to the Dow Jones U.S. Medical Supplies Index. The graph assumes $100 invested as of March 31, 2021 in our ordinary shares and in each of the named indices. The past performance shown in this graph does not necessarily guarantee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160020</wp:posOffset>
            </wp:positionV>
            <wp:extent cx="6319520" cy="36163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0">
                      <a:extLst>
                        <a:ext uri="{28A0092B-C50C-407E-A947-70E740481C1C}"/>
                      </a:extLst>
                    </a:blip>
                    <a:srcRect/>
                    <a:stretch>
                      <a:fillRect/>
                    </a:stretch>
                  </pic:blipFill>
                  <pic:spPr bwMode="auto">
                    <a:xfrm>
                      <a:off x="0" y="0"/>
                      <a:ext cx="6319520" cy="3616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5"/>
        </w:trPr>
        <w:tc>
          <w:tcPr>
            <w:tcW w:w="780" w:type="dxa"/>
            <w:vAlign w:val="bottom"/>
            <w:tcBorders>
              <w:bottom w:val="single" w:sz="8" w:color="231F20"/>
            </w:tcBorders>
          </w:tcPr>
          <w:p>
            <w:pPr>
              <w:spacing w:after="0"/>
              <w:rPr>
                <w:sz w:val="22"/>
                <w:szCs w:val="22"/>
                <w:color w:val="auto"/>
              </w:rPr>
            </w:pPr>
          </w:p>
        </w:tc>
        <w:tc>
          <w:tcPr>
            <w:tcW w:w="3340" w:type="dxa"/>
            <w:vAlign w:val="bottom"/>
            <w:tcBorders>
              <w:bottom w:val="single" w:sz="8" w:color="231F20"/>
            </w:tcBorders>
          </w:tcPr>
          <w:p>
            <w:pPr>
              <w:spacing w:after="0"/>
              <w:rPr>
                <w:sz w:val="22"/>
                <w:szCs w:val="22"/>
                <w:color w:val="auto"/>
              </w:rPr>
            </w:pPr>
          </w:p>
        </w:tc>
        <w:tc>
          <w:tcPr>
            <w:tcW w:w="1620" w:type="dxa"/>
            <w:vAlign w:val="bottom"/>
            <w:tcBorders>
              <w:bottom w:val="single" w:sz="8" w:color="231F20"/>
            </w:tcBorders>
          </w:tcPr>
          <w:p>
            <w:pPr>
              <w:jc w:val="right"/>
              <w:ind w:right="183"/>
              <w:spacing w:after="0"/>
              <w:rPr>
                <w:sz w:val="20"/>
                <w:szCs w:val="20"/>
                <w:color w:val="auto"/>
              </w:rPr>
            </w:pPr>
            <w:r>
              <w:rPr>
                <w:rFonts w:ascii="Times New Roman" w:cs="Times New Roman" w:eastAsia="Times New Roman" w:hAnsi="Times New Roman"/>
                <w:sz w:val="19"/>
                <w:szCs w:val="19"/>
                <w:color w:val="231F20"/>
              </w:rPr>
              <w:t>3/21</w:t>
            </w:r>
          </w:p>
        </w:tc>
        <w:tc>
          <w:tcPr>
            <w:tcW w:w="840" w:type="dxa"/>
            <w:vAlign w:val="bottom"/>
            <w:tcBorders>
              <w:bottom w:val="single" w:sz="8" w:color="231F20"/>
            </w:tcBorders>
          </w:tcPr>
          <w:p>
            <w:pPr>
              <w:jc w:val="right"/>
              <w:ind w:right="183"/>
              <w:spacing w:after="0"/>
              <w:rPr>
                <w:sz w:val="20"/>
                <w:szCs w:val="20"/>
                <w:color w:val="auto"/>
              </w:rPr>
            </w:pPr>
            <w:r>
              <w:rPr>
                <w:rFonts w:ascii="Times New Roman" w:cs="Times New Roman" w:eastAsia="Times New Roman" w:hAnsi="Times New Roman"/>
                <w:sz w:val="19"/>
                <w:szCs w:val="19"/>
                <w:color w:val="231F20"/>
              </w:rPr>
              <w:t>3/22</w:t>
            </w:r>
          </w:p>
        </w:tc>
        <w:tc>
          <w:tcPr>
            <w:tcW w:w="840" w:type="dxa"/>
            <w:vAlign w:val="bottom"/>
            <w:tcBorders>
              <w:bottom w:val="single" w:sz="8" w:color="231F20"/>
            </w:tcBorders>
          </w:tcPr>
          <w:p>
            <w:pPr>
              <w:jc w:val="right"/>
              <w:ind w:right="183"/>
              <w:spacing w:after="0"/>
              <w:rPr>
                <w:sz w:val="20"/>
                <w:szCs w:val="20"/>
                <w:color w:val="auto"/>
              </w:rPr>
            </w:pPr>
            <w:r>
              <w:rPr>
                <w:rFonts w:ascii="Times New Roman" w:cs="Times New Roman" w:eastAsia="Times New Roman" w:hAnsi="Times New Roman"/>
                <w:sz w:val="19"/>
                <w:szCs w:val="19"/>
                <w:color w:val="231F20"/>
              </w:rPr>
              <w:t>3/23</w:t>
            </w:r>
          </w:p>
        </w:tc>
        <w:tc>
          <w:tcPr>
            <w:tcW w:w="840" w:type="dxa"/>
            <w:vAlign w:val="bottom"/>
            <w:tcBorders>
              <w:bottom w:val="single" w:sz="8" w:color="231F20"/>
            </w:tcBorders>
          </w:tcPr>
          <w:p>
            <w:pPr>
              <w:jc w:val="right"/>
              <w:ind w:right="183"/>
              <w:spacing w:after="0"/>
              <w:rPr>
                <w:sz w:val="20"/>
                <w:szCs w:val="20"/>
                <w:color w:val="auto"/>
              </w:rPr>
            </w:pPr>
            <w:r>
              <w:rPr>
                <w:rFonts w:ascii="Times New Roman" w:cs="Times New Roman" w:eastAsia="Times New Roman" w:hAnsi="Times New Roman"/>
                <w:sz w:val="19"/>
                <w:szCs w:val="19"/>
                <w:color w:val="231F20"/>
              </w:rPr>
              <w:t>3/24</w:t>
            </w:r>
          </w:p>
        </w:tc>
        <w:tc>
          <w:tcPr>
            <w:tcW w:w="860" w:type="dxa"/>
            <w:vAlign w:val="bottom"/>
            <w:tcBorders>
              <w:bottom w:val="single" w:sz="8" w:color="231F20"/>
            </w:tcBorders>
          </w:tcPr>
          <w:p>
            <w:pPr>
              <w:jc w:val="right"/>
              <w:ind w:right="203"/>
              <w:spacing w:after="0"/>
              <w:rPr>
                <w:sz w:val="20"/>
                <w:szCs w:val="20"/>
                <w:color w:val="auto"/>
              </w:rPr>
            </w:pPr>
            <w:r>
              <w:rPr>
                <w:rFonts w:ascii="Times New Roman" w:cs="Times New Roman" w:eastAsia="Times New Roman" w:hAnsi="Times New Roman"/>
                <w:sz w:val="19"/>
                <w:szCs w:val="19"/>
                <w:color w:val="231F20"/>
              </w:rPr>
              <w:t>3/25</w:t>
            </w:r>
          </w:p>
        </w:tc>
        <w:tc>
          <w:tcPr>
            <w:tcW w:w="760" w:type="dxa"/>
            <w:vAlign w:val="bottom"/>
            <w:tcBorders>
              <w:bottom w:val="single" w:sz="8" w:color="231F20"/>
            </w:tcBorders>
          </w:tcPr>
          <w:p>
            <w:pPr>
              <w:jc w:val="right"/>
              <w:ind w:right="123"/>
              <w:spacing w:after="0"/>
              <w:rPr>
                <w:sz w:val="20"/>
                <w:szCs w:val="20"/>
                <w:color w:val="auto"/>
              </w:rPr>
            </w:pPr>
            <w:r>
              <w:rPr>
                <w:rFonts w:ascii="Times New Roman" w:cs="Times New Roman" w:eastAsia="Times New Roman" w:hAnsi="Times New Roman"/>
                <w:sz w:val="19"/>
                <w:szCs w:val="19"/>
                <w:color w:val="231F20"/>
              </w:rPr>
              <w:t>3/26</w:t>
            </w:r>
          </w:p>
        </w:tc>
      </w:tr>
      <w:tr>
        <w:trPr>
          <w:trHeight w:val="268"/>
        </w:trPr>
        <w:tc>
          <w:tcPr>
            <w:tcW w:w="41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231F20"/>
              </w:rPr>
              <w:t>STERIS plc</w:t>
            </w:r>
          </w:p>
        </w:tc>
        <w:tc>
          <w:tcPr>
            <w:tcW w:w="16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231F20"/>
              </w:rPr>
              <w:t>100.00</w:t>
            </w: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231F20"/>
              </w:rPr>
              <w:t>127.92</w:t>
            </w: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231F20"/>
              </w:rPr>
              <w:t>102.19</w:t>
            </w:r>
          </w:p>
        </w:tc>
        <w:tc>
          <w:tcPr>
            <w:tcW w:w="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231F20"/>
              </w:rPr>
              <w:t>121.24</w:t>
            </w:r>
          </w:p>
        </w:tc>
        <w:tc>
          <w:tcPr>
            <w:tcW w:w="86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231F20"/>
              </w:rPr>
              <w:t>123.44</w:t>
            </w: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121.34</w:t>
            </w:r>
          </w:p>
        </w:tc>
      </w:tr>
      <w:tr>
        <w:trPr>
          <w:trHeight w:val="291"/>
        </w:trPr>
        <w:tc>
          <w:tcPr>
            <w:tcW w:w="7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S&amp;P 500</w:t>
            </w:r>
          </w:p>
        </w:tc>
        <w:tc>
          <w:tcPr>
            <w:tcW w:w="3340" w:type="dxa"/>
            <w:vAlign w:val="bottom"/>
          </w:tcPr>
          <w:p>
            <w:pPr>
              <w:ind w:left="20"/>
              <w:spacing w:after="0"/>
              <w:rPr>
                <w:sz w:val="20"/>
                <w:szCs w:val="20"/>
                <w:color w:val="auto"/>
              </w:rPr>
            </w:pPr>
            <w:r>
              <w:rPr>
                <w:rFonts w:ascii="Times New Roman" w:cs="Times New Roman" w:eastAsia="Times New Roman" w:hAnsi="Times New Roman"/>
                <w:sz w:val="19"/>
                <w:szCs w:val="19"/>
                <w:color w:val="231F20"/>
              </w:rPr>
              <w:t>Index</w:t>
            </w:r>
          </w:p>
        </w:tc>
        <w:tc>
          <w:tcPr>
            <w:tcW w:w="16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231F20"/>
              </w:rPr>
              <w:t>100.00</w:t>
            </w: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231F20"/>
              </w:rPr>
              <w:t>115.65</w:t>
            </w: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231F20"/>
              </w:rPr>
              <w:t>106.71</w:t>
            </w:r>
          </w:p>
        </w:tc>
        <w:tc>
          <w:tcPr>
            <w:tcW w:w="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231F20"/>
              </w:rPr>
              <w:t>138.59</w:t>
            </w:r>
          </w:p>
        </w:tc>
        <w:tc>
          <w:tcPr>
            <w:tcW w:w="86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231F20"/>
              </w:rPr>
              <w:t>150.03</w:t>
            </w: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176.74</w:t>
            </w:r>
          </w:p>
        </w:tc>
      </w:tr>
      <w:tr>
        <w:trPr>
          <w:trHeight w:val="291"/>
        </w:trPr>
        <w:tc>
          <w:tcPr>
            <w:tcW w:w="7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S&amp;P 500</w:t>
            </w:r>
          </w:p>
        </w:tc>
        <w:tc>
          <w:tcPr>
            <w:tcW w:w="3340" w:type="dxa"/>
            <w:vAlign w:val="bottom"/>
          </w:tcPr>
          <w:p>
            <w:pPr>
              <w:ind w:left="20"/>
              <w:spacing w:after="0"/>
              <w:rPr>
                <w:sz w:val="20"/>
                <w:szCs w:val="20"/>
                <w:color w:val="auto"/>
              </w:rPr>
            </w:pPr>
            <w:r>
              <w:rPr>
                <w:rFonts w:ascii="Times New Roman" w:cs="Times New Roman" w:eastAsia="Times New Roman" w:hAnsi="Times New Roman"/>
                <w:sz w:val="19"/>
                <w:szCs w:val="19"/>
                <w:color w:val="231F20"/>
              </w:rPr>
              <w:t>Healthcare Equipment Index</w:t>
            </w:r>
          </w:p>
        </w:tc>
        <w:tc>
          <w:tcPr>
            <w:tcW w:w="16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231F20"/>
              </w:rPr>
              <w:t>100.00</w:t>
            </w: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231F20"/>
              </w:rPr>
              <w:t>111.17</w:t>
            </w: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231F20"/>
              </w:rPr>
              <w:t>98.74</w:t>
            </w:r>
          </w:p>
        </w:tc>
        <w:tc>
          <w:tcPr>
            <w:tcW w:w="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231F20"/>
              </w:rPr>
              <w:t>115.34</w:t>
            </w:r>
          </w:p>
        </w:tc>
        <w:tc>
          <w:tcPr>
            <w:tcW w:w="86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231F20"/>
              </w:rPr>
              <w:t>122.54</w:t>
            </w: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106.94</w:t>
            </w:r>
          </w:p>
        </w:tc>
      </w:tr>
      <w:tr>
        <w:trPr>
          <w:trHeight w:val="291"/>
        </w:trPr>
        <w:tc>
          <w:tcPr>
            <w:tcW w:w="41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231F20"/>
              </w:rPr>
              <w:t>Dow Jones U.S. Medical Supplies Index</w:t>
            </w:r>
          </w:p>
        </w:tc>
        <w:tc>
          <w:tcPr>
            <w:tcW w:w="16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231F20"/>
              </w:rPr>
              <w:t>100.00</w:t>
            </w: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231F20"/>
              </w:rPr>
              <w:t>110.01</w:t>
            </w: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231F20"/>
              </w:rPr>
              <w:t>105.87</w:t>
            </w:r>
          </w:p>
        </w:tc>
        <w:tc>
          <w:tcPr>
            <w:tcW w:w="8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231F20"/>
              </w:rPr>
              <w:t>126.64</w:t>
            </w:r>
          </w:p>
        </w:tc>
        <w:tc>
          <w:tcPr>
            <w:tcW w:w="86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231F20"/>
              </w:rPr>
              <w:t>126.34</w:t>
            </w: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146.82</w:t>
            </w:r>
          </w:p>
        </w:tc>
      </w:tr>
    </w:tbl>
    <w:p>
      <w:pPr>
        <w:sectPr>
          <w:pgSz w:w="11880" w:h="15480" w:orient="portrait"/>
          <w:cols w:equalWidth="0" w:num="1">
            <w:col w:w="9940"/>
          </w:cols>
          <w:pgMar w:left="960" w:top="819" w:right="980" w:bottom="1440" w:gutter="0" w:footer="0" w:header="0"/>
        </w:sectPr>
      </w:pPr>
    </w:p>
    <w:bookmarkStart w:id="112" w:name="page113"/>
    <w:bookmarkEnd w:id="1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color w:val="231F20"/>
        </w:rPr>
        <w:t>[THIS PAGE INTENTIONALLY LEFT BLANK]</w:t>
      </w:r>
    </w:p>
    <w:p>
      <w:pPr>
        <w:sectPr>
          <w:pgSz w:w="11880" w:h="15480" w:orient="portrait"/>
          <w:cols w:equalWidth="0" w:num="1">
            <w:col w:w="9000"/>
          </w:cols>
          <w:pgMar w:left="1440" w:top="1440" w:right="1440" w:bottom="1440" w:gutter="0" w:footer="0" w:header="0"/>
        </w:sectPr>
      </w:pPr>
    </w:p>
    <w:bookmarkStart w:id="113" w:name="page114"/>
    <w:bookmarkEnd w:id="1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color w:val="231F20"/>
        </w:rPr>
        <w:t>[THIS PAGE INTENTIONALLY LEFT BLANK]</w:t>
      </w:r>
    </w:p>
    <w:p>
      <w:pPr>
        <w:sectPr>
          <w:pgSz w:w="11880" w:h="15480" w:orient="portrait"/>
          <w:cols w:equalWidth="0" w:num="1">
            <w:col w:w="9000"/>
          </w:cols>
          <w:pgMar w:left="1440" w:top="1440" w:right="1440" w:bottom="1440" w:gutter="0" w:footer="0" w:header="0"/>
        </w:sectPr>
      </w:pPr>
    </w:p>
    <w:bookmarkStart w:id="114" w:name="page115"/>
    <w:bookmarkEnd w:id="114"/>
    <w:p>
      <w:pPr>
        <w:spacing w:after="0"/>
        <w:rPr>
          <w:sz w:val="20"/>
          <w:szCs w:val="20"/>
          <w:color w:val="auto"/>
        </w:rPr>
      </w:pPr>
      <w:r>
        <w:rPr>
          <w:rFonts w:ascii="Arial" w:cs="Arial" w:eastAsia="Arial" w:hAnsi="Arial"/>
          <w:sz w:val="68"/>
          <w:szCs w:val="68"/>
          <w:color w:val="231F20"/>
        </w:rPr>
        <w:t>Corporate Information</w:t>
      </w:r>
    </w:p>
    <w:p>
      <w:pPr>
        <w:spacing w:after="0" w:line="369" w:lineRule="exact"/>
        <w:rPr>
          <w:sz w:val="20"/>
          <w:szCs w:val="20"/>
          <w:color w:val="auto"/>
        </w:rPr>
      </w:pPr>
    </w:p>
    <w:p>
      <w:pPr>
        <w:spacing w:after="0"/>
        <w:tabs>
          <w:tab w:leader="none" w:pos="3680" w:val="left"/>
          <w:tab w:leader="none" w:pos="7360" w:val="left"/>
        </w:tabs>
        <w:rPr>
          <w:sz w:val="20"/>
          <w:szCs w:val="20"/>
          <w:color w:val="auto"/>
        </w:rPr>
      </w:pPr>
      <w:r>
        <w:rPr>
          <w:rFonts w:ascii="Arial" w:cs="Arial" w:eastAsia="Arial" w:hAnsi="Arial"/>
          <w:sz w:val="24"/>
          <w:szCs w:val="24"/>
          <w:color w:val="231F20"/>
        </w:rPr>
        <w:t>BOARD OF DIRECTORS</w:t>
      </w:r>
      <w:r>
        <w:rPr>
          <w:sz w:val="20"/>
          <w:szCs w:val="20"/>
          <w:color w:val="auto"/>
        </w:rPr>
        <w:tab/>
      </w:r>
      <w:r>
        <w:rPr>
          <w:rFonts w:ascii="Arial" w:cs="Arial" w:eastAsia="Arial" w:hAnsi="Arial"/>
          <w:sz w:val="24"/>
          <w:szCs w:val="24"/>
          <w:color w:val="231F20"/>
        </w:rPr>
        <w:t>EXECUTIVE OFFICERS</w:t>
      </w:r>
      <w:r>
        <w:rPr>
          <w:sz w:val="20"/>
          <w:szCs w:val="20"/>
          <w:color w:val="auto"/>
        </w:rPr>
        <w:tab/>
      </w:r>
      <w:r>
        <w:rPr>
          <w:rFonts w:ascii="Arial" w:cs="Arial" w:eastAsia="Arial" w:hAnsi="Arial"/>
          <w:sz w:val="17"/>
          <w:szCs w:val="17"/>
          <w:color w:val="231F20"/>
        </w:rPr>
        <w:t>ANNUAL REPORT</w:t>
      </w:r>
    </w:p>
    <w:p>
      <w:pPr>
        <w:sectPr>
          <w:pgSz w:w="11880" w:h="15480" w:orient="portrait"/>
          <w:cols w:equalWidth="0" w:num="1">
            <w:col w:w="10600"/>
          </w:cols>
          <w:pgMar w:left="720" w:top="465" w:right="560" w:bottom="944" w:gutter="0" w:footer="0" w:header="0"/>
        </w:sectPr>
      </w:pP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160" w:type="dxa"/>
            <w:vAlign w:val="bottom"/>
          </w:tcPr>
          <w:p>
            <w:pPr>
              <w:spacing w:after="0"/>
              <w:rPr>
                <w:sz w:val="20"/>
                <w:szCs w:val="20"/>
                <w:color w:val="auto"/>
              </w:rPr>
            </w:pPr>
            <w:r>
              <w:rPr>
                <w:rFonts w:ascii="Arial" w:cs="Arial" w:eastAsia="Arial" w:hAnsi="Arial"/>
                <w:sz w:val="18"/>
                <w:szCs w:val="18"/>
                <w:b w:val="1"/>
                <w:bCs w:val="1"/>
                <w:color w:val="231F20"/>
              </w:rPr>
              <w:t xml:space="preserve">Dr. Mohsen M. Sohi </w:t>
            </w:r>
            <w:r>
              <w:rPr>
                <w:rFonts w:ascii="Arial" w:cs="Arial" w:eastAsia="Arial" w:hAnsi="Arial"/>
                <w:sz w:val="10"/>
                <w:szCs w:val="10"/>
                <w:color w:val="231F20"/>
              </w:rPr>
              <w:t>4</w:t>
            </w:r>
          </w:p>
        </w:tc>
        <w:tc>
          <w:tcPr>
            <w:tcW w:w="3300" w:type="dxa"/>
            <w:vAlign w:val="bottom"/>
          </w:tcPr>
          <w:p>
            <w:pPr>
              <w:ind w:left="540"/>
              <w:spacing w:after="0"/>
              <w:rPr>
                <w:sz w:val="20"/>
                <w:szCs w:val="20"/>
                <w:color w:val="auto"/>
              </w:rPr>
            </w:pPr>
            <w:r>
              <w:rPr>
                <w:rFonts w:ascii="Arial" w:cs="Arial" w:eastAsia="Arial" w:hAnsi="Arial"/>
                <w:sz w:val="18"/>
                <w:szCs w:val="18"/>
                <w:b w:val="1"/>
                <w:bCs w:val="1"/>
                <w:color w:val="231F20"/>
              </w:rPr>
              <w:t>Karen L. Burton</w:t>
            </w:r>
          </w:p>
        </w:tc>
        <w:tc>
          <w:tcPr>
            <w:tcW w:w="0" w:type="dxa"/>
            <w:vAlign w:val="bottom"/>
          </w:tcPr>
          <w:p>
            <w:pPr>
              <w:spacing w:after="0"/>
              <w:rPr>
                <w:sz w:val="1"/>
                <w:szCs w:val="1"/>
                <w:color w:val="auto"/>
              </w:rPr>
            </w:pPr>
          </w:p>
        </w:tc>
      </w:tr>
      <w:tr>
        <w:trPr>
          <w:trHeight w:val="202"/>
        </w:trPr>
        <w:tc>
          <w:tcPr>
            <w:tcW w:w="3160" w:type="dxa"/>
            <w:vAlign w:val="bottom"/>
          </w:tcPr>
          <w:p>
            <w:pPr>
              <w:spacing w:after="0" w:line="201" w:lineRule="exact"/>
              <w:rPr>
                <w:sz w:val="20"/>
                <w:szCs w:val="20"/>
                <w:color w:val="auto"/>
              </w:rPr>
            </w:pPr>
            <w:r>
              <w:rPr>
                <w:rFonts w:ascii="Arial" w:cs="Arial" w:eastAsia="Arial" w:hAnsi="Arial"/>
                <w:sz w:val="18"/>
                <w:szCs w:val="18"/>
                <w:color w:val="231F20"/>
              </w:rPr>
              <w:t>Chairman of the Board,</w:t>
            </w:r>
          </w:p>
        </w:tc>
        <w:tc>
          <w:tcPr>
            <w:tcW w:w="3300" w:type="dxa"/>
            <w:vAlign w:val="bottom"/>
          </w:tcPr>
          <w:p>
            <w:pPr>
              <w:ind w:left="540"/>
              <w:spacing w:after="0" w:line="201" w:lineRule="exact"/>
              <w:rPr>
                <w:sz w:val="20"/>
                <w:szCs w:val="20"/>
                <w:color w:val="auto"/>
              </w:rPr>
            </w:pPr>
            <w:r>
              <w:rPr>
                <w:rFonts w:ascii="Arial" w:cs="Arial" w:eastAsia="Arial" w:hAnsi="Arial"/>
                <w:sz w:val="18"/>
                <w:szCs w:val="18"/>
                <w:color w:val="231F20"/>
              </w:rPr>
              <w:t>Senior Vice President and</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231F20"/>
              </w:rPr>
              <w:t>STERIS plc</w:t>
            </w:r>
          </w:p>
        </w:tc>
        <w:tc>
          <w:tcPr>
            <w:tcW w:w="3300" w:type="dxa"/>
            <w:vAlign w:val="bottom"/>
          </w:tcPr>
          <w:p>
            <w:pPr>
              <w:ind w:left="540"/>
              <w:spacing w:after="0"/>
              <w:rPr>
                <w:sz w:val="20"/>
                <w:szCs w:val="20"/>
                <w:color w:val="auto"/>
              </w:rPr>
            </w:pPr>
            <w:r>
              <w:rPr>
                <w:rFonts w:ascii="Arial" w:cs="Arial" w:eastAsia="Arial" w:hAnsi="Arial"/>
                <w:sz w:val="18"/>
                <w:szCs w:val="18"/>
                <w:color w:val="231F20"/>
              </w:rPr>
              <w:t>Chief Financial Officer</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231F20"/>
              </w:rPr>
              <w:t>Former Chief Executive Officer,</w:t>
            </w:r>
          </w:p>
        </w:tc>
        <w:tc>
          <w:tcPr>
            <w:tcW w:w="3300" w:type="dxa"/>
            <w:vAlign w:val="bottom"/>
            <w:vMerge w:val="restart"/>
          </w:tcPr>
          <w:p>
            <w:pPr>
              <w:ind w:left="540"/>
              <w:spacing w:after="0"/>
              <w:rPr>
                <w:sz w:val="20"/>
                <w:szCs w:val="20"/>
                <w:color w:val="auto"/>
              </w:rPr>
            </w:pPr>
            <w:r>
              <w:rPr>
                <w:rFonts w:ascii="Arial" w:cs="Arial" w:eastAsia="Arial" w:hAnsi="Arial"/>
                <w:sz w:val="18"/>
                <w:szCs w:val="18"/>
                <w:b w:val="1"/>
                <w:bCs w:val="1"/>
                <w:color w:val="231F20"/>
              </w:rPr>
              <w:t>Daniel A. Carestio</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231F20"/>
              </w:rPr>
              <w:t>Freudenberg SE</w:t>
            </w:r>
          </w:p>
        </w:tc>
        <w:tc>
          <w:tcPr>
            <w:tcW w:w="3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231F20"/>
              </w:rPr>
              <w:t xml:space="preserve">Dr. Esther M. Alegria </w:t>
            </w:r>
            <w:r>
              <w:rPr>
                <w:rFonts w:ascii="Arial" w:cs="Arial" w:eastAsia="Arial" w:hAnsi="Arial"/>
                <w:sz w:val="10"/>
                <w:szCs w:val="10"/>
                <w:color w:val="231F20"/>
              </w:rPr>
              <w:t>3,4</w:t>
            </w:r>
          </w:p>
        </w:tc>
        <w:tc>
          <w:tcPr>
            <w:tcW w:w="3300" w:type="dxa"/>
            <w:vAlign w:val="bottom"/>
          </w:tcPr>
          <w:p>
            <w:pPr>
              <w:ind w:left="540"/>
              <w:spacing w:after="0" w:line="201" w:lineRule="exact"/>
              <w:rPr>
                <w:sz w:val="20"/>
                <w:szCs w:val="20"/>
                <w:color w:val="auto"/>
              </w:rPr>
            </w:pPr>
            <w:r>
              <w:rPr>
                <w:rFonts w:ascii="Arial" w:cs="Arial" w:eastAsia="Arial" w:hAnsi="Arial"/>
                <w:sz w:val="18"/>
                <w:szCs w:val="18"/>
                <w:color w:val="231F20"/>
                <w:w w:val="91"/>
              </w:rPr>
              <w:t>President and Chief Executive Officer</w:t>
            </w:r>
          </w:p>
        </w:tc>
        <w:tc>
          <w:tcPr>
            <w:tcW w:w="0" w:type="dxa"/>
            <w:vAlign w:val="bottom"/>
          </w:tcPr>
          <w:p>
            <w:pPr>
              <w:spacing w:after="0"/>
              <w:rPr>
                <w:sz w:val="1"/>
                <w:szCs w:val="1"/>
                <w:color w:val="auto"/>
              </w:rPr>
            </w:pPr>
          </w:p>
        </w:tc>
      </w:tr>
      <w:tr>
        <w:trPr>
          <w:trHeight w:val="230"/>
        </w:trPr>
        <w:tc>
          <w:tcPr>
            <w:tcW w:w="3160" w:type="dxa"/>
            <w:vAlign w:val="bottom"/>
            <w:vMerge w:val="continue"/>
          </w:tcPr>
          <w:p>
            <w:pPr>
              <w:spacing w:after="0"/>
              <w:rPr>
                <w:sz w:val="20"/>
                <w:szCs w:val="20"/>
                <w:color w:val="auto"/>
              </w:rPr>
            </w:pPr>
          </w:p>
        </w:tc>
        <w:tc>
          <w:tcPr>
            <w:tcW w:w="3300" w:type="dxa"/>
            <w:vAlign w:val="bottom"/>
            <w:vMerge w:val="restart"/>
          </w:tcPr>
          <w:p>
            <w:pPr>
              <w:ind w:left="540"/>
              <w:spacing w:after="0"/>
              <w:rPr>
                <w:sz w:val="20"/>
                <w:szCs w:val="20"/>
                <w:color w:val="auto"/>
              </w:rPr>
            </w:pPr>
            <w:r>
              <w:rPr>
                <w:rFonts w:ascii="Arial" w:cs="Arial" w:eastAsia="Arial" w:hAnsi="Arial"/>
                <w:sz w:val="18"/>
                <w:szCs w:val="18"/>
                <w:b w:val="1"/>
                <w:bCs w:val="1"/>
                <w:color w:val="231F20"/>
              </w:rPr>
              <w:t>Mary Clare Fraser</w:t>
            </w:r>
          </w:p>
        </w:tc>
        <w:tc>
          <w:tcPr>
            <w:tcW w:w="0" w:type="dxa"/>
            <w:vAlign w:val="bottom"/>
          </w:tcPr>
          <w:p>
            <w:pPr>
              <w:spacing w:after="0"/>
              <w:rPr>
                <w:sz w:val="1"/>
                <w:szCs w:val="1"/>
                <w:color w:val="auto"/>
              </w:rPr>
            </w:pPr>
          </w:p>
        </w:tc>
      </w:tr>
      <w:tr>
        <w:trPr>
          <w:trHeight w:val="216"/>
        </w:trPr>
        <w:tc>
          <w:tcPr>
            <w:tcW w:w="3160" w:type="dxa"/>
            <w:vAlign w:val="bottom"/>
          </w:tcPr>
          <w:p>
            <w:pPr>
              <w:spacing w:after="0" w:line="201" w:lineRule="exact"/>
              <w:rPr>
                <w:sz w:val="20"/>
                <w:szCs w:val="20"/>
                <w:color w:val="auto"/>
              </w:rPr>
            </w:pPr>
            <w:r>
              <w:rPr>
                <w:rFonts w:ascii="Arial" w:cs="Arial" w:eastAsia="Arial" w:hAnsi="Arial"/>
                <w:sz w:val="18"/>
                <w:szCs w:val="18"/>
                <w:color w:val="231F20"/>
              </w:rPr>
              <w:t>Executive Consultant and Advisor,</w:t>
            </w:r>
          </w:p>
        </w:tc>
        <w:tc>
          <w:tcPr>
            <w:tcW w:w="3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60" w:type="dxa"/>
            <w:vAlign w:val="bottom"/>
          </w:tcPr>
          <w:p>
            <w:pPr>
              <w:spacing w:after="0" w:line="201" w:lineRule="exact"/>
              <w:rPr>
                <w:sz w:val="20"/>
                <w:szCs w:val="20"/>
                <w:color w:val="auto"/>
              </w:rPr>
            </w:pPr>
            <w:r>
              <w:rPr>
                <w:rFonts w:ascii="Arial" w:cs="Arial" w:eastAsia="Arial" w:hAnsi="Arial"/>
                <w:sz w:val="18"/>
                <w:szCs w:val="18"/>
                <w:color w:val="231F20"/>
              </w:rPr>
              <w:t>The LaSalle Group</w:t>
            </w:r>
          </w:p>
        </w:tc>
        <w:tc>
          <w:tcPr>
            <w:tcW w:w="3300" w:type="dxa"/>
            <w:vAlign w:val="bottom"/>
          </w:tcPr>
          <w:p>
            <w:pPr>
              <w:ind w:left="540"/>
              <w:spacing w:after="0" w:line="201" w:lineRule="exact"/>
              <w:rPr>
                <w:sz w:val="20"/>
                <w:szCs w:val="20"/>
                <w:color w:val="auto"/>
              </w:rPr>
            </w:pPr>
            <w:r>
              <w:rPr>
                <w:rFonts w:ascii="Arial" w:cs="Arial" w:eastAsia="Arial" w:hAnsi="Arial"/>
                <w:sz w:val="18"/>
                <w:szCs w:val="18"/>
                <w:color w:val="231F20"/>
              </w:rPr>
              <w:t>Senior Vice President and</w:t>
            </w:r>
          </w:p>
        </w:tc>
        <w:tc>
          <w:tcPr>
            <w:tcW w:w="0" w:type="dxa"/>
            <w:vAlign w:val="bottom"/>
          </w:tcPr>
          <w:p>
            <w:pPr>
              <w:spacing w:after="0"/>
              <w:rPr>
                <w:sz w:val="1"/>
                <w:szCs w:val="1"/>
                <w:color w:val="auto"/>
              </w:rPr>
            </w:pPr>
          </w:p>
        </w:tc>
      </w:tr>
      <w:tr>
        <w:trPr>
          <w:trHeight w:val="216"/>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231F20"/>
              </w:rPr>
              <w:t>Pierre Boulud</w:t>
            </w:r>
          </w:p>
        </w:tc>
        <w:tc>
          <w:tcPr>
            <w:tcW w:w="3300" w:type="dxa"/>
            <w:vAlign w:val="bottom"/>
          </w:tcPr>
          <w:p>
            <w:pPr>
              <w:ind w:left="540"/>
              <w:spacing w:after="0"/>
              <w:rPr>
                <w:sz w:val="20"/>
                <w:szCs w:val="20"/>
                <w:color w:val="auto"/>
              </w:rPr>
            </w:pPr>
            <w:r>
              <w:rPr>
                <w:rFonts w:ascii="Arial" w:cs="Arial" w:eastAsia="Arial" w:hAnsi="Arial"/>
                <w:sz w:val="18"/>
                <w:szCs w:val="18"/>
                <w:color w:val="231F20"/>
              </w:rPr>
              <w:t>Chief Human Resources Officer</w:t>
            </w:r>
          </w:p>
        </w:tc>
        <w:tc>
          <w:tcPr>
            <w:tcW w:w="0" w:type="dxa"/>
            <w:vAlign w:val="bottom"/>
          </w:tcPr>
          <w:p>
            <w:pPr>
              <w:spacing w:after="0"/>
              <w:rPr>
                <w:sz w:val="1"/>
                <w:szCs w:val="1"/>
                <w:color w:val="auto"/>
              </w:rPr>
            </w:pPr>
          </w:p>
        </w:tc>
      </w:tr>
      <w:tr>
        <w:trPr>
          <w:trHeight w:val="230"/>
        </w:trPr>
        <w:tc>
          <w:tcPr>
            <w:tcW w:w="3160" w:type="dxa"/>
            <w:vAlign w:val="bottom"/>
            <w:vMerge w:val="continue"/>
          </w:tcPr>
          <w:p>
            <w:pPr>
              <w:spacing w:after="0"/>
              <w:rPr>
                <w:sz w:val="20"/>
                <w:szCs w:val="20"/>
                <w:color w:val="auto"/>
              </w:rPr>
            </w:pPr>
          </w:p>
        </w:tc>
        <w:tc>
          <w:tcPr>
            <w:tcW w:w="3300" w:type="dxa"/>
            <w:vAlign w:val="bottom"/>
            <w:vMerge w:val="restart"/>
          </w:tcPr>
          <w:p>
            <w:pPr>
              <w:ind w:left="540"/>
              <w:spacing w:after="0"/>
              <w:rPr>
                <w:sz w:val="20"/>
                <w:szCs w:val="20"/>
                <w:color w:val="auto"/>
              </w:rPr>
            </w:pPr>
            <w:r>
              <w:rPr>
                <w:rFonts w:ascii="Arial" w:cs="Arial" w:eastAsia="Arial" w:hAnsi="Arial"/>
                <w:sz w:val="18"/>
                <w:szCs w:val="18"/>
                <w:b w:val="1"/>
                <w:bCs w:val="1"/>
                <w:color w:val="231F20"/>
              </w:rPr>
              <w:t>Kenneth E. Kohler</w:t>
            </w:r>
          </w:p>
        </w:tc>
        <w:tc>
          <w:tcPr>
            <w:tcW w:w="0" w:type="dxa"/>
            <w:vAlign w:val="bottom"/>
          </w:tcPr>
          <w:p>
            <w:pPr>
              <w:spacing w:after="0"/>
              <w:rPr>
                <w:sz w:val="1"/>
                <w:szCs w:val="1"/>
                <w:color w:val="auto"/>
              </w:rPr>
            </w:pPr>
          </w:p>
        </w:tc>
      </w:tr>
      <w:tr>
        <w:trPr>
          <w:trHeight w:val="216"/>
        </w:trPr>
        <w:tc>
          <w:tcPr>
            <w:tcW w:w="3160" w:type="dxa"/>
            <w:vAlign w:val="bottom"/>
          </w:tcPr>
          <w:p>
            <w:pPr>
              <w:spacing w:after="0" w:line="201" w:lineRule="exact"/>
              <w:rPr>
                <w:sz w:val="20"/>
                <w:szCs w:val="20"/>
                <w:color w:val="auto"/>
              </w:rPr>
            </w:pPr>
            <w:r>
              <w:rPr>
                <w:rFonts w:ascii="Arial" w:cs="Arial" w:eastAsia="Arial" w:hAnsi="Arial"/>
                <w:sz w:val="18"/>
                <w:szCs w:val="18"/>
                <w:color w:val="231F20"/>
              </w:rPr>
              <w:t>Chief Executive Officer,</w:t>
            </w:r>
          </w:p>
        </w:tc>
        <w:tc>
          <w:tcPr>
            <w:tcW w:w="3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60" w:type="dxa"/>
            <w:vAlign w:val="bottom"/>
          </w:tcPr>
          <w:p>
            <w:pPr>
              <w:spacing w:after="0" w:line="201" w:lineRule="exact"/>
              <w:rPr>
                <w:sz w:val="20"/>
                <w:szCs w:val="20"/>
                <w:color w:val="auto"/>
              </w:rPr>
            </w:pPr>
            <w:r>
              <w:rPr>
                <w:rFonts w:ascii="Arial" w:cs="Arial" w:eastAsia="Arial" w:hAnsi="Arial"/>
                <w:sz w:val="18"/>
                <w:szCs w:val="18"/>
                <w:color w:val="231F20"/>
              </w:rPr>
              <w:t>bioMérieux SA</w:t>
            </w:r>
          </w:p>
        </w:tc>
        <w:tc>
          <w:tcPr>
            <w:tcW w:w="3300" w:type="dxa"/>
            <w:vAlign w:val="bottom"/>
          </w:tcPr>
          <w:p>
            <w:pPr>
              <w:ind w:left="540"/>
              <w:spacing w:after="0" w:line="201" w:lineRule="exact"/>
              <w:rPr>
                <w:sz w:val="20"/>
                <w:szCs w:val="20"/>
                <w:color w:val="auto"/>
              </w:rPr>
            </w:pPr>
            <w:r>
              <w:rPr>
                <w:rFonts w:ascii="Arial" w:cs="Arial" w:eastAsia="Arial" w:hAnsi="Arial"/>
                <w:sz w:val="18"/>
                <w:szCs w:val="18"/>
                <w:color w:val="231F20"/>
              </w:rPr>
              <w:t>Senior Vice President and</w:t>
            </w:r>
          </w:p>
        </w:tc>
        <w:tc>
          <w:tcPr>
            <w:tcW w:w="0" w:type="dxa"/>
            <w:vAlign w:val="bottom"/>
          </w:tcPr>
          <w:p>
            <w:pPr>
              <w:spacing w:after="0"/>
              <w:rPr>
                <w:sz w:val="1"/>
                <w:szCs w:val="1"/>
                <w:color w:val="auto"/>
              </w:rPr>
            </w:pPr>
          </w:p>
        </w:tc>
      </w:tr>
      <w:tr>
        <w:trPr>
          <w:trHeight w:val="216"/>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231F20"/>
              </w:rPr>
              <w:t xml:space="preserve">Richard C. Breeden </w:t>
            </w:r>
            <w:r>
              <w:rPr>
                <w:rFonts w:ascii="Arial" w:cs="Arial" w:eastAsia="Arial" w:hAnsi="Arial"/>
                <w:sz w:val="20"/>
                <w:szCs w:val="20"/>
                <w:color w:val="231F20"/>
                <w:vertAlign w:val="superscript"/>
              </w:rPr>
              <w:t>1,2</w:t>
            </w:r>
          </w:p>
        </w:tc>
        <w:tc>
          <w:tcPr>
            <w:tcW w:w="3300" w:type="dxa"/>
            <w:vAlign w:val="bottom"/>
          </w:tcPr>
          <w:p>
            <w:pPr>
              <w:ind w:left="540"/>
              <w:spacing w:after="0"/>
              <w:rPr>
                <w:sz w:val="20"/>
                <w:szCs w:val="20"/>
                <w:color w:val="auto"/>
              </w:rPr>
            </w:pPr>
            <w:r>
              <w:rPr>
                <w:rFonts w:ascii="Arial" w:cs="Arial" w:eastAsia="Arial" w:hAnsi="Arial"/>
                <w:sz w:val="18"/>
                <w:szCs w:val="18"/>
                <w:color w:val="231F20"/>
                <w:w w:val="88"/>
              </w:rPr>
              <w:t>General Manager, Applied Sterilization</w:t>
            </w:r>
          </w:p>
        </w:tc>
        <w:tc>
          <w:tcPr>
            <w:tcW w:w="0" w:type="dxa"/>
            <w:vAlign w:val="bottom"/>
          </w:tcPr>
          <w:p>
            <w:pPr>
              <w:spacing w:after="0"/>
              <w:rPr>
                <w:sz w:val="1"/>
                <w:szCs w:val="1"/>
                <w:color w:val="auto"/>
              </w:rPr>
            </w:pPr>
          </w:p>
        </w:tc>
      </w:tr>
      <w:tr>
        <w:trPr>
          <w:trHeight w:val="230"/>
        </w:trPr>
        <w:tc>
          <w:tcPr>
            <w:tcW w:w="3160" w:type="dxa"/>
            <w:vAlign w:val="bottom"/>
            <w:vMerge w:val="continue"/>
          </w:tcPr>
          <w:p>
            <w:pPr>
              <w:spacing w:after="0"/>
              <w:rPr>
                <w:sz w:val="20"/>
                <w:szCs w:val="20"/>
                <w:color w:val="auto"/>
              </w:rPr>
            </w:pPr>
          </w:p>
        </w:tc>
        <w:tc>
          <w:tcPr>
            <w:tcW w:w="3300" w:type="dxa"/>
            <w:vAlign w:val="bottom"/>
          </w:tcPr>
          <w:p>
            <w:pPr>
              <w:ind w:left="540"/>
              <w:spacing w:after="0"/>
              <w:rPr>
                <w:sz w:val="20"/>
                <w:szCs w:val="20"/>
                <w:color w:val="auto"/>
              </w:rPr>
            </w:pPr>
            <w:r>
              <w:rPr>
                <w:rFonts w:ascii="Arial" w:cs="Arial" w:eastAsia="Arial" w:hAnsi="Arial"/>
                <w:sz w:val="18"/>
                <w:szCs w:val="18"/>
                <w:color w:val="231F20"/>
              </w:rPr>
              <w:t>Technologies</w:t>
            </w:r>
          </w:p>
        </w:tc>
        <w:tc>
          <w:tcPr>
            <w:tcW w:w="0" w:type="dxa"/>
            <w:vAlign w:val="bottom"/>
          </w:tcPr>
          <w:p>
            <w:pPr>
              <w:spacing w:after="0"/>
              <w:rPr>
                <w:sz w:val="1"/>
                <w:szCs w:val="1"/>
                <w:color w:val="auto"/>
              </w:rPr>
            </w:pPr>
          </w:p>
        </w:tc>
      </w:tr>
      <w:tr>
        <w:trPr>
          <w:trHeight w:val="202"/>
        </w:trPr>
        <w:tc>
          <w:tcPr>
            <w:tcW w:w="3160" w:type="dxa"/>
            <w:vAlign w:val="bottom"/>
          </w:tcPr>
          <w:p>
            <w:pPr>
              <w:spacing w:after="0" w:line="201" w:lineRule="exact"/>
              <w:rPr>
                <w:sz w:val="20"/>
                <w:szCs w:val="20"/>
                <w:color w:val="auto"/>
              </w:rPr>
            </w:pPr>
            <w:r>
              <w:rPr>
                <w:rFonts w:ascii="Arial" w:cs="Arial" w:eastAsia="Arial" w:hAnsi="Arial"/>
                <w:sz w:val="18"/>
                <w:szCs w:val="18"/>
                <w:color w:val="231F20"/>
              </w:rPr>
              <w:t>Chairman and Chief Executive Officer,</w:t>
            </w:r>
          </w:p>
        </w:tc>
        <w:tc>
          <w:tcPr>
            <w:tcW w:w="3300" w:type="dxa"/>
            <w:vAlign w:val="bottom"/>
            <w:vMerge w:val="restart"/>
          </w:tcPr>
          <w:p>
            <w:pPr>
              <w:ind w:left="540"/>
              <w:spacing w:after="0"/>
              <w:rPr>
                <w:sz w:val="20"/>
                <w:szCs w:val="20"/>
                <w:color w:val="auto"/>
              </w:rPr>
            </w:pPr>
            <w:r>
              <w:rPr>
                <w:rFonts w:ascii="Arial" w:cs="Arial" w:eastAsia="Arial" w:hAnsi="Arial"/>
                <w:sz w:val="18"/>
                <w:szCs w:val="18"/>
                <w:b w:val="1"/>
                <w:bCs w:val="1"/>
                <w:color w:val="231F20"/>
              </w:rPr>
              <w:t>Julia K. Madsen</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231F20"/>
              </w:rPr>
              <w:t>Breeden Capital Management LLC;</w:t>
            </w:r>
          </w:p>
        </w:tc>
        <w:tc>
          <w:tcPr>
            <w:tcW w:w="3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60" w:type="dxa"/>
            <w:vAlign w:val="bottom"/>
          </w:tcPr>
          <w:p>
            <w:pPr>
              <w:spacing w:after="0" w:line="201" w:lineRule="exact"/>
              <w:rPr>
                <w:sz w:val="20"/>
                <w:szCs w:val="20"/>
                <w:color w:val="auto"/>
              </w:rPr>
            </w:pPr>
            <w:r>
              <w:rPr>
                <w:rFonts w:ascii="Arial" w:cs="Arial" w:eastAsia="Arial" w:hAnsi="Arial"/>
                <w:sz w:val="18"/>
                <w:szCs w:val="18"/>
                <w:color w:val="231F20"/>
                <w:w w:val="92"/>
              </w:rPr>
              <w:t>Chairman, Richard C. Breeden &amp; Co., LLC</w:t>
            </w:r>
          </w:p>
        </w:tc>
        <w:tc>
          <w:tcPr>
            <w:tcW w:w="3300" w:type="dxa"/>
            <w:vAlign w:val="bottom"/>
          </w:tcPr>
          <w:p>
            <w:pPr>
              <w:ind w:left="540"/>
              <w:spacing w:after="0" w:line="201" w:lineRule="exact"/>
              <w:rPr>
                <w:sz w:val="20"/>
                <w:szCs w:val="20"/>
                <w:color w:val="auto"/>
              </w:rPr>
            </w:pPr>
            <w:r>
              <w:rPr>
                <w:rFonts w:ascii="Arial" w:cs="Arial" w:eastAsia="Arial" w:hAnsi="Arial"/>
                <w:sz w:val="18"/>
                <w:szCs w:val="18"/>
                <w:color w:val="231F20"/>
                <w:w w:val="76"/>
              </w:rPr>
              <w:t>Senior Vice President and General Manager,</w:t>
            </w:r>
          </w:p>
        </w:tc>
        <w:tc>
          <w:tcPr>
            <w:tcW w:w="0" w:type="dxa"/>
            <w:vAlign w:val="bottom"/>
          </w:tcPr>
          <w:p>
            <w:pPr>
              <w:spacing w:after="0"/>
              <w:rPr>
                <w:sz w:val="1"/>
                <w:szCs w:val="1"/>
                <w:color w:val="auto"/>
              </w:rPr>
            </w:pPr>
          </w:p>
        </w:tc>
      </w:tr>
      <w:tr>
        <w:trPr>
          <w:trHeight w:val="216"/>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231F20"/>
              </w:rPr>
              <w:t xml:space="preserve">Daniel A. Carestio </w:t>
            </w:r>
            <w:r>
              <w:rPr>
                <w:rFonts w:ascii="Arial" w:cs="Arial" w:eastAsia="Arial" w:hAnsi="Arial"/>
                <w:sz w:val="20"/>
                <w:szCs w:val="20"/>
                <w:color w:val="231F20"/>
                <w:vertAlign w:val="superscript"/>
              </w:rPr>
              <w:t>3</w:t>
            </w:r>
          </w:p>
        </w:tc>
        <w:tc>
          <w:tcPr>
            <w:tcW w:w="3300" w:type="dxa"/>
            <w:vAlign w:val="bottom"/>
          </w:tcPr>
          <w:p>
            <w:pPr>
              <w:ind w:left="540"/>
              <w:spacing w:after="0"/>
              <w:rPr>
                <w:sz w:val="20"/>
                <w:szCs w:val="20"/>
                <w:color w:val="auto"/>
              </w:rPr>
            </w:pPr>
            <w:r>
              <w:rPr>
                <w:rFonts w:ascii="Arial" w:cs="Arial" w:eastAsia="Arial" w:hAnsi="Arial"/>
                <w:sz w:val="18"/>
                <w:szCs w:val="18"/>
                <w:color w:val="231F20"/>
              </w:rPr>
              <w:t>Life Sciences</w:t>
            </w:r>
          </w:p>
        </w:tc>
        <w:tc>
          <w:tcPr>
            <w:tcW w:w="0" w:type="dxa"/>
            <w:vAlign w:val="bottom"/>
          </w:tcPr>
          <w:p>
            <w:pPr>
              <w:spacing w:after="0"/>
              <w:rPr>
                <w:sz w:val="1"/>
                <w:szCs w:val="1"/>
                <w:color w:val="auto"/>
              </w:rPr>
            </w:pPr>
          </w:p>
        </w:tc>
      </w:tr>
      <w:tr>
        <w:trPr>
          <w:trHeight w:val="230"/>
        </w:trPr>
        <w:tc>
          <w:tcPr>
            <w:tcW w:w="3160" w:type="dxa"/>
            <w:vAlign w:val="bottom"/>
            <w:vMerge w:val="continue"/>
          </w:tcPr>
          <w:p>
            <w:pPr>
              <w:spacing w:after="0"/>
              <w:rPr>
                <w:sz w:val="20"/>
                <w:szCs w:val="20"/>
                <w:color w:val="auto"/>
              </w:rPr>
            </w:pPr>
          </w:p>
        </w:tc>
        <w:tc>
          <w:tcPr>
            <w:tcW w:w="3300" w:type="dxa"/>
            <w:vAlign w:val="bottom"/>
            <w:vMerge w:val="restart"/>
          </w:tcPr>
          <w:p>
            <w:pPr>
              <w:ind w:left="540"/>
              <w:spacing w:after="0"/>
              <w:rPr>
                <w:sz w:val="20"/>
                <w:szCs w:val="20"/>
                <w:color w:val="auto"/>
              </w:rPr>
            </w:pPr>
            <w:r>
              <w:rPr>
                <w:rFonts w:ascii="Arial" w:cs="Arial" w:eastAsia="Arial" w:hAnsi="Arial"/>
                <w:sz w:val="18"/>
                <w:szCs w:val="18"/>
                <w:b w:val="1"/>
                <w:bCs w:val="1"/>
                <w:color w:val="231F20"/>
              </w:rPr>
              <w:t>Cary L. Majors</w:t>
            </w:r>
          </w:p>
        </w:tc>
        <w:tc>
          <w:tcPr>
            <w:tcW w:w="0" w:type="dxa"/>
            <w:vAlign w:val="bottom"/>
          </w:tcPr>
          <w:p>
            <w:pPr>
              <w:spacing w:after="0"/>
              <w:rPr>
                <w:sz w:val="1"/>
                <w:szCs w:val="1"/>
                <w:color w:val="auto"/>
              </w:rPr>
            </w:pPr>
          </w:p>
        </w:tc>
      </w:tr>
      <w:tr>
        <w:trPr>
          <w:trHeight w:val="216"/>
        </w:trPr>
        <w:tc>
          <w:tcPr>
            <w:tcW w:w="3160" w:type="dxa"/>
            <w:vAlign w:val="bottom"/>
          </w:tcPr>
          <w:p>
            <w:pPr>
              <w:spacing w:after="0" w:line="201" w:lineRule="exact"/>
              <w:rPr>
                <w:sz w:val="20"/>
                <w:szCs w:val="20"/>
                <w:color w:val="auto"/>
              </w:rPr>
            </w:pPr>
            <w:r>
              <w:rPr>
                <w:rFonts w:ascii="Arial" w:cs="Arial" w:eastAsia="Arial" w:hAnsi="Arial"/>
                <w:sz w:val="18"/>
                <w:szCs w:val="18"/>
                <w:color w:val="231F20"/>
              </w:rPr>
              <w:t>President and Chief Executive Officer,</w:t>
            </w:r>
          </w:p>
        </w:tc>
        <w:tc>
          <w:tcPr>
            <w:tcW w:w="3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60" w:type="dxa"/>
            <w:vAlign w:val="bottom"/>
          </w:tcPr>
          <w:p>
            <w:pPr>
              <w:spacing w:after="0" w:line="201" w:lineRule="exact"/>
              <w:rPr>
                <w:sz w:val="20"/>
                <w:szCs w:val="20"/>
                <w:color w:val="auto"/>
              </w:rPr>
            </w:pPr>
            <w:r>
              <w:rPr>
                <w:rFonts w:ascii="Arial" w:cs="Arial" w:eastAsia="Arial" w:hAnsi="Arial"/>
                <w:sz w:val="18"/>
                <w:szCs w:val="18"/>
                <w:color w:val="231F20"/>
              </w:rPr>
              <w:t>STERIS plc</w:t>
            </w:r>
          </w:p>
        </w:tc>
        <w:tc>
          <w:tcPr>
            <w:tcW w:w="3300" w:type="dxa"/>
            <w:vAlign w:val="bottom"/>
          </w:tcPr>
          <w:p>
            <w:pPr>
              <w:ind w:left="540"/>
              <w:spacing w:after="0" w:line="201" w:lineRule="exact"/>
              <w:rPr>
                <w:sz w:val="20"/>
                <w:szCs w:val="20"/>
                <w:color w:val="auto"/>
              </w:rPr>
            </w:pPr>
            <w:r>
              <w:rPr>
                <w:rFonts w:ascii="Arial" w:cs="Arial" w:eastAsia="Arial" w:hAnsi="Arial"/>
                <w:sz w:val="18"/>
                <w:szCs w:val="18"/>
                <w:color w:val="231F20"/>
                <w:w w:val="93"/>
              </w:rPr>
              <w:t>Senior Vice President and President,</w:t>
            </w:r>
          </w:p>
        </w:tc>
        <w:tc>
          <w:tcPr>
            <w:tcW w:w="0" w:type="dxa"/>
            <w:vAlign w:val="bottom"/>
          </w:tcPr>
          <w:p>
            <w:pPr>
              <w:spacing w:after="0"/>
              <w:rPr>
                <w:sz w:val="1"/>
                <w:szCs w:val="1"/>
                <w:color w:val="auto"/>
              </w:rPr>
            </w:pPr>
          </w:p>
        </w:tc>
      </w:tr>
      <w:tr>
        <w:trPr>
          <w:trHeight w:val="216"/>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231F20"/>
              </w:rPr>
              <w:t xml:space="preserve">Cynthia L. Feldmann </w:t>
            </w:r>
            <w:r>
              <w:rPr>
                <w:rFonts w:ascii="Arial" w:cs="Arial" w:eastAsia="Arial" w:hAnsi="Arial"/>
                <w:sz w:val="10"/>
                <w:szCs w:val="10"/>
                <w:color w:val="231F20"/>
              </w:rPr>
              <w:t>2,4</w:t>
            </w:r>
          </w:p>
        </w:tc>
        <w:tc>
          <w:tcPr>
            <w:tcW w:w="3300" w:type="dxa"/>
            <w:vAlign w:val="bottom"/>
          </w:tcPr>
          <w:p>
            <w:pPr>
              <w:ind w:left="540"/>
              <w:spacing w:after="0"/>
              <w:rPr>
                <w:sz w:val="20"/>
                <w:szCs w:val="20"/>
                <w:color w:val="auto"/>
              </w:rPr>
            </w:pPr>
            <w:r>
              <w:rPr>
                <w:rFonts w:ascii="Arial" w:cs="Arial" w:eastAsia="Arial" w:hAnsi="Arial"/>
                <w:sz w:val="18"/>
                <w:szCs w:val="18"/>
                <w:color w:val="231F20"/>
              </w:rPr>
              <w:t>Healthcare</w:t>
            </w:r>
          </w:p>
        </w:tc>
        <w:tc>
          <w:tcPr>
            <w:tcW w:w="0" w:type="dxa"/>
            <w:vAlign w:val="bottom"/>
          </w:tcPr>
          <w:p>
            <w:pPr>
              <w:spacing w:after="0"/>
              <w:rPr>
                <w:sz w:val="1"/>
                <w:szCs w:val="1"/>
                <w:color w:val="auto"/>
              </w:rPr>
            </w:pPr>
          </w:p>
        </w:tc>
      </w:tr>
      <w:tr>
        <w:trPr>
          <w:trHeight w:val="229"/>
        </w:trPr>
        <w:tc>
          <w:tcPr>
            <w:tcW w:w="3160" w:type="dxa"/>
            <w:vAlign w:val="bottom"/>
            <w:vMerge w:val="continue"/>
          </w:tcPr>
          <w:p>
            <w:pPr>
              <w:spacing w:after="0"/>
              <w:rPr>
                <w:sz w:val="19"/>
                <w:szCs w:val="19"/>
                <w:color w:val="auto"/>
              </w:rPr>
            </w:pPr>
          </w:p>
        </w:tc>
        <w:tc>
          <w:tcPr>
            <w:tcW w:w="3300" w:type="dxa"/>
            <w:vAlign w:val="bottom"/>
            <w:vMerge w:val="restart"/>
          </w:tcPr>
          <w:p>
            <w:pPr>
              <w:ind w:left="540"/>
              <w:spacing w:after="0"/>
              <w:rPr>
                <w:sz w:val="20"/>
                <w:szCs w:val="20"/>
                <w:color w:val="auto"/>
              </w:rPr>
            </w:pPr>
            <w:r>
              <w:rPr>
                <w:rFonts w:ascii="Arial" w:cs="Arial" w:eastAsia="Arial" w:hAnsi="Arial"/>
                <w:sz w:val="18"/>
                <w:szCs w:val="18"/>
                <w:b w:val="1"/>
                <w:bCs w:val="1"/>
                <w:color w:val="231F20"/>
              </w:rPr>
              <w:t>Lindsey M. McGowan</w:t>
            </w:r>
          </w:p>
        </w:tc>
        <w:tc>
          <w:tcPr>
            <w:tcW w:w="0" w:type="dxa"/>
            <w:vAlign w:val="bottom"/>
          </w:tcPr>
          <w:p>
            <w:pPr>
              <w:spacing w:after="0"/>
              <w:rPr>
                <w:sz w:val="1"/>
                <w:szCs w:val="1"/>
                <w:color w:val="auto"/>
              </w:rPr>
            </w:pPr>
          </w:p>
        </w:tc>
      </w:tr>
      <w:tr>
        <w:trPr>
          <w:trHeight w:val="217"/>
        </w:trPr>
        <w:tc>
          <w:tcPr>
            <w:tcW w:w="3160" w:type="dxa"/>
            <w:vAlign w:val="bottom"/>
          </w:tcPr>
          <w:p>
            <w:pPr>
              <w:ind w:left="20"/>
              <w:spacing w:after="0" w:line="202" w:lineRule="exact"/>
              <w:rPr>
                <w:sz w:val="20"/>
                <w:szCs w:val="20"/>
                <w:color w:val="auto"/>
              </w:rPr>
            </w:pPr>
            <w:r>
              <w:rPr>
                <w:rFonts w:ascii="Arial" w:cs="Arial" w:eastAsia="Arial" w:hAnsi="Arial"/>
                <w:sz w:val="18"/>
                <w:szCs w:val="18"/>
                <w:color w:val="231F20"/>
              </w:rPr>
              <w:t>Former President and Founder,</w:t>
            </w:r>
          </w:p>
        </w:tc>
        <w:tc>
          <w:tcPr>
            <w:tcW w:w="3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60" w:type="dxa"/>
            <w:vAlign w:val="bottom"/>
          </w:tcPr>
          <w:p>
            <w:pPr>
              <w:spacing w:after="0" w:line="201" w:lineRule="exact"/>
              <w:rPr>
                <w:sz w:val="20"/>
                <w:szCs w:val="20"/>
                <w:color w:val="auto"/>
              </w:rPr>
            </w:pPr>
            <w:r>
              <w:rPr>
                <w:rFonts w:ascii="Arial" w:cs="Arial" w:eastAsia="Arial" w:hAnsi="Arial"/>
                <w:sz w:val="18"/>
                <w:szCs w:val="18"/>
                <w:color w:val="231F20"/>
              </w:rPr>
              <w:t>Jetty Lane Associates</w:t>
            </w:r>
          </w:p>
        </w:tc>
        <w:tc>
          <w:tcPr>
            <w:tcW w:w="3300" w:type="dxa"/>
            <w:vAlign w:val="bottom"/>
          </w:tcPr>
          <w:p>
            <w:pPr>
              <w:ind w:left="540"/>
              <w:spacing w:after="0" w:line="201" w:lineRule="exact"/>
              <w:rPr>
                <w:sz w:val="20"/>
                <w:szCs w:val="20"/>
                <w:color w:val="auto"/>
              </w:rPr>
            </w:pPr>
            <w:r>
              <w:rPr>
                <w:rFonts w:ascii="Arial" w:cs="Arial" w:eastAsia="Arial" w:hAnsi="Arial"/>
                <w:sz w:val="18"/>
                <w:szCs w:val="18"/>
                <w:color w:val="231F20"/>
                <w:w w:val="92"/>
              </w:rPr>
              <w:t>Chief Compliance and Quality Officer</w:t>
            </w:r>
          </w:p>
        </w:tc>
        <w:tc>
          <w:tcPr>
            <w:tcW w:w="0" w:type="dxa"/>
            <w:vAlign w:val="bottom"/>
          </w:tcPr>
          <w:p>
            <w:pPr>
              <w:spacing w:after="0"/>
              <w:rPr>
                <w:sz w:val="1"/>
                <w:szCs w:val="1"/>
                <w:color w:val="auto"/>
              </w:rPr>
            </w:pPr>
          </w:p>
        </w:tc>
      </w:tr>
      <w:tr>
        <w:trPr>
          <w:trHeight w:val="446"/>
        </w:trPr>
        <w:tc>
          <w:tcPr>
            <w:tcW w:w="3160" w:type="dxa"/>
            <w:vAlign w:val="bottom"/>
          </w:tcPr>
          <w:p>
            <w:pPr>
              <w:spacing w:after="0"/>
              <w:rPr>
                <w:sz w:val="20"/>
                <w:szCs w:val="20"/>
                <w:color w:val="auto"/>
              </w:rPr>
            </w:pPr>
            <w:r>
              <w:rPr>
                <w:rFonts w:ascii="Arial" w:cs="Arial" w:eastAsia="Arial" w:hAnsi="Arial"/>
                <w:sz w:val="18"/>
                <w:szCs w:val="18"/>
                <w:b w:val="1"/>
                <w:bCs w:val="1"/>
                <w:color w:val="231F20"/>
              </w:rPr>
              <w:t xml:space="preserve">Christopher S. Holland </w:t>
            </w:r>
            <w:r>
              <w:rPr>
                <w:rFonts w:ascii="Arial" w:cs="Arial" w:eastAsia="Arial" w:hAnsi="Arial"/>
                <w:sz w:val="10"/>
                <w:szCs w:val="10"/>
                <w:color w:val="231F20"/>
              </w:rPr>
              <w:t>1,2</w:t>
            </w:r>
          </w:p>
        </w:tc>
        <w:tc>
          <w:tcPr>
            <w:tcW w:w="3300" w:type="dxa"/>
            <w:vAlign w:val="bottom"/>
          </w:tcPr>
          <w:p>
            <w:pPr>
              <w:ind w:left="540"/>
              <w:spacing w:after="0"/>
              <w:rPr>
                <w:sz w:val="20"/>
                <w:szCs w:val="20"/>
                <w:color w:val="auto"/>
              </w:rPr>
            </w:pPr>
            <w:r>
              <w:rPr>
                <w:rFonts w:ascii="Arial" w:cs="Arial" w:eastAsia="Arial" w:hAnsi="Arial"/>
                <w:sz w:val="18"/>
                <w:szCs w:val="18"/>
                <w:b w:val="1"/>
                <w:bCs w:val="1"/>
                <w:color w:val="231F20"/>
              </w:rPr>
              <w:t>Renato G. Tamaro</w:t>
            </w:r>
          </w:p>
        </w:tc>
        <w:tc>
          <w:tcPr>
            <w:tcW w:w="0" w:type="dxa"/>
            <w:vAlign w:val="bottom"/>
          </w:tcPr>
          <w:p>
            <w:pPr>
              <w:spacing w:after="0"/>
              <w:rPr>
                <w:sz w:val="1"/>
                <w:szCs w:val="1"/>
                <w:color w:val="auto"/>
              </w:rPr>
            </w:pPr>
          </w:p>
        </w:tc>
      </w:tr>
      <w:tr>
        <w:trPr>
          <w:trHeight w:val="202"/>
        </w:trPr>
        <w:tc>
          <w:tcPr>
            <w:tcW w:w="3160" w:type="dxa"/>
            <w:vAlign w:val="bottom"/>
          </w:tcPr>
          <w:p>
            <w:pPr>
              <w:spacing w:after="0" w:line="201" w:lineRule="exact"/>
              <w:rPr>
                <w:sz w:val="20"/>
                <w:szCs w:val="20"/>
                <w:color w:val="auto"/>
              </w:rPr>
            </w:pPr>
            <w:r>
              <w:rPr>
                <w:rFonts w:ascii="Arial" w:cs="Arial" w:eastAsia="Arial" w:hAnsi="Arial"/>
                <w:sz w:val="18"/>
                <w:szCs w:val="18"/>
                <w:color w:val="231F20"/>
              </w:rPr>
              <w:t>Former Senior Vice President and</w:t>
            </w:r>
          </w:p>
        </w:tc>
        <w:tc>
          <w:tcPr>
            <w:tcW w:w="3300" w:type="dxa"/>
            <w:vAlign w:val="bottom"/>
          </w:tcPr>
          <w:p>
            <w:pPr>
              <w:ind w:left="540"/>
              <w:spacing w:after="0" w:line="201" w:lineRule="exact"/>
              <w:rPr>
                <w:sz w:val="20"/>
                <w:szCs w:val="20"/>
                <w:color w:val="auto"/>
              </w:rPr>
            </w:pPr>
            <w:r>
              <w:rPr>
                <w:rFonts w:ascii="Arial" w:cs="Arial" w:eastAsia="Arial" w:hAnsi="Arial"/>
                <w:sz w:val="18"/>
                <w:szCs w:val="18"/>
                <w:color w:val="231F20"/>
                <w:w w:val="85"/>
              </w:rPr>
              <w:t>Vice President and Corporate Treasurer</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231F20"/>
              </w:rPr>
              <w:t>Chief Financial Officer, C.R. Bard</w:t>
            </w:r>
          </w:p>
        </w:tc>
        <w:tc>
          <w:tcPr>
            <w:tcW w:w="3300" w:type="dxa"/>
            <w:vAlign w:val="bottom"/>
            <w:vMerge w:val="restart"/>
          </w:tcPr>
          <w:p>
            <w:pPr>
              <w:ind w:left="540"/>
              <w:spacing w:after="0"/>
              <w:rPr>
                <w:sz w:val="20"/>
                <w:szCs w:val="20"/>
                <w:color w:val="auto"/>
              </w:rPr>
            </w:pPr>
            <w:r>
              <w:rPr>
                <w:rFonts w:ascii="Arial" w:cs="Arial" w:eastAsia="Arial" w:hAnsi="Arial"/>
                <w:sz w:val="18"/>
                <w:szCs w:val="18"/>
                <w:b w:val="1"/>
                <w:bCs w:val="1"/>
                <w:color w:val="231F20"/>
              </w:rPr>
              <w:t>J. Adam Zangerle</w:t>
            </w:r>
          </w:p>
        </w:tc>
        <w:tc>
          <w:tcPr>
            <w:tcW w:w="0" w:type="dxa"/>
            <w:vAlign w:val="bottom"/>
          </w:tcPr>
          <w:p>
            <w:pPr>
              <w:spacing w:after="0"/>
              <w:rPr>
                <w:sz w:val="1"/>
                <w:szCs w:val="1"/>
                <w:color w:val="auto"/>
              </w:rPr>
            </w:pPr>
          </w:p>
        </w:tc>
      </w:tr>
      <w:tr>
        <w:trPr>
          <w:trHeight w:val="230"/>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231F20"/>
              </w:rPr>
              <w:t xml:space="preserve">Paul E. Martin </w:t>
            </w:r>
            <w:r>
              <w:rPr>
                <w:rFonts w:ascii="Arial" w:cs="Arial" w:eastAsia="Arial" w:hAnsi="Arial"/>
                <w:sz w:val="10"/>
                <w:szCs w:val="10"/>
                <w:color w:val="231F20"/>
              </w:rPr>
              <w:t>1,2</w:t>
            </w:r>
          </w:p>
        </w:tc>
        <w:tc>
          <w:tcPr>
            <w:tcW w:w="3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vMerge w:val="continue"/>
          </w:tcPr>
          <w:p>
            <w:pPr>
              <w:spacing w:after="0"/>
              <w:rPr>
                <w:sz w:val="18"/>
                <w:szCs w:val="18"/>
                <w:color w:val="auto"/>
              </w:rPr>
            </w:pPr>
          </w:p>
        </w:tc>
        <w:tc>
          <w:tcPr>
            <w:tcW w:w="3300" w:type="dxa"/>
            <w:vAlign w:val="bottom"/>
          </w:tcPr>
          <w:p>
            <w:pPr>
              <w:ind w:left="540"/>
              <w:spacing w:after="0" w:line="201" w:lineRule="exact"/>
              <w:rPr>
                <w:sz w:val="20"/>
                <w:szCs w:val="20"/>
                <w:color w:val="auto"/>
              </w:rPr>
            </w:pPr>
            <w:r>
              <w:rPr>
                <w:rFonts w:ascii="Arial" w:cs="Arial" w:eastAsia="Arial" w:hAnsi="Arial"/>
                <w:sz w:val="18"/>
                <w:szCs w:val="18"/>
                <w:color w:val="231F20"/>
                <w:w w:val="77"/>
              </w:rPr>
              <w:t>Senior Vice President, General Counsel and</w:t>
            </w:r>
          </w:p>
        </w:tc>
        <w:tc>
          <w:tcPr>
            <w:tcW w:w="0" w:type="dxa"/>
            <w:vAlign w:val="bottom"/>
          </w:tcPr>
          <w:p>
            <w:pPr>
              <w:spacing w:after="0"/>
              <w:rPr>
                <w:sz w:val="1"/>
                <w:szCs w:val="1"/>
                <w:color w:val="auto"/>
              </w:rPr>
            </w:pPr>
          </w:p>
        </w:tc>
      </w:tr>
      <w:tr>
        <w:trPr>
          <w:trHeight w:val="202"/>
        </w:trPr>
        <w:tc>
          <w:tcPr>
            <w:tcW w:w="3160" w:type="dxa"/>
            <w:vAlign w:val="bottom"/>
          </w:tcPr>
          <w:p>
            <w:pPr>
              <w:spacing w:after="0" w:line="201" w:lineRule="exact"/>
              <w:rPr>
                <w:sz w:val="20"/>
                <w:szCs w:val="20"/>
                <w:color w:val="auto"/>
              </w:rPr>
            </w:pPr>
            <w:r>
              <w:rPr>
                <w:rFonts w:ascii="Arial" w:cs="Arial" w:eastAsia="Arial" w:hAnsi="Arial"/>
                <w:sz w:val="18"/>
                <w:szCs w:val="18"/>
                <w:color w:val="231F20"/>
              </w:rPr>
              <w:t>Former Senior Vice President and</w:t>
            </w:r>
          </w:p>
        </w:tc>
        <w:tc>
          <w:tcPr>
            <w:tcW w:w="3300" w:type="dxa"/>
            <w:vAlign w:val="bottom"/>
          </w:tcPr>
          <w:p>
            <w:pPr>
              <w:ind w:left="540"/>
              <w:spacing w:after="0" w:line="201" w:lineRule="exact"/>
              <w:rPr>
                <w:sz w:val="20"/>
                <w:szCs w:val="20"/>
                <w:color w:val="auto"/>
              </w:rPr>
            </w:pPr>
            <w:r>
              <w:rPr>
                <w:rFonts w:ascii="Arial" w:cs="Arial" w:eastAsia="Arial" w:hAnsi="Arial"/>
                <w:sz w:val="18"/>
                <w:szCs w:val="18"/>
                <w:color w:val="231F20"/>
              </w:rPr>
              <w:t>Company Secretary</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231F20"/>
              </w:rPr>
              <w:t>Chief Information Officer,</w:t>
            </w: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231F20"/>
              </w:rPr>
              <w:t>Baxter International Inc.</w:t>
            </w: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right="140" w:firstLine="11"/>
        <w:spacing w:after="0" w:line="307" w:lineRule="auto"/>
        <w:rPr>
          <w:sz w:val="20"/>
          <w:szCs w:val="20"/>
          <w:color w:val="auto"/>
        </w:rPr>
      </w:pPr>
      <w:r>
        <w:rPr>
          <w:rFonts w:ascii="Arial" w:cs="Arial" w:eastAsia="Arial" w:hAnsi="Arial"/>
          <w:sz w:val="15"/>
          <w:szCs w:val="15"/>
          <w:color w:val="231F20"/>
        </w:rPr>
        <w:t>Included in this Annual Report is a copy of STERIS’s Form 10-K filed with the Securities and Exchange Commission for the year ended March 31, 2026. Additional copies of the Company’s Form 10-K and other information are available at www.steris-ir.com or upon written request to:</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Julie Winter</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231F20"/>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STERIS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5960 Heisley Road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231F20"/>
        </w:rPr>
        <w:t>Mentor, OH 44060-1834 USA</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231F20"/>
        </w:rPr>
        <w:t>TRANSFER AGENT AND REGISTRAR</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Computershare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231F20"/>
        </w:rPr>
        <w:t>C/O: Shareholder Services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231F20"/>
        </w:rPr>
        <w:t>PO Box 43078</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231F20"/>
        </w:rPr>
        <w:t>Providence, RI 02940-3078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Toll free: 866-395-6420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Toll: +1-781-575-2662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www.computershare.com/investor</w:t>
      </w:r>
    </w:p>
    <w:p>
      <w:pPr>
        <w:spacing w:after="0" w:line="200" w:lineRule="exact"/>
        <w:rPr>
          <w:sz w:val="20"/>
          <w:szCs w:val="20"/>
          <w:color w:val="auto"/>
        </w:rPr>
      </w:pPr>
    </w:p>
    <w:p>
      <w:pPr>
        <w:spacing w:after="0" w:line="263" w:lineRule="exact"/>
        <w:rPr>
          <w:sz w:val="20"/>
          <w:szCs w:val="20"/>
          <w:color w:val="auto"/>
        </w:rPr>
      </w:pPr>
    </w:p>
    <w:p>
      <w:pPr>
        <w:ind w:left="20" w:right="840" w:hanging="12"/>
        <w:spacing w:after="0" w:line="443" w:lineRule="auto"/>
        <w:rPr>
          <w:sz w:val="20"/>
          <w:szCs w:val="20"/>
          <w:color w:val="auto"/>
        </w:rPr>
      </w:pPr>
      <w:r>
        <w:rPr>
          <w:rFonts w:ascii="Arial" w:cs="Arial" w:eastAsia="Arial" w:hAnsi="Arial"/>
          <w:sz w:val="17"/>
          <w:szCs w:val="17"/>
          <w:color w:val="231F20"/>
        </w:rPr>
        <w:t>INDEPENDENT REGISTERED PUBLIC ACCOUNTING FIRM</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Ernst &amp; Young LLP</w:t>
      </w:r>
    </w:p>
    <w:p>
      <w:pPr>
        <w:spacing w:after="0" w:line="66" w:lineRule="exact"/>
        <w:rPr>
          <w:sz w:val="20"/>
          <w:szCs w:val="20"/>
          <w:color w:val="auto"/>
        </w:rPr>
      </w:pPr>
    </w:p>
    <w:p>
      <w:pPr>
        <w:ind w:right="980" w:firstLine="3"/>
        <w:spacing w:after="0" w:line="260" w:lineRule="auto"/>
        <w:rPr>
          <w:sz w:val="20"/>
          <w:szCs w:val="20"/>
          <w:color w:val="auto"/>
        </w:rPr>
      </w:pPr>
      <w:r>
        <w:rPr>
          <w:rFonts w:ascii="Arial" w:cs="Arial" w:eastAsia="Arial" w:hAnsi="Arial"/>
          <w:sz w:val="17"/>
          <w:szCs w:val="17"/>
          <w:color w:val="231F20"/>
        </w:rPr>
        <w:t>1001 Lakeside Avenue, Suite 1800 Cleveland, OH 44114</w:t>
      </w:r>
    </w:p>
    <w:p>
      <w:pPr>
        <w:spacing w:after="0" w:line="447" w:lineRule="exact"/>
        <w:rPr>
          <w:sz w:val="20"/>
          <w:szCs w:val="20"/>
          <w:color w:val="auto"/>
        </w:rPr>
      </w:pPr>
    </w:p>
    <w:p>
      <w:pPr>
        <w:sectPr>
          <w:pgSz w:w="11880" w:h="15480" w:orient="portrait"/>
          <w:cols w:equalWidth="0" w:num="2">
            <w:col w:w="6660" w:space="720"/>
            <w:col w:w="3220"/>
          </w:cols>
          <w:pgMar w:left="720" w:top="465" w:right="560" w:bottom="944" w:gutter="0" w:footer="0" w:header="0"/>
          <w:type w:val="continuous"/>
        </w:sectPr>
      </w:pP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Dr. Nirav R. Shah </w:t>
      </w:r>
      <w:r>
        <w:rPr>
          <w:rFonts w:ascii="Arial" w:cs="Arial" w:eastAsia="Arial" w:hAnsi="Arial"/>
          <w:sz w:val="10"/>
          <w:szCs w:val="10"/>
          <w:color w:val="231F20"/>
        </w:rPr>
        <w:t>1,3</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231F20"/>
        </w:rPr>
        <w:t>Senior Scholar, Stanford University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Louis A. Shapiro </w:t>
      </w:r>
      <w:r>
        <w:rPr>
          <w:rFonts w:ascii="Arial" w:cs="Arial" w:eastAsia="Arial" w:hAnsi="Arial"/>
          <w:sz w:val="10"/>
          <w:szCs w:val="10"/>
          <w:color w:val="231F20"/>
        </w:rPr>
        <w:t>2,3</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231F20"/>
        </w:rPr>
        <w:t>Former President and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Hospital for Special Surgery</w:t>
      </w:r>
    </w:p>
    <w:p>
      <w:pPr>
        <w:spacing w:after="0" w:line="200" w:lineRule="exact"/>
        <w:rPr>
          <w:sz w:val="20"/>
          <w:szCs w:val="20"/>
          <w:color w:val="auto"/>
        </w:rPr>
      </w:pPr>
    </w:p>
    <w:p>
      <w:pPr>
        <w:spacing w:after="0" w:line="241" w:lineRule="exact"/>
        <w:rPr>
          <w:sz w:val="20"/>
          <w:szCs w:val="20"/>
          <w:color w:val="auto"/>
        </w:rPr>
      </w:pPr>
    </w:p>
    <w:p>
      <w:pPr>
        <w:ind w:left="80" w:right="320" w:hanging="4"/>
        <w:spacing w:after="0" w:line="244" w:lineRule="auto"/>
        <w:rPr>
          <w:sz w:val="20"/>
          <w:szCs w:val="20"/>
          <w:color w:val="auto"/>
        </w:rPr>
      </w:pPr>
      <w:r>
        <w:rPr>
          <w:rFonts w:ascii="Arial" w:cs="Arial" w:eastAsia="Arial" w:hAnsi="Arial"/>
          <w:sz w:val="16"/>
          <w:szCs w:val="16"/>
          <w:color w:val="231F20"/>
        </w:rPr>
        <w:t>Compensation and Organization Development Committee Member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231F20"/>
        </w:rPr>
        <w:t>REGISTERED OFFICE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231F20"/>
        </w:rPr>
        <w:t>STERIS plc</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231F20"/>
        </w:rPr>
        <w:t>70 Sir John Rogerson’s Quay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231F20"/>
        </w:rPr>
        <w:t>Dublin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Ireland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3"/>
          <w:szCs w:val="23"/>
          <w:color w:val="231F20"/>
        </w:rPr>
        <w:t>STOCK EXCHANGE LISTING</w:t>
      </w:r>
    </w:p>
    <w:p>
      <w:pPr>
        <w:spacing w:after="0" w:line="223" w:lineRule="exact"/>
        <w:rPr>
          <w:sz w:val="20"/>
          <w:szCs w:val="20"/>
          <w:color w:val="auto"/>
        </w:rPr>
      </w:pPr>
    </w:p>
    <w:p>
      <w:pPr>
        <w:ind w:left="20" w:right="120" w:hanging="4"/>
        <w:spacing w:after="0" w:line="272" w:lineRule="auto"/>
        <w:rPr>
          <w:sz w:val="20"/>
          <w:szCs w:val="20"/>
          <w:color w:val="auto"/>
        </w:rPr>
      </w:pPr>
      <w:r>
        <w:rPr>
          <w:rFonts w:ascii="Arial" w:cs="Arial" w:eastAsia="Arial" w:hAnsi="Arial"/>
          <w:sz w:val="17"/>
          <w:szCs w:val="17"/>
          <w:color w:val="231F20"/>
        </w:rPr>
        <w:t>STERIS is listed on the New York Stock Exchange under the symbol STE.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4"/>
          <w:szCs w:val="24"/>
          <w:color w:val="231F20"/>
        </w:rPr>
        <w:t>ANNUAL MEETING OF</w:t>
      </w:r>
    </w:p>
    <w:p>
      <w:pPr>
        <w:spacing w:after="0" w:line="12" w:lineRule="exact"/>
        <w:rPr>
          <w:sz w:val="20"/>
          <w:szCs w:val="20"/>
          <w:color w:val="auto"/>
        </w:rPr>
      </w:pPr>
    </w:p>
    <w:p>
      <w:pPr>
        <w:spacing w:after="0"/>
        <w:rPr>
          <w:sz w:val="20"/>
          <w:szCs w:val="20"/>
          <w:color w:val="auto"/>
        </w:rPr>
      </w:pPr>
      <w:r>
        <w:rPr>
          <w:rFonts w:ascii="Arial" w:cs="Arial" w:eastAsia="Arial" w:hAnsi="Arial"/>
          <w:sz w:val="24"/>
          <w:szCs w:val="24"/>
          <w:color w:val="231F20"/>
        </w:rPr>
        <w:t>SHAREHOLDERS</w:t>
      </w:r>
    </w:p>
    <w:p>
      <w:pPr>
        <w:spacing w:after="0" w:line="218" w:lineRule="exact"/>
        <w:rPr>
          <w:sz w:val="20"/>
          <w:szCs w:val="20"/>
          <w:color w:val="auto"/>
        </w:rPr>
      </w:pPr>
    </w:p>
    <w:p>
      <w:pPr>
        <w:ind w:left="20" w:right="60" w:hanging="9"/>
        <w:spacing w:after="0" w:line="221" w:lineRule="auto"/>
        <w:rPr>
          <w:sz w:val="20"/>
          <w:szCs w:val="20"/>
          <w:color w:val="auto"/>
        </w:rPr>
      </w:pPr>
      <w:r>
        <w:rPr>
          <w:rFonts w:ascii="Arial" w:cs="Arial" w:eastAsia="Arial" w:hAnsi="Arial"/>
          <w:sz w:val="18"/>
          <w:szCs w:val="18"/>
          <w:color w:val="231F20"/>
        </w:rPr>
        <w:t>The Company’s 2026 annual meeting will be held Friday, July 31, 2026.</w:t>
      </w:r>
    </w:p>
    <w:p>
      <w:pPr>
        <w:spacing w:after="0" w:line="1" w:lineRule="exact"/>
        <w:rPr>
          <w:sz w:val="20"/>
          <w:szCs w:val="20"/>
          <w:color w:val="auto"/>
        </w:rPr>
      </w:pPr>
    </w:p>
    <w:p>
      <w:pPr>
        <w:sectPr>
          <w:pgSz w:w="11880" w:h="15480" w:orient="portrait"/>
          <w:cols w:equalWidth="0" w:num="3">
            <w:col w:w="2980" w:space="720"/>
            <w:col w:w="2960" w:space="720"/>
            <w:col w:w="3220"/>
          </w:cols>
          <w:pgMar w:left="720" w:top="465" w:right="560" w:bottom="944" w:gutter="0" w:footer="0" w:header="0"/>
          <w:type w:val="continuous"/>
        </w:sectPr>
      </w:pPr>
    </w:p>
    <w:p>
      <w:pPr>
        <w:ind w:left="80" w:hanging="80"/>
        <w:spacing w:after="0" w:line="187" w:lineRule="auto"/>
        <w:tabs>
          <w:tab w:leader="none" w:pos="80" w:val="left"/>
        </w:tabs>
        <w:numPr>
          <w:ilvl w:val="0"/>
          <w:numId w:val="40"/>
        </w:numPr>
        <w:rPr>
          <w:rFonts w:ascii="Arial" w:cs="Arial" w:eastAsia="Arial" w:hAnsi="Arial"/>
          <w:sz w:val="17"/>
          <w:szCs w:val="17"/>
          <w:color w:val="231F20"/>
          <w:vertAlign w:val="superscript"/>
        </w:rPr>
      </w:pPr>
      <w:r>
        <w:rPr>
          <w:rFonts w:ascii="Arial" w:cs="Arial" w:eastAsia="Arial" w:hAnsi="Arial"/>
          <w:sz w:val="14"/>
          <w:szCs w:val="14"/>
          <w:color w:val="231F20"/>
        </w:rPr>
        <w:t>Audit Committee Member</w:t>
      </w:r>
    </w:p>
    <w:p>
      <w:pPr>
        <w:spacing w:after="0" w:line="205" w:lineRule="exact"/>
        <w:rPr>
          <w:sz w:val="20"/>
          <w:szCs w:val="20"/>
          <w:color w:val="auto"/>
        </w:rPr>
      </w:pPr>
    </w:p>
    <w:p>
      <w:pPr>
        <w:ind w:left="80" w:hanging="76"/>
        <w:spacing w:after="0"/>
        <w:tabs>
          <w:tab w:leader="none" w:pos="80" w:val="left"/>
        </w:tabs>
        <w:numPr>
          <w:ilvl w:val="0"/>
          <w:numId w:val="41"/>
        </w:numPr>
        <w:rPr>
          <w:rFonts w:ascii="Arial" w:cs="Arial" w:eastAsia="Arial" w:hAnsi="Arial"/>
          <w:sz w:val="15"/>
          <w:szCs w:val="15"/>
          <w:color w:val="231F20"/>
          <w:vertAlign w:val="superscript"/>
        </w:rPr>
      </w:pPr>
      <w:r>
        <w:rPr>
          <w:rFonts w:ascii="Arial" w:cs="Arial" w:eastAsia="Arial" w:hAnsi="Arial"/>
          <w:sz w:val="12"/>
          <w:szCs w:val="12"/>
          <w:color w:val="231F20"/>
        </w:rPr>
        <w:t>Compliance and Technology Committee Member</w:t>
      </w:r>
    </w:p>
    <w:p>
      <w:pPr>
        <w:spacing w:after="0" w:line="212" w:lineRule="exact"/>
        <w:rPr>
          <w:sz w:val="20"/>
          <w:szCs w:val="20"/>
          <w:color w:val="auto"/>
        </w:rPr>
      </w:pPr>
    </w:p>
    <w:p>
      <w:pPr>
        <w:ind w:left="80" w:hanging="80"/>
        <w:spacing w:after="0"/>
        <w:tabs>
          <w:tab w:leader="none" w:pos="80" w:val="left"/>
        </w:tabs>
        <w:numPr>
          <w:ilvl w:val="0"/>
          <w:numId w:val="42"/>
        </w:numPr>
        <w:rPr>
          <w:rFonts w:ascii="Arial" w:cs="Arial" w:eastAsia="Arial" w:hAnsi="Arial"/>
          <w:sz w:val="15"/>
          <w:szCs w:val="15"/>
          <w:color w:val="231F20"/>
          <w:vertAlign w:val="superscript"/>
        </w:rPr>
      </w:pPr>
      <w:r>
        <w:rPr>
          <w:rFonts w:ascii="Arial" w:cs="Arial" w:eastAsia="Arial" w:hAnsi="Arial"/>
          <w:sz w:val="12"/>
          <w:szCs w:val="12"/>
          <w:color w:val="231F20"/>
        </w:rPr>
        <w:t>Nominating and Governance Committee Member</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Arial" w:cs="Arial" w:eastAsia="Arial" w:hAnsi="Arial"/>
          <w:sz w:val="12"/>
          <w:szCs w:val="12"/>
          <w:color w:val="231F20"/>
        </w:rPr>
        <w:t>Portions of this Annual Report, other than the Form 10-K,</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231F20"/>
        </w:rPr>
        <w:t>have not been filed with the SEC.</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231F20"/>
        </w:rPr>
        <w:t>Product and service descriptions and financial informa</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231F20"/>
        </w:rPr>
        <w:t>tion herein are for illustration purposes only and do not</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2"/>
          <w:szCs w:val="12"/>
          <w:color w:val="231F20"/>
        </w:rPr>
        <w:t>modify or alter product warranties, labeling, instructions,</w:t>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color w:val="231F20"/>
        </w:rPr>
        <w:t>or other technical literature, or the financial information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231F20"/>
        </w:rPr>
        <w:t>contained in the Form 10-K.</w:t>
      </w:r>
    </w:p>
    <w:p>
      <w:pPr>
        <w:sectPr>
          <w:pgSz w:w="11880" w:h="15480" w:orient="portrait"/>
          <w:cols w:equalWidth="0" w:num="2">
            <w:col w:w="6660" w:space="720"/>
            <w:col w:w="3220"/>
          </w:cols>
          <w:pgMar w:left="720" w:top="465" w:right="560" w:bottom="944" w:gutter="0" w:footer="0" w:header="0"/>
          <w:type w:val="continuous"/>
        </w:sectPr>
      </w:pPr>
    </w:p>
    <w:bookmarkStart w:id="115" w:name="page116"/>
    <w:bookmarkEnd w:id="115"/>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333AB105"/>
    <w:multiLevelType w:val="hybridMultilevel"/>
    <w:lvl w:ilvl="0">
      <w:lvlJc w:val="left"/>
      <w:lvlText w:val="%3"/>
      <w:numFmt w:val="bullet"/>
      <w:start w:val="1"/>
    </w:lvl>
  </w:abstractNum>
  <w:abstractNum w:abstractNumId="1">
    <w:nsid w:val="721DA317"/>
    <w:multiLevelType w:val="hybridMultilevel"/>
    <w:lvl w:ilvl="0">
      <w:lvlJc w:val="left"/>
      <w:lvlText w:val="(%1)"/>
      <w:numFmt w:val="decimal"/>
      <w:start w:val="1"/>
    </w:lvl>
  </w:abstractNum>
  <w:abstractNum w:abstractNumId="2">
    <w:nsid w:val="2443A858"/>
    <w:multiLevelType w:val="hybridMultilevel"/>
    <w:lvl w:ilvl="0">
      <w:lvlJc w:val="left"/>
      <w:lvlText w:val="(%1)"/>
      <w:numFmt w:val="decimal"/>
      <w:start w:val="2"/>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lvl w:ilvl="1">
      <w:lvlJc w:val="left"/>
      <w:lvlText w:val="•"/>
      <w:numFmt w:val="bullet"/>
      <w:start w:val="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1)"/>
      <w:numFmt w:val="lowerLetter"/>
      <w:start w:val="1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1)"/>
      <w:numFmt w:val="decimal"/>
      <w:start w:val="2"/>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decimal"/>
      <w:start w:val="14"/>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decimal"/>
      <w:start w:val="4"/>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1)"/>
      <w:numFmt w:val="lowerLetter"/>
      <w:start w:val="1"/>
    </w:lvl>
  </w:abstractNum>
  <w:abstractNum w:abstractNumId="36">
    <w:nsid w:val="51EAD36B"/>
    <w:multiLevelType w:val="hybridMultilevel"/>
    <w:lvl w:ilvl="0">
      <w:lvlJc w:val="left"/>
      <w:lvlText w:val="(%1)"/>
      <w:numFmt w:val="lowerLetter"/>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2"/>
      <w:numFmt w:val="bullet"/>
      <w:start w:val="1"/>
    </w:lvl>
  </w:abstractNum>
  <w:abstractNum w:abstractNumId="40">
    <w:nsid w:val="3855585C"/>
    <w:multiLevelType w:val="hybridMultilevel"/>
    <w:lvl w:ilvl="0">
      <w:lvlJc w:val="left"/>
      <w:lvlText w:val="3"/>
      <w:numFmt w:val="bullet"/>
      <w:start w:val="1"/>
    </w:lvl>
  </w:abstractNum>
  <w:abstractNum w:abstractNumId="41">
    <w:nsid w:val="70A64E2A"/>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2026-06-11T15:28:04Z</dcterms:created>
  <dcterms:modified xsi:type="dcterms:W3CDTF">2026-06-11T15:28:04Z</dcterms:modified>
</cp:coreProperties>
</file>