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 w:lineRule="exact"/>
        <w:rPr>
          <w:sz w:val="24"/>
          <w:szCs w:val="24"/>
          <w:color w:val="auto"/>
        </w:rPr>
      </w:pPr>
    </w:p>
    <w:p>
      <w:pPr>
        <w:ind w:left="3734"/>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7"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5" w:lineRule="exact"/>
        <w:rPr>
          <w:sz w:val="24"/>
          <w:szCs w:val="24"/>
          <w:color w:val="auto"/>
        </w:rPr>
      </w:pPr>
    </w:p>
    <w:p>
      <w:pPr>
        <w:ind w:left="3754"/>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1034" w:hanging="1034"/>
        <w:spacing w:after="0"/>
        <w:tabs>
          <w:tab w:leader="none" w:pos="10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94"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18"/>
          <w:szCs w:val="18"/>
          <w:b w:val="1"/>
          <w:bCs w:val="1"/>
          <w:color w:val="auto"/>
        </w:rPr>
        <w:t>For the Twelve Month Period Ended December 31, 2025</w:t>
      </w:r>
    </w:p>
    <w:p>
      <w:pPr>
        <w:spacing w:after="0" w:line="3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034" w:hanging="1034"/>
        <w:spacing w:after="0"/>
        <w:tabs>
          <w:tab w:leader="none" w:pos="1034"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05" w:lineRule="exact"/>
        <w:rPr>
          <w:sz w:val="24"/>
          <w:szCs w:val="24"/>
          <w:color w:val="auto"/>
        </w:rPr>
      </w:pPr>
    </w:p>
    <w:p>
      <w:pPr>
        <w:ind w:left="3774"/>
        <w:spacing w:after="0"/>
        <w:tabs>
          <w:tab w:leader="none" w:pos="6674"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18"/>
          <w:szCs w:val="18"/>
          <w:b w:val="1"/>
          <w:bCs w:val="1"/>
          <w:color w:val="auto"/>
        </w:rPr>
        <w:t>Commission file number 001-38848</w:t>
      </w:r>
    </w:p>
    <w:p>
      <w:pPr>
        <w:spacing w:after="0" w:line="9" w:lineRule="exact"/>
        <w:rPr>
          <w:sz w:val="24"/>
          <w:szCs w:val="24"/>
          <w:color w:val="auto"/>
        </w:rPr>
      </w:pPr>
    </w:p>
    <w:p>
      <w:pPr>
        <w:ind w:left="3734"/>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034" w:hanging="1034"/>
        <w:spacing w:after="0"/>
        <w:tabs>
          <w:tab w:leader="none" w:pos="103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title of the plan and the address of the plan if different from that of the issuer named below:</w:t>
      </w:r>
    </w:p>
    <w:p>
      <w:pPr>
        <w:spacing w:after="0" w:line="88" w:lineRule="exact"/>
        <w:rPr>
          <w:sz w:val="24"/>
          <w:szCs w:val="24"/>
          <w:color w:val="auto"/>
        </w:rPr>
      </w:pPr>
    </w:p>
    <w:p>
      <w:pPr>
        <w:ind w:left="2514"/>
        <w:spacing w:after="0"/>
        <w:rPr>
          <w:sz w:val="20"/>
          <w:szCs w:val="20"/>
          <w:color w:val="auto"/>
        </w:rPr>
      </w:pPr>
      <w:r>
        <w:rPr>
          <w:rFonts w:ascii="Times New Roman" w:cs="Times New Roman" w:eastAsia="Times New Roman" w:hAnsi="Times New Roman"/>
          <w:sz w:val="43"/>
          <w:szCs w:val="43"/>
          <w:b w:val="1"/>
          <w:bCs w:val="1"/>
          <w:color w:val="auto"/>
        </w:rPr>
        <w:t>STERIS Corporation 401(k) Plan</w:t>
      </w:r>
    </w:p>
    <w:p>
      <w:pPr>
        <w:spacing w:after="0" w:line="281" w:lineRule="exact"/>
        <w:rPr>
          <w:sz w:val="24"/>
          <w:szCs w:val="24"/>
          <w:color w:val="auto"/>
        </w:rPr>
      </w:pPr>
    </w:p>
    <w:p>
      <w:pPr>
        <w:ind w:left="3914"/>
        <w:spacing w:after="0"/>
        <w:rPr>
          <w:sz w:val="20"/>
          <w:szCs w:val="20"/>
          <w:color w:val="auto"/>
        </w:rPr>
      </w:pPr>
      <w:r>
        <w:rPr>
          <w:rFonts w:ascii="Times New Roman" w:cs="Times New Roman" w:eastAsia="Times New Roman" w:hAnsi="Times New Roman"/>
          <w:sz w:val="18"/>
          <w:szCs w:val="18"/>
          <w:color w:val="auto"/>
        </w:rPr>
        <w:t>5960 Heisley Road, Mentor, Ohio 44060-1834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034" w:hanging="1034"/>
        <w:spacing w:after="0"/>
        <w:tabs>
          <w:tab w:leader="none" w:pos="103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 of issuer of securities held pursuant to the plan and the address of its principal executive office:</w:t>
      </w:r>
    </w:p>
    <w:p>
      <w:pPr>
        <w:spacing w:after="0" w:line="108"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25"/>
          <w:szCs w:val="25"/>
          <w:b w:val="1"/>
          <w:bCs w:val="1"/>
          <w:color w:val="auto"/>
        </w:rPr>
        <w:t>STERIS plc</w:t>
      </w:r>
    </w:p>
    <w:p>
      <w:pPr>
        <w:spacing w:after="0" w:line="40" w:lineRule="exact"/>
        <w:rPr>
          <w:sz w:val="24"/>
          <w:szCs w:val="24"/>
          <w:color w:val="auto"/>
        </w:rPr>
      </w:pPr>
    </w:p>
    <w:p>
      <w:pPr>
        <w:ind w:left="3894"/>
        <w:spacing w:after="0"/>
        <w:rPr>
          <w:sz w:val="20"/>
          <w:szCs w:val="20"/>
          <w:color w:val="auto"/>
        </w:rPr>
      </w:pPr>
      <w:r>
        <w:rPr>
          <w:rFonts w:ascii="Times New Roman" w:cs="Times New Roman" w:eastAsia="Times New Roman" w:hAnsi="Times New Roman"/>
          <w:sz w:val="18"/>
          <w:szCs w:val="18"/>
          <w:color w:val="313131"/>
        </w:rPr>
        <w:t>70 Sir John Rogerson's Quay, Dublin 2,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2709545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98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STERIS Corporation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As Of December 31, 2025 And 2024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The Financial Statements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Schedule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993"/>
        </w:trPr>
        <w:tc>
          <w:tcPr>
            <w:tcW w:w="9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STERIS Corporation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Mentor, Ohio</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 on the Financial Statements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STERIS Corporation 401(k) Plan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for Opinion</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Information</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BOBER, MARKEY, FEDOROVICH &amp;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FFFFFF"/>
        </w:rPr>
        <w:t>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FFFF"/>
        </w:rPr>
        <w:t>Statements of Net Assets Available for Benefits as of December 31, 2025 and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FFFFFF"/>
              </w:rPr>
              <w:t>as of December 31, 2025 and 2024</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28"/>
        </w:trPr>
        <w:tc>
          <w:tcPr>
            <w:tcW w:w="7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1,460,382,363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1,242,861,811</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18,634,062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17,176,868</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1,479,016,425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1,260,038,679</w:t>
            </w:r>
          </w:p>
        </w:tc>
      </w:tr>
      <w:tr>
        <w:trPr>
          <w:trHeight w:val="21"/>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ind w:left="5120"/>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FFFF"/>
        </w:rPr>
        <w:t>Statements of Changes in Net Assets Available for Benefits As of December 31, 2025 and 2024</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gridSpan w:val="4"/>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interest and dividend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7,699,742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13,266,668</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1,430,619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1,243,262</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Participant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79,015,449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76,604,132</w:t>
            </w:r>
          </w:p>
        </w:tc>
      </w:tr>
      <w:tr>
        <w:trPr>
          <w:trHeight w:val="230"/>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Employer</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35,180,458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29,483,123</w:t>
            </w:r>
          </w:p>
        </w:tc>
      </w:tr>
      <w:tr>
        <w:trPr>
          <w:trHeight w:val="229"/>
        </w:trPr>
        <w:tc>
          <w:tcPr>
            <w:tcW w:w="7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Rollovers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6,653,825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19,346,162</w:t>
            </w:r>
          </w:p>
        </w:tc>
      </w:tr>
      <w:tr>
        <w:trPr>
          <w:trHeight w:val="223"/>
        </w:trPr>
        <w:tc>
          <w:tcPr>
            <w:tcW w:w="7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contributions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120,849,732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125,433,417</w:t>
            </w:r>
          </w:p>
        </w:tc>
      </w:tr>
      <w:tr>
        <w:trPr>
          <w:trHeight w:val="237"/>
        </w:trPr>
        <w:tc>
          <w:tcPr>
            <w:tcW w:w="7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129,980,093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139,943,347</w:t>
            </w:r>
          </w:p>
        </w:tc>
      </w:tr>
      <w:tr>
        <w:trPr>
          <w:trHeight w:val="229"/>
        </w:trPr>
        <w:tc>
          <w:tcPr>
            <w:tcW w:w="7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121,554,744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131,600,843</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731,546</w:t>
            </w:r>
          </w:p>
        </w:tc>
      </w:tr>
      <w:tr>
        <w:trPr>
          <w:trHeight w:val="223"/>
        </w:trPr>
        <w:tc>
          <w:tcPr>
            <w:tcW w:w="7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deductions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122,345,847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132,332,389</w:t>
            </w:r>
          </w:p>
        </w:tc>
      </w:tr>
      <w:tr>
        <w:trPr>
          <w:trHeight w:val="223"/>
        </w:trPr>
        <w:tc>
          <w:tcPr>
            <w:tcW w:w="7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and realized appreciation in the fair value of investments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211,343,500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124,680,837</w:t>
            </w:r>
          </w:p>
        </w:tc>
      </w:tr>
      <w:tr>
        <w:trPr>
          <w:trHeight w:val="257"/>
        </w:trPr>
        <w:tc>
          <w:tcPr>
            <w:tcW w:w="7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prior to transfer</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218,977,746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132,291,795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 of assets from other plan</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326,626</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218,977,746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132,618,421</w:t>
            </w:r>
          </w:p>
        </w:tc>
      </w:tr>
      <w:tr>
        <w:trPr>
          <w:trHeight w:val="257"/>
        </w:trPr>
        <w:tc>
          <w:tcPr>
            <w:tcW w:w="7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at:</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1,260,038,679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1,127,420,258</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1,479,016,425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1,260,038,679</w:t>
            </w:r>
          </w:p>
        </w:tc>
      </w:tr>
      <w:tr>
        <w:trPr>
          <w:trHeight w:val="21"/>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Notes to the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Plan Description</w:t>
      </w:r>
    </w:p>
    <w:p>
      <w:pPr>
        <w:spacing w:after="0" w:line="9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brief description of the STERIS Corporation 401(k) Plan (the “Plan”) provides only general information. A complete description of the Plan provisions, including those relating to participation, vesting and benefits, is contained in the Plan document. Participants should refer to the Plan document for complete information regarding the Plan’s provisions.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administered by STERIS Corporation (the “Company,” or “Plan Administrator”), an indirect wholly-owned subsidiary of STERIS plc (“STERIS”).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Generally, all U.S. employees of the Company and certain participating subsidiaries and other affiliates who have attained the age of 18 and have completed 30 days of employment with the Company or a participating subsidiary or other affiliate are eligible to participate in the Plan on the first day of the payroll period that begins after satisfying these requirements. For employees hired prior to January 1, 2025, the service requirement was age of 18 and 90 days of employment with the company. Rehired employees who were previously participants are eligible for participation immediately upon rehire. The Plan contains an automatic enrollment feature for newly eligible participants and a Qualified Automatic Contribution Arrangement (QACA). The Plan contains provisions providing that an employee of the Company or a subsidiary or other affiliate who is not eligible to participate in the Plan and who is transferred to an employment status that makes him/her eligible to participate, will become a participant as of the date of transfer provided that he/she has satisfied the minimum age and service requirements at that time.</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Plan was amended and restated in its entirety effective January 1, 2015, to consolidate all prior amendments into one document and to meet then applicable IRS qualification requirements that plan sponsors restate their plan documents. Subsequent to December 31, 2025, the Plan was amended and restated in its entirety effective January 1, 2026 to consolidate prior amendments and reflect applicable legal changes, including changes under the Setting Every Community Up For Retirement Enhancement Act of 2019 (the SECURE Act) and the Setting Every Community Up For Retirement Enhancement 2.0 Act of 2022 (the SECURE 2.0 Act). Except as otherwise specifically provided in the amended and restated Plan or required by applicable law, benefits accrued and rights determined with respect to periods prior to January 1, 2026 are governed by the Plan documents and amendments in effect for those periods.</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is a stock bonus plan. The portion of the Plan fund that holds investments consisting of STERIS plc ordinary shares (the “STERIS Company Stock Fund”) is an employee stock ownership plan within the meaning of Section 4975(e)(7) of the Internal Revenue Code (the “Code”). The Plan provides for a cash payment option with respect to dividends paid on STERIS shares held in the STERIS Company Stock Fund.</w:t>
      </w:r>
    </w:p>
    <w:p>
      <w:pPr>
        <w:spacing w:after="0" w:line="6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Plan also contains a cash or deferred arrangement intended to qualify under Section 401(k) of the Code. The Plan is qualified under Section 401(a) of the Code.</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401(k) Plan Oversight Committee is responsible for the general administration of the Plan. Vanguard Fiduciary Trust Company is the Plan trustee and The Vanguard Group, Inc. is the Plan recordkeeper (collectively “the Trustee”). The Plan is subject to the provisions of the Employee Retirement Income Security Act of 1974 as amended (“ERISA”).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Participants may make contributions to the Plan as “before-tax” deferred compensation contributions or on an “after-tax” basis as Roth 401(k) contributions. The Plan does not permit participants to make non-Roth after-tax contributions.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Plan allows participants to contribute up to 50% of their compensation received during a calendar year, subject to certain limitations. The contributions for each participant are made by payroll deductions and are determined each pay period by multiplying the participant selected deferral percentage rate then in effect by his/her eligible compensation for such period.</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Participants who are automatically enrolled in the Plan are enrolled at a rate of 3% of eligible contribution, and such rate automatically increases by 1% each year up to a maximum amount of 6% of eligible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contains a feature that allows participants to modify deferral percentages at any time.</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makes matching cash contributions to participants' accounts. The matching contributions are a percentage of the contributions made by each participant and are intended to qualify as safe harbor matching contributions. For the year ended December 31, 2025, the plan is operating under employer matching contributions of 100% of a participant's contribution (not in excess of two percent of eligible compensation), and 50% of the participant's contributions (in excess of two percent but not in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excess of six percent of eligible compensation). For the year ended December 31, 2024, employer matching contributions were 100% of a participant's contribution (not in excess of one percent of eligible compensation), and 50% of the participant's contributions (in excess of one percent but not in excess of six percent of eligible compensation), subject to certain Plan limitations. The employer matching contributions are made each pay period. The Company has reserved the right to amend the Plan, which includes the right to suspend, modify or terminate employer matching contributions.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may make corrective qualified nonelective contributions to the Plan on behalf of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also allows a participant to contribute into the Plan balances from another qualified benefit plan (known as “rollover contributions”).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separate account is maintained for each participant in the Plan, reflecting contributions, investments, realized and unrealized investment gains and losses, loans and interest, withdrawals, rollovers and certain fees. The net value of each participant account is established at the close of each business day through the valuation of each fund’s assets.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Participants may elect to invest contributions, including employer contributions, in any combination of the investment funds offered by the Plan, including the STERIS Company Stock Fund. If a participant does not make an investment election with respect to 100% of the contributions made on behalf of the participant, those contributions for which no election has been made will be invested in the default investment option (Vanguard Target Retirement Date Funds), until an affirmative election of other investment options is received from the participant.</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Participants can generally change their investment elections at any time, subject to certain limitations with respect to the STERIS Company Stock Fund. A participant may elect to have a portion or all of the balance of prior contributions together with earnings transferred from the fund in which it is invested to any other fund, subject to any transfer restrictions that the fund may impose. The STERIS Company Stock Fund will not accept transfers from other investment funds or rollover contributions. A self-directed mutual fund brokerage window option also is available to participants. This option enables participants to invest in a wide variety of mutual funds, beyond the core investment funds available to all Plan participants. Participants who elect this option are subject to additional charges; these additional charges are the responsibility of the electing participants.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are immediately vested in their contributions and employer matching contributions plus actual earnings thereon.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contributions to the Plan are 100% vested; however, if for any reason an amount is required to be forfeited pursuant to Article VII of the Plan or to a correction under the Internal Revenue Service's Employee Plans Compliance Resolution System (EPCRS) program for which the Employer and the Plan are eligible, as set forth in Revenue Procedure 2021-30 or any successor thereto, such forfeiture shall be used as soon as practicable to pay Plan expenses or to reduce any Employer Contributions to be made in the Plan Year in which the forfeiture occurs or the next following Plan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Withdrawals and Distributions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separation from service with the Company due to death, disability, retirement, or termination, a participant may elect to receive a lump-sum distribution equal to his or her vested account balance. To the extent that a participant's separate account is invested in the STERIS Company Stock Fund, a participant may elect to receive payment of benefits in the form of an in-kind distribution of shares held in the STERIS Company Stock Fund.</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In-service withdrawals are available in certain limited circumstances, as defined by the Plan. Hardship withdrawals are allowed for participants incurring an immediate and heavy financial need, as defined by the Plan. Hardship withdrawals are strictly regulated by Internal Revenue Service (IRS)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Loans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Participants currently employed may borrow from their fund accounts a minimum of $1,000 up to a maximum equal to the lesser of $50,000 or 50 percent of their vested account balance. Loan terms generally range from 1-5 years and are secured by the balance in the participant’s account. Loan terms for loans used for the purchase of a participant’s primary residence can be longer than five years. The loans bear interest at a rate established by the Trustee. Principal and interest is paid through payroll deductions. Participants may have only one loan outstanding at any time and participants may take only one loan in a twelve-month period. If any amount that was not paid when due remains unpaid by the end of the calendar quarter following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quarter in which the payment was due the loan will be in default. If a participant terminates employment with the Company, they may continue to make loan payments directly to the Trustee through a pre-authorized check agreement. If the loan is not repaid, it will automatically be treated as a distribution to the participant as soon as practicable following the default.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STERIS Company Stock Fund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participant who has an investment in the STERIS Company Stock Fund holds stock fund units. These units represent a proportionate number of STERIS shares held in the STERIS Company Stock Fund. The Company Stock Fund may hold cash or other short-term securities, although these are expected to be a small percentage of the fund. The Company has implemented a dividend pass-through election for its participants for cash dividends that equal or exceed $25. Each participant is entitled to exercise voting rights attributable to the STERIS shares that his or her stock units represent. At least thirty days prior to the time such rights are to be exercised, each participant is sent, electronically or by regular mail, a copy of the proxy solicitation materials. Participants are requested to instruct the Trustee as to how shares should be voted. If a participant does not provide the Trustee with instructions as to how shares should be voted, then such shares are voted, as provided in the Plan, proportionately in accordance with the instructions received from other participants in the Plan who are voting.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by action of its Board of Directors and without approval of its shareholders, has the right under the Plan to amend, suspend, or terminate the Plan in its entirety subject to the provisions of ERISA. The 401(k) Plan Oversight Committee for the Plan also is authorized to make certain Plan amendments.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Plan termination, participants will remain 100 percent vested in their accounts.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Costs incident to the purchase and sale of securities, such as brokerage commissions and stock transfer taxes, are paid by the respective funds. All other administrative expenses incurred in the administration of the Plan are charged against the respective funds, unless the Company elects to pay such amounts. A quarterly amount of $8.50 was deducted from each participant account for calendar years 2025 and 2024, to pay administrative fees. The Company has elected to pay audit, legal, and consulting fees only. Expenses that are paid by the Company are excluded from these financial statements.</w:t>
      </w:r>
    </w:p>
    <w:p>
      <w:pPr>
        <w:spacing w:after="0" w:line="68" w:lineRule="exact"/>
        <w:rPr>
          <w:sz w:val="20"/>
          <w:szCs w:val="20"/>
          <w:color w:val="auto"/>
        </w:rPr>
      </w:pPr>
    </w:p>
    <w:p>
      <w:pPr>
        <w:ind w:right="852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(“U.S. GAAP”). Plan financial statements have been prepared on the accrual basis of accounting. The following is a summary of the significant accounting policies followed by the Plan in the preparation of its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Investments held by the Plan are stated at fair value. Fair value is defined as the price that would be received to sell an asset or paid to transfer a liability in an orderly transaction between market participants at the measurement date (an exit price). See Note 5 for further discussion and disclosures related to fair value measurements.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and supplemental schedules.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are measured at amortized cost, which represents the unpaid principal balance plus any accrued but unpaid interest. Interest income on notes receivable from participants is recorded when earned. Related fees are recorded as administrative expenses and are recorded when incurred. If a participant ceases to make loan repayments and the plan administrator deems the participant loan to be a distribution, the participant loan balance is reduced and a benefit payment is recorded. No allowance for credit losses has been recorded as of December 31, 2025 and 2024.</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management evaluates subsequent events through the financial statement issuance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Parties-in-Interest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Party-in-interest transactions include the investment in the funds of the Trustee and funds maintained by entities affiliated with the Trustee and the payment of administrative expenses. Permissible Plan loans to participants are also party-in-interest transactions. Total purchases and sales of STERIS shares transacted by funds of the Plan, along with dividends received by the Plan on such shares, are presented in the table below.</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STERIS Share Activity</w:t>
            </w:r>
            <w:r>
              <w:rPr>
                <w:rFonts w:ascii="Times New Roman" w:cs="Times New Roman" w:eastAsia="Times New Roman" w:hAnsi="Times New Roman"/>
                <w:sz w:val="23"/>
                <w:szCs w:val="23"/>
                <w:b w:val="1"/>
                <w:bCs w:val="1"/>
                <w:color w:val="auto"/>
                <w:vertAlign w:val="superscript"/>
              </w:rPr>
              <w:t>(1)</w:t>
            </w:r>
          </w:p>
        </w:tc>
        <w:tc>
          <w:tcPr>
            <w:tcW w:w="3040" w:type="dxa"/>
            <w:vAlign w:val="bottom"/>
          </w:tcPr>
          <w:p>
            <w:pPr>
              <w:spacing w:after="0"/>
              <w:rPr>
                <w:sz w:val="19"/>
                <w:szCs w:val="19"/>
                <w:color w:val="auto"/>
              </w:rPr>
            </w:pPr>
          </w:p>
        </w:tc>
        <w:tc>
          <w:tcPr>
            <w:tcW w:w="36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3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3,373,115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3,760,678</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Sold</w:t>
            </w:r>
          </w:p>
        </w:tc>
        <w:tc>
          <w:tcPr>
            <w:tcW w:w="3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16,744,957</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15,799,109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w:t>
            </w:r>
          </w:p>
        </w:tc>
        <w:tc>
          <w:tcPr>
            <w:tcW w:w="3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852,465</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907,050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These transactions qualify as party-in-interest transactions; however, they are exempt from the prohibited transactions rules under ERISA.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Tax Status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Plan received a determination letter from the Internal Revenue Service dated October 9, 2015, stating that the Plan is qualified under Section 401(a) of the Code. This determination also meant, in effect, that the related trust was determined to be exempt from taxation. The Plan is required to operate in conformity with the Code to maintain its qualified status. The Plan Administrator has indicated that it will take the necessary steps, if any, to bring the Plan's operations into compliance with the Code requirements in the event of any noncompliance.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U.S. GAAP requires the Company to evaluate tax positions taken by the Plan and recognize a tax asset or liability if the Plan has taken an uncertain position that more likely than not would not be sustained upon examination by the Internal Revenue Service. The Company has analyzed the tax positions taken by the Plan, and has concluded that as of December 31, 2025, there are no uncertain positions taken or expected to be taken. The Plan is subject to routine audits by the Internal Revenue Service; however, there are currently no tax audits for any tax periods in respect of the Plan in progress.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Investments are classified in a hierarchy based on the inputs to valuation techniques used in measuring fair value that maximizes the use of observable inputs and minimizes the use of unobservable inputs by requiring that the most observable inputs be used when available. The three levels of the fair value hierarchy are described below:</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Unadjusted quoted prices for identical assets or liabilities in active markets.</w:t>
      </w:r>
    </w:p>
    <w:p>
      <w:pPr>
        <w:spacing w:after="0" w:line="117"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72"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Inputs to the valuation methodology are unobservable and significant to the fair value measurement. These inputs reflect management's judgment about the assumptions that a market participant would use in pricing the investment and are based on the best available information, some of which may be internally developed.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input that is significant to the fair value measurement.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valuation techniques used for assets measured at fair value.</w:t>
      </w:r>
    </w:p>
    <w:p>
      <w:pPr>
        <w:spacing w:after="0" w:line="117" w:lineRule="exact"/>
        <w:rPr>
          <w:sz w:val="20"/>
          <w:szCs w:val="20"/>
          <w:color w:val="auto"/>
        </w:rPr>
      </w:pPr>
    </w:p>
    <w:p>
      <w:pPr>
        <w:ind w:left="340" w:right="440"/>
        <w:spacing w:after="0" w:line="261" w:lineRule="auto"/>
        <w:rPr>
          <w:sz w:val="20"/>
          <w:szCs w:val="20"/>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Valued at the price reported by the fund. Mutual funds held by the Plan have publicly available prices and are registered with the Securities and Exchange Commission. Money market fund holdings are valued and transacted at a net asset value (“NAV”). NAV is computed by dividing the total assets, minus liabilities, of the fund by the number of fund shares outstanding. The instruments held by a money market fund generally are valued on the basis of amortized cost, which does not take into account unrealized capital gains or losses.</w:t>
      </w:r>
    </w:p>
    <w:p>
      <w:pPr>
        <w:spacing w:after="0" w:line="72"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STERIS Company Stock Fund</w:t>
      </w:r>
      <w:r>
        <w:rPr>
          <w:rFonts w:ascii="Times New Roman" w:cs="Times New Roman" w:eastAsia="Times New Roman" w:hAnsi="Times New Roman"/>
          <w:sz w:val="18"/>
          <w:szCs w:val="18"/>
          <w:color w:val="auto"/>
        </w:rPr>
        <w:t>: Valued based on the year end unit value; unit values were determined by the Trustee by dividing the fair values of the total net assets at year end by the outstanding units.</w:t>
      </w:r>
    </w:p>
    <w:p>
      <w:pPr>
        <w:spacing w:after="0" w:line="54" w:lineRule="exact"/>
        <w:rPr>
          <w:sz w:val="20"/>
          <w:szCs w:val="20"/>
          <w:color w:val="auto"/>
        </w:rPr>
      </w:pPr>
    </w:p>
    <w:p>
      <w:pPr>
        <w:ind w:left="340"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Collective Trusts:</w:t>
      </w:r>
      <w:r>
        <w:rPr>
          <w:rFonts w:ascii="Times New Roman" w:cs="Times New Roman" w:eastAsia="Times New Roman" w:hAnsi="Times New Roman"/>
          <w:sz w:val="18"/>
          <w:szCs w:val="18"/>
          <w:color w:val="auto"/>
        </w:rPr>
        <w:t xml:space="preserve"> Valued at the NAV on the last business day of the Plan’s year end, which is provided by the Trustee of the fund and used as a practical expedient to estimate fair value. The NAV is based on the value of the underlying assets owned by the fund, minus its liabilities, divided by the number of units outstanding. Since these investments are measured at fair value using the NAV as a practical expedient, they are not classified in the fair value hierarchy.</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measured at fair value on a recurring basis as of December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1,929,740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1,929,740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STERIS Company Stock Fund</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86,104,555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86,104,555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116,844,083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65,511,981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51,332,102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204,878,378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153,546,276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51,332,102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Collective Trusts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1,255,503,985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1,460,382,363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153,546,276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51,332,102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8"/>
        <w:spacing w:after="0" w:line="289" w:lineRule="auto"/>
        <w:tabs>
          <w:tab w:leader="none" w:pos="149"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accordance with Subtopic 820-10 of ASC 820 Fair Value Measurement, certain investments that were measured at net asset value per share as a practical expedient are not required to be classified in the fair value hierarchy. The fair value amounts are intended to permit reconciliation of the fair value hierarchy to the line item in the Statements of Net Assets Available for Benefits.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STERIS Company Stock Fund</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81,552,897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81,552,897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467,543,520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419,161,873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48,381,647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550,532,688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502,151,041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48,381,647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Collective Trusts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692,329,123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1,242,861,811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502,151,041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48,381,647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80" w:firstLine="8"/>
        <w:spacing w:after="0" w:line="289" w:lineRule="auto"/>
        <w:tabs>
          <w:tab w:leader="none" w:pos="149"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accordance with Subtopic 820-10 of ASC 820 Fair Value Measurement, certain investments that were measured at net asset value per share as a practical expedient are not required to be classified in the fair value hierarchy. The fair value amounts are intended to permit reconciliation of the fair value hierarchy to the line item in the Statements of Net Assets Available for Benefits.</w:t>
      </w: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Plan investments measured at net asset value per share and excluded from the fair value hierarchy are collective funds in the amount of $1,255,503,985 and $692,329,123 at December 31, 2025 and 2024, respectively. These Plan investments can be redeemed daily, however, are subject to the Plan's frequent trading policy which states if a fund is sold or exchanged, it is not permitted to buy or exchange back into the same fund, in the same account, within 30 calendar days. Redemption of the entire investment balance does not require formal notice unless the balance is greater than Vanguard's Large Transaction Policy limit for the given fund. If the redemption amount exceeds the fund's limit, Vanguard must be notified and approve the redemption. At December 31, 2025 and 2024, the Plan had no unfunded commitments related to these investments.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Risks and Uncertainties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Participants are responsible for researching and judging for themselves the suitability of any particular security, transaction or investment strategy and the associated inherent risk of loss.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STERIS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EIN: 34-1482024</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Plan Number: 001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4i—Schedule of Assets</w:t>
      </w:r>
    </w:p>
    <w:p>
      <w:pPr>
        <w:jc w:val="center"/>
        <w:spacing w:after="0" w:line="234" w:lineRule="auto"/>
        <w:rPr>
          <w:sz w:val="20"/>
          <w:szCs w:val="20"/>
          <w:color w:val="auto"/>
        </w:rPr>
      </w:pPr>
      <w:r>
        <w:rPr>
          <w:rFonts w:ascii="Times New Roman" w:cs="Times New Roman" w:eastAsia="Times New Roman" w:hAnsi="Times New Roman"/>
          <w:sz w:val="18"/>
          <w:szCs w:val="18"/>
          <w:color w:val="auto"/>
        </w:rPr>
        <w:t>(Held at End of Year)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Supplemental Schedule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Schedule H, Line 4i - Schedule of Assets (Held at End of Year)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400" w:type="dxa"/>
            <w:vAlign w:val="bottom"/>
            <w:gridSpan w:val="2"/>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3400" w:type="dxa"/>
            <w:vAlign w:val="bottom"/>
            <w:gridSpan w:val="2"/>
          </w:tcPr>
          <w:p>
            <w:pPr>
              <w:jc w:val="center"/>
              <w:ind w:left="453"/>
              <w:spacing w:after="0" w:line="137" w:lineRule="exact"/>
              <w:rPr>
                <w:sz w:val="20"/>
                <w:szCs w:val="20"/>
                <w:color w:val="auto"/>
              </w:rPr>
            </w:pPr>
            <w:r>
              <w:rPr>
                <w:rFonts w:ascii="Times New Roman" w:cs="Times New Roman" w:eastAsia="Times New Roman" w:hAnsi="Times New Roman"/>
                <w:sz w:val="14"/>
                <w:szCs w:val="14"/>
                <w:b w:val="1"/>
                <w:bCs w:val="1"/>
                <w:color w:val="auto"/>
              </w:rPr>
              <w:t>Including Maturity Date,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Identity of Issuer, Borrower,</w:t>
            </w:r>
          </w:p>
        </w:tc>
        <w:tc>
          <w:tcPr>
            <w:tcW w:w="3400" w:type="dxa"/>
            <w:vAlign w:val="bottom"/>
            <w:gridSpan w:val="2"/>
          </w:tcPr>
          <w:p>
            <w:pPr>
              <w:jc w:val="center"/>
              <w:ind w:left="433"/>
              <w:spacing w:after="0" w:line="160" w:lineRule="exact"/>
              <w:rPr>
                <w:sz w:val="20"/>
                <w:szCs w:val="20"/>
                <w:color w:val="auto"/>
              </w:rPr>
            </w:pPr>
            <w:r>
              <w:rPr>
                <w:rFonts w:ascii="Times New Roman" w:cs="Times New Roman" w:eastAsia="Times New Roman" w:hAnsi="Times New Roman"/>
                <w:sz w:val="14"/>
                <w:szCs w:val="14"/>
                <w:b w:val="1"/>
                <w:bCs w:val="1"/>
                <w:color w:val="auto"/>
              </w:rPr>
              <w:t>Rate of Interest, Collateral,</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Lessor, or Similar Party</w:t>
            </w:r>
          </w:p>
        </w:tc>
        <w:tc>
          <w:tcPr>
            <w:tcW w:w="340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w w:val="99"/>
              </w:rPr>
              <w:t>Par, or Maturity Value</w:t>
            </w:r>
          </w:p>
        </w:tc>
        <w:tc>
          <w:tcPr>
            <w:tcW w:w="880" w:type="dxa"/>
            <w:vAlign w:val="bottom"/>
            <w:tcBorders>
              <w:bottom w:val="single" w:sz="8" w:color="auto"/>
            </w:tcBorders>
            <w:gridSpan w:val="2"/>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brokerage option - cash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1,929,740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1,929,740</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2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STERIS Company Stock</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STERIS plc</w:t>
            </w:r>
          </w:p>
        </w:tc>
        <w:tc>
          <w:tcPr>
            <w:tcW w:w="34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Fund - 349,011 Units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86,104,555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FTSE All-World ex-US Index Fund: Institutional Shares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42,625,342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Federal Money Market Fund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50,141,588</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50,141,587</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Vanguard brokerage option</w:t>
            </w:r>
          </w:p>
        </w:tc>
        <w:tc>
          <w:tcPr>
            <w:tcW w:w="3400" w:type="dxa"/>
            <w:vAlign w:val="bottom"/>
            <w:gridSpan w:val="2"/>
            <w:shd w:val="clear" w:color="auto" w:fill="CCEEFF"/>
          </w:tcPr>
          <w:p>
            <w:pPr>
              <w:jc w:val="center"/>
              <w:ind w:left="453"/>
              <w:spacing w:after="0" w:line="176" w:lineRule="exact"/>
              <w:rPr>
                <w:sz w:val="20"/>
                <w:szCs w:val="20"/>
                <w:color w:val="auto"/>
              </w:rPr>
            </w:pPr>
            <w:r>
              <w:rPr>
                <w:rFonts w:ascii="Times New Roman" w:cs="Times New Roman" w:eastAsia="Times New Roman" w:hAnsi="Times New Roman"/>
                <w:sz w:val="18"/>
                <w:szCs w:val="18"/>
                <w:color w:val="auto"/>
                <w:w w:val="99"/>
              </w:rPr>
              <w:t>Various registered investment</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spacing w:after="0"/>
              <w:rPr>
                <w:sz w:val="21"/>
                <w:szCs w:val="21"/>
                <w:color w:val="auto"/>
              </w:rPr>
            </w:pPr>
          </w:p>
        </w:tc>
        <w:tc>
          <w:tcPr>
            <w:tcW w:w="2600" w:type="dxa"/>
            <w:vAlign w:val="bottom"/>
            <w:shd w:val="clear" w:color="auto" w:fill="CCEEFF"/>
          </w:tcPr>
          <w:p>
            <w:pPr>
              <w:jc w:val="center"/>
              <w:ind w:left="1253"/>
              <w:spacing w:after="0"/>
              <w:rPr>
                <w:sz w:val="20"/>
                <w:szCs w:val="20"/>
                <w:color w:val="auto"/>
              </w:rPr>
            </w:pPr>
            <w:r>
              <w:rPr>
                <w:rFonts w:ascii="Times New Roman" w:cs="Times New Roman" w:eastAsia="Times New Roman" w:hAnsi="Times New Roman"/>
                <w:sz w:val="18"/>
                <w:szCs w:val="18"/>
                <w:color w:val="auto"/>
              </w:rPr>
              <w:t>companies</w:t>
            </w:r>
          </w:p>
        </w:tc>
        <w:tc>
          <w:tcPr>
            <w:tcW w:w="800" w:type="dxa"/>
            <w:vAlign w:val="bottom"/>
            <w:shd w:val="clear" w:color="auto" w:fill="CCEEFF"/>
          </w:tcPr>
          <w:p>
            <w:pPr>
              <w:spacing w:after="0"/>
              <w:rPr>
                <w:sz w:val="21"/>
                <w:szCs w:val="21"/>
                <w:color w:val="auto"/>
              </w:rPr>
            </w:pP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24,077,154</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116,844,083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Collective Trusts: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Institutional Extended Market Index Trust 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758,165</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97,484,815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Institutional 500 Index Trust 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1,872,917</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261,328,075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Institutional Total Bond Market Index Trust 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396,797</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43,711,127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2020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265,724</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22,549,351</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2025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789,835</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72,672,706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2030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1,187,880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116,269,718</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2035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1,305,796</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137,265,262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2040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1,075,162</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122,364,228</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2045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1,025,956</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122,878,799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2050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900,828</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111,486,435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2055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510,101</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76,984,410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2060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521,945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41,400,641</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2065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307,420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14,995,932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2070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2,423,512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Vanguard Target Retirement Income Trust I</w:t>
            </w:r>
          </w:p>
        </w:tc>
        <w:tc>
          <w:tcPr>
            <w:tcW w:w="2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154,453</w:t>
            </w:r>
          </w:p>
        </w:tc>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11,688,974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1,255,503,985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jc w:val="center"/>
              <w:ind w:left="433"/>
              <w:spacing w:after="0" w:line="176" w:lineRule="exact"/>
              <w:rPr>
                <w:sz w:val="20"/>
                <w:szCs w:val="20"/>
                <w:color w:val="auto"/>
              </w:rPr>
            </w:pPr>
            <w:r>
              <w:rPr>
                <w:rFonts w:ascii="Times New Roman" w:cs="Times New Roman" w:eastAsia="Times New Roman" w:hAnsi="Times New Roman"/>
                <w:sz w:val="18"/>
                <w:szCs w:val="18"/>
                <w:color w:val="auto"/>
                <w:w w:val="99"/>
              </w:rPr>
              <w:t>Bearing interest between 4.25% and</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Participant Loans</w:t>
            </w:r>
          </w:p>
        </w:tc>
        <w:tc>
          <w:tcPr>
            <w:tcW w:w="3400" w:type="dxa"/>
            <w:vAlign w:val="bottom"/>
            <w:gridSpan w:val="2"/>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9"/>
              </w:rPr>
              <w:t>9.50% and maturing through 2035</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18,634,062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1,479,016,425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Indicated party-in-interest to the Plan.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Participant-directed investment, cost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Administrator of the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STERIS Corporation 401(k) Plan</w:t>
            </w:r>
          </w:p>
        </w:tc>
      </w:tr>
      <w:tr>
        <w:trPr>
          <w:trHeight w:val="459"/>
        </w:trPr>
        <w:tc>
          <w:tcPr>
            <w:tcW w:w="3460" w:type="dxa"/>
            <w:vAlign w:val="bottom"/>
          </w:tcPr>
          <w:p>
            <w:pPr>
              <w:spacing w:after="0"/>
              <w:rPr>
                <w:sz w:val="24"/>
                <w:szCs w:val="24"/>
                <w:color w:val="auto"/>
              </w:rPr>
            </w:pP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STERIS Corporation</w:t>
            </w:r>
          </w:p>
        </w:tc>
      </w:tr>
      <w:tr>
        <w:trPr>
          <w:trHeight w:val="228"/>
        </w:trPr>
        <w:tc>
          <w:tcPr>
            <w:tcW w:w="3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Administrator</w:t>
            </w:r>
          </w:p>
        </w:tc>
      </w:tr>
      <w:tr>
        <w:trPr>
          <w:trHeight w:val="45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L. Burton</w:t>
            </w:r>
          </w:p>
        </w:tc>
      </w:tr>
      <w:tr>
        <w:trPr>
          <w:trHeight w:val="218"/>
        </w:trPr>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L. Burton</w:t>
            </w:r>
          </w:p>
        </w:tc>
      </w:tr>
      <w:tr>
        <w:trPr>
          <w:trHeight w:val="234"/>
        </w:trPr>
        <w:tc>
          <w:tcPr>
            <w:tcW w:w="3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8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62"/>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Exhibit</w:t>
            </w:r>
          </w:p>
        </w:tc>
        <w:tc>
          <w:tcPr>
            <w:tcW w:w="482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w w:val="98"/>
              </w:rPr>
              <w:t>Exhibit Description</w:t>
            </w:r>
          </w:p>
        </w:tc>
      </w:tr>
      <w:tr>
        <w:trPr>
          <w:trHeight w:val="234"/>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Number</w:t>
            </w:r>
          </w:p>
        </w:tc>
        <w:tc>
          <w:tcPr>
            <w:tcW w:w="43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98"/>
        </w:trPr>
        <w:tc>
          <w:tcPr>
            <w:tcW w:w="1220" w:type="dxa"/>
            <w:vAlign w:val="bottom"/>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w w:val="95"/>
              </w:rPr>
              <w:t>23.1</w:t>
            </w:r>
          </w:p>
        </w:tc>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750"/>
        </w:trPr>
        <w:tc>
          <w:tcPr>
            <w:tcW w:w="1220" w:type="dxa"/>
            <w:vAlign w:val="bottom"/>
          </w:tcPr>
          <w:p>
            <w:pPr>
              <w:spacing w:after="0"/>
              <w:rPr>
                <w:sz w:val="24"/>
                <w:szCs w:val="24"/>
                <w:color w:val="auto"/>
              </w:rPr>
            </w:pPr>
          </w:p>
        </w:tc>
        <w:tc>
          <w:tcPr>
            <w:tcW w:w="4320" w:type="dxa"/>
            <w:vAlign w:val="bottom"/>
            <w:tcBorders>
              <w:top w:val="single" w:sz="8" w:color="0000FF"/>
            </w:tcBorders>
          </w:tcPr>
          <w:p>
            <w:pPr>
              <w:ind w:left="332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24"/>
                <w:szCs w:val="24"/>
                <w:color w:val="auto"/>
              </w:rPr>
            </w:pPr>
          </w:p>
        </w:tc>
      </w:tr>
    </w:tbl>
    <w:p>
      <w:pPr>
        <w:sectPr>
          <w:pgSz w:w="11900" w:h="16838" w:orient="portrait"/>
          <w:cols w:equalWidth="0" w:num="1">
            <w:col w:w="9139"/>
          </w:cols>
          <w:pgMar w:left="1320" w:top="891"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(Form S-8 No. 333-230557) pertaining to STERIS Corporation 401(k) Plan for our report dated June 16, 2026, with respect to the financial statements and supplemental schedule of STERIS Corporation 401(k) Plan included in this Annual Report (Form 11-K)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BOBER, MARKEY, FEDOROVICH &amp;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sectPr>
      <w:pgSz w:w="11900" w:h="16838" w:orient="portrait"/>
      <w:cols w:equalWidth="0" w:num="1">
        <w:col w:w="11240"/>
      </w:cols>
      <w:pgMar w:left="320" w:top="11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2026-06-16T15:50:51Z</dcterms:created>
  <dcterms:modified xsi:type="dcterms:W3CDTF">2026-06-16T15:50:51Z</dcterms:modified>
</cp:coreProperties>
</file>