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Madsen Julia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70 SIR JOHN ROGERSON'S QUAY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STERIS plc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STE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06/04/2026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525"/>
        <w:spacing w:after="0"/>
        <w:rPr>
          <w:sz w:val="20"/>
          <w:szCs w:val="20"/>
          <w:color w:val="auto"/>
        </w:rPr>
      </w:pPr>
      <w:r>
        <w:rPr>
          <w:rFonts w:ascii="Times New Roman" w:cs="Times New Roman" w:eastAsia="Times New Roman" w:hAnsi="Times New Roman"/>
          <w:sz w:val="17"/>
          <w:szCs w:val="17"/>
          <w:color w:val="0000FF"/>
        </w:rPr>
        <w:t>Sr. VP and GM, Life Sciences</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260" w:type="dxa"/>
            <w:vAlign w:val="bottom"/>
            <w:tcBorders>
              <w:bottom w:val="single" w:sz="8" w:color="9A9A9A"/>
            </w:tcBorders>
          </w:tcPr>
          <w:p>
            <w:pPr>
              <w:spacing w:after="0"/>
              <w:rPr>
                <w:sz w:val="3"/>
                <w:szCs w:val="3"/>
                <w:color w:val="auto"/>
              </w:rPr>
            </w:pPr>
          </w:p>
        </w:tc>
        <w:tc>
          <w:tcPr>
            <w:tcW w:w="86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40" w:type="dxa"/>
            <w:vAlign w:val="bottom"/>
            <w:gridSpan w:val="6"/>
            <w:vMerge w:val="continue"/>
          </w:tcPr>
          <w:p>
            <w:pPr>
              <w:spacing w:after="0"/>
              <w:rPr>
                <w:sz w:val="8"/>
                <w:szCs w:val="8"/>
                <w:color w:val="auto"/>
              </w:rPr>
            </w:pPr>
          </w:p>
        </w:tc>
        <w:tc>
          <w:tcPr>
            <w:tcW w:w="376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DUBLIN 2</w:t>
            </w:r>
          </w:p>
        </w:tc>
        <w:tc>
          <w:tcPr>
            <w:tcW w:w="2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L2</w:t>
            </w:r>
          </w:p>
        </w:tc>
        <w:tc>
          <w:tcPr>
            <w:tcW w:w="86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D02 R296</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6"/>
          </w:tcPr>
          <w:p>
            <w:pPr>
              <w:ind w:left="12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780" w:type="dxa"/>
            <w:vAlign w:val="bottom"/>
            <w:tcBorders>
              <w:top w:val="single" w:sz="8" w:color="2C2C2C"/>
            </w:tcBorders>
            <w:gridSpan w:val="14"/>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0" w:type="dxa"/>
            <w:vAlign w:val="bottom"/>
            <w:gridSpan w:val="3"/>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2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06/04/2026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ind w:left="200"/>
              <w:spacing w:after="0" w:line="320" w:lineRule="exact"/>
              <w:rPr>
                <w:sz w:val="20"/>
                <w:szCs w:val="20"/>
                <w:color w:val="auto"/>
              </w:rPr>
            </w:pPr>
            <w:r>
              <w:rPr>
                <w:rFonts w:ascii="Times New Roman" w:cs="Times New Roman" w:eastAsia="Times New Roman" w:hAnsi="Times New Roman"/>
                <w:sz w:val="34"/>
                <w:szCs w:val="34"/>
                <w:color w:val="0000FF"/>
                <w:vertAlign w:val="subscript"/>
              </w:rPr>
              <w:t>195</w:t>
            </w:r>
            <w:r>
              <w:rPr>
                <w:rFonts w:ascii="Times New Roman" w:cs="Times New Roman" w:eastAsia="Times New Roman" w:hAnsi="Times New Roman"/>
                <w:sz w:val="11"/>
                <w:szCs w:val="11"/>
                <w:color w:val="008000"/>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212.24</w:t>
            </w: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12,257</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5"/>
                <w:szCs w:val="15"/>
                <w:color w:val="auto"/>
              </w:rPr>
            </w:pP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195 shares were withheld from the 542 restricted shares that vested on June 4, 2026. These 195 shares represent the value of the taxes required to be withheld pursuant to applicable employment or tax laws, as determined by the Issuer. These vested shares were valued at the NYSE closing market price on June 4, 2026.</w:t>
      </w:r>
    </w:p>
    <w:p>
      <w:pPr>
        <w:spacing w:after="0" w:line="7" w:lineRule="exact"/>
        <w:rPr>
          <w:rFonts w:ascii="Times New Roman" w:cs="Times New Roman" w:eastAsia="Times New Roman" w:hAnsi="Times New Roman"/>
          <w:sz w:val="13"/>
          <w:szCs w:val="13"/>
          <w:color w:val="008000"/>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As of June 8, 2026, 4,190 of these ordinary shares are restricted. The restrictions on these ordinary shares lapse as follows: 772 on June 2, 2027; 666 on June 3, 2027; 542 on June 4, 2027; 772 on June 2, 2028; 666 on June 5, 2028 and 772 on June 4, 2029.</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John P. Ubbing, Authorized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506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064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Representative under Power of 06/08/2026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91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9116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19129" TargetMode="External"/><Relationship Id="rId14" Type="http://schemas.openxmlformats.org/officeDocument/2006/relationships/hyperlink" Target="http://www.sec.gov/cgi-bin/browse-edgar?action=getcompany&amp;CIK=00017578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2026-06-08T15:33:41Z</dcterms:created>
  <dcterms:modified xsi:type="dcterms:W3CDTF">2026-06-08T15:33:41Z</dcterms:modified>
</cp:coreProperties>
</file>